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11" w:rsidRPr="00873911" w:rsidRDefault="00873911" w:rsidP="00873911">
      <w:pPr>
        <w:overflowPunct/>
        <w:autoSpaceDE/>
        <w:autoSpaceDN/>
        <w:adjustRightInd/>
        <w:spacing w:line="300" w:lineRule="auto"/>
        <w:ind w:left="0" w:right="0" w:firstLine="708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7</w:t>
      </w:r>
      <w:bookmarkStart w:id="0" w:name="_GoBack"/>
      <w:bookmarkEnd w:id="0"/>
    </w:p>
    <w:p w:rsidR="00AE160D" w:rsidRPr="00262F2C" w:rsidRDefault="000242F4" w:rsidP="000242F4">
      <w:pPr>
        <w:overflowPunct/>
        <w:autoSpaceDE/>
        <w:autoSpaceDN/>
        <w:adjustRightInd/>
        <w:spacing w:line="300" w:lineRule="auto"/>
        <w:ind w:left="0" w:right="0" w:firstLine="708"/>
        <w:textAlignment w:val="auto"/>
      </w:pPr>
      <w:r>
        <w:t xml:space="preserve">1. </w:t>
      </w:r>
      <w:r w:rsidR="00AE160D" w:rsidRPr="00262F2C">
        <w:t xml:space="preserve">В ходе контрольного мероприятия установлено завышение расчетного объема бюджетных ассигнований на капитальный ремонт, ремонт и содержание автомобильных дорог регионального значения в Самарской области в период 2019–2022 годов с учетом поправочных коэффициентов, ежегодно утверждаемых Правительством Самарской области, на общую сумму 2 061 987,5 тыс. рублей. </w:t>
      </w:r>
    </w:p>
    <w:p w:rsidR="00AE160D" w:rsidRPr="00262F2C" w:rsidRDefault="00AE160D" w:rsidP="00AE160D">
      <w:pPr>
        <w:widowControl w:val="0"/>
        <w:spacing w:line="300" w:lineRule="auto"/>
        <w:ind w:left="0" w:right="0"/>
      </w:pPr>
      <w:r w:rsidRPr="00262F2C">
        <w:t>Так, в нарушение пункта 2 Правил № 265 Министерством при формировании расчета нормативной потребности в бюджетных ассигнованиях областного бюджета на капитальный ремонт, ремонт и содержание автомобильных дорог регионального или межмуниципального значения в Самарской области в расчетную протяженность автомобильных дорог включены грунтовые автомобильные дороги (16,5 км), не отнесенные ни к одной из категорий автомобильных дорог.</w:t>
      </w:r>
    </w:p>
    <w:p w:rsidR="00AE160D" w:rsidRPr="00262F2C" w:rsidRDefault="00AE160D" w:rsidP="00AE160D">
      <w:pPr>
        <w:widowControl w:val="0"/>
        <w:spacing w:line="300" w:lineRule="auto"/>
        <w:ind w:left="0" w:right="0"/>
      </w:pPr>
      <w:r w:rsidRPr="00262F2C">
        <w:t>Согласно пункту 6 Правил классификации автомобильных дорог</w:t>
      </w:r>
      <w:r w:rsidRPr="00262F2C">
        <w:rPr>
          <w:vertAlign w:val="superscript"/>
        </w:rPr>
        <w:footnoteReference w:id="1"/>
      </w:r>
      <w:r w:rsidRPr="00262F2C">
        <w:t xml:space="preserve"> </w:t>
      </w:r>
      <w:r w:rsidRPr="00262F2C">
        <w:lastRenderedPageBreak/>
        <w:t>отнесение автомобильной дороги регионального или межмуниципального значения к категории автомобильной дороги осуществляется исполнительным органом государственной власти субъекта Российской Федерации по результатам оценки технического состояния автомобильной дороги, проводимой в порядке, установленном Минтрансом России.</w:t>
      </w:r>
    </w:p>
    <w:p w:rsidR="00AE160D" w:rsidRPr="00262F2C" w:rsidRDefault="00AE160D" w:rsidP="00AE160D">
      <w:pPr>
        <w:widowControl w:val="0"/>
        <w:spacing w:line="300" w:lineRule="auto"/>
        <w:ind w:left="0" w:right="0"/>
      </w:pPr>
      <w:r w:rsidRPr="00262F2C">
        <w:t>Грунтовые автомобильные дороги общей протяженностью 16,5 км не отнесены Министерством ни к одной из установленных категорий дорог, что подтверждается статистической отчетностью по формам федерального статистического наблюдения «Сведения об автомобильных дорогах общего пользования и сооружениях на них федерального, регионального или межмуниципального значения» (форма 1-ДГ) и «Сведения о категориях автомобильных дорог общего пользования федерального, регионального или межмуниципального значения, сельских населенных пунктах, имеющих автотранспортную связь по дорогам с твердым покрытием с сетью путей сообщения общего пользования» (форма 2-ДГ).</w:t>
      </w:r>
    </w:p>
    <w:p w:rsidR="00AE160D" w:rsidRPr="00262F2C" w:rsidRDefault="00AE160D" w:rsidP="00AE160D">
      <w:pPr>
        <w:widowControl w:val="0"/>
        <w:spacing w:line="300" w:lineRule="auto"/>
        <w:ind w:left="0" w:right="0"/>
        <w:jc w:val="right"/>
        <w:rPr>
          <w:sz w:val="20"/>
          <w:szCs w:val="20"/>
        </w:rPr>
      </w:pPr>
      <w:r w:rsidRPr="00262F2C">
        <w:rPr>
          <w:sz w:val="20"/>
          <w:szCs w:val="20"/>
        </w:rPr>
        <w:t>км</w:t>
      </w:r>
    </w:p>
    <w:tbl>
      <w:tblPr>
        <w:tblW w:w="92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1730"/>
        <w:gridCol w:w="1843"/>
        <w:gridCol w:w="1845"/>
        <w:gridCol w:w="1588"/>
      </w:tblGrid>
      <w:tr w:rsidR="00AE160D" w:rsidRPr="00262F2C" w:rsidTr="00262F2C">
        <w:trPr>
          <w:trHeight w:val="113"/>
          <w:tblHeader/>
        </w:trPr>
        <w:tc>
          <w:tcPr>
            <w:tcW w:w="1149" w:type="dxa"/>
            <w:vMerge w:val="restart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5418" w:type="dxa"/>
            <w:gridSpan w:val="3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Протяженность на 1 января года планирования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Завышение расчетной протяженности</w:t>
            </w:r>
          </w:p>
        </w:tc>
      </w:tr>
      <w:tr w:rsidR="00AE160D" w:rsidRPr="00262F2C" w:rsidTr="00262F2C">
        <w:trPr>
          <w:trHeight w:val="113"/>
          <w:tblHeader/>
        </w:trPr>
        <w:tc>
          <w:tcPr>
            <w:tcW w:w="1149" w:type="dxa"/>
            <w:vMerge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2-ДГ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1-ДГ, в том числе с грунтовыми дорогами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</w:t>
            </w: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30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</w:rPr>
              <w:t>99,190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103,89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103,89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+4,7</w:t>
            </w: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30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</w:rPr>
              <w:t>99,190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103,89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103,89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+4,7</w:t>
            </w: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98,210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+3,55</w:t>
            </w: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98,210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101,76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+3,55</w:t>
            </w:r>
          </w:p>
        </w:tc>
      </w:tr>
      <w:tr w:rsidR="00AE160D" w:rsidRPr="00262F2C" w:rsidTr="00262F2C">
        <w:trPr>
          <w:trHeight w:val="113"/>
        </w:trPr>
        <w:tc>
          <w:tcPr>
            <w:tcW w:w="7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right"/>
              <w:rPr>
                <w:b/>
                <w:color w:val="000000"/>
                <w:sz w:val="20"/>
                <w:szCs w:val="20"/>
              </w:rPr>
            </w:pPr>
            <w:r w:rsidRPr="00262F2C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16,5</w:t>
            </w:r>
          </w:p>
        </w:tc>
      </w:tr>
    </w:tbl>
    <w:p w:rsidR="00AE160D" w:rsidRPr="00262F2C" w:rsidRDefault="00AE160D" w:rsidP="00AE160D">
      <w:pPr>
        <w:widowControl w:val="0"/>
        <w:spacing w:line="300" w:lineRule="auto"/>
        <w:ind w:left="0" w:right="0"/>
        <w:rPr>
          <w:sz w:val="12"/>
          <w:szCs w:val="12"/>
        </w:rPr>
      </w:pPr>
    </w:p>
    <w:p w:rsidR="00AE160D" w:rsidRPr="00262F2C" w:rsidRDefault="00AE160D" w:rsidP="00AE160D">
      <w:pPr>
        <w:widowControl w:val="0"/>
        <w:spacing w:line="300" w:lineRule="auto"/>
        <w:ind w:left="0" w:right="0"/>
      </w:pPr>
      <w:r w:rsidRPr="00262F2C">
        <w:t>Таким образом, включение в расчет нормативной потребности показателя протяженности грунтовых дорог привело к завышению объема бюджетных ассигнований на выполнение работ по содержанию автомобильных дорог регионального или межмуниципального значения в Самарской области в период 2019–2022 годов с учетом поправочных коэффициентов, утвержденных распоряжениями Правительства Самарской области, на общую сумму 6 256,7 тыс. рублей (</w:t>
      </w:r>
      <w:proofErr w:type="spellStart"/>
      <w:r w:rsidRPr="00262F2C">
        <w:t>расчетно</w:t>
      </w:r>
      <w:proofErr w:type="spellEnd"/>
      <w:r w:rsidRPr="00262F2C">
        <w:t>), в том числе: в 2019 году – 1 416,4 тыс. рублей, в 2020 году – 1 951,2 тыс. рублей, в 2021 году – 1 301,0 тыс. рублей, в 2022 году – 1 588,1 тыс. рублей.</w:t>
      </w:r>
    </w:p>
    <w:p w:rsidR="00AE160D" w:rsidRPr="00262F2C" w:rsidRDefault="00AE160D" w:rsidP="00AE160D">
      <w:pPr>
        <w:widowControl w:val="0"/>
        <w:spacing w:line="300" w:lineRule="auto"/>
        <w:ind w:left="0" w:right="0"/>
      </w:pPr>
      <w:r w:rsidRPr="00262F2C">
        <w:t>Соответствующие расчеты приведены в таблице:</w:t>
      </w:r>
    </w:p>
    <w:p w:rsidR="00AE160D" w:rsidRPr="00262F2C" w:rsidRDefault="00AE160D" w:rsidP="00AE160D">
      <w:pPr>
        <w:widowControl w:val="0"/>
        <w:spacing w:line="300" w:lineRule="auto"/>
        <w:ind w:left="0" w:right="0"/>
        <w:jc w:val="right"/>
        <w:rPr>
          <w:sz w:val="20"/>
          <w:szCs w:val="20"/>
        </w:rPr>
      </w:pPr>
    </w:p>
    <w:tbl>
      <w:tblPr>
        <w:tblW w:w="94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253"/>
        <w:gridCol w:w="866"/>
        <w:gridCol w:w="1163"/>
        <w:gridCol w:w="821"/>
        <w:gridCol w:w="993"/>
        <w:gridCol w:w="850"/>
        <w:gridCol w:w="1507"/>
      </w:tblGrid>
      <w:tr w:rsidR="00AE160D" w:rsidRPr="00262F2C" w:rsidTr="00262F2C">
        <w:trPr>
          <w:trHeight w:val="214"/>
        </w:trPr>
        <w:tc>
          <w:tcPr>
            <w:tcW w:w="1026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262F2C">
              <w:rPr>
                <w:sz w:val="18"/>
                <w:szCs w:val="18"/>
              </w:rPr>
              <w:t>L, км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262F2C">
              <w:rPr>
                <w:sz w:val="18"/>
                <w:szCs w:val="18"/>
              </w:rPr>
              <w:t xml:space="preserve">Н </w:t>
            </w:r>
            <w:proofErr w:type="spellStart"/>
            <w:r w:rsidRPr="00262F2C">
              <w:rPr>
                <w:sz w:val="18"/>
                <w:szCs w:val="18"/>
                <w:vertAlign w:val="subscript"/>
              </w:rPr>
              <w:t>v.сод</w:t>
            </w:r>
            <w:proofErr w:type="spellEnd"/>
            <w:r w:rsidRPr="00262F2C">
              <w:rPr>
                <w:sz w:val="18"/>
                <w:szCs w:val="18"/>
              </w:rPr>
              <w:t>, тыс. руб./км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262F2C">
              <w:rPr>
                <w:sz w:val="18"/>
                <w:szCs w:val="18"/>
              </w:rPr>
              <w:t xml:space="preserve">K </w:t>
            </w:r>
            <w:proofErr w:type="spellStart"/>
            <w:r w:rsidRPr="00262F2C">
              <w:rPr>
                <w:sz w:val="18"/>
                <w:szCs w:val="18"/>
                <w:vertAlign w:val="subscript"/>
              </w:rPr>
              <w:t>кат.сод</w:t>
            </w:r>
            <w:proofErr w:type="spellEnd"/>
            <w:r w:rsidRPr="00262F2C">
              <w:rPr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262F2C">
              <w:rPr>
                <w:sz w:val="18"/>
                <w:szCs w:val="18"/>
              </w:rPr>
              <w:t xml:space="preserve">К </w:t>
            </w:r>
            <w:proofErr w:type="spellStart"/>
            <w:r w:rsidRPr="00262F2C">
              <w:rPr>
                <w:sz w:val="18"/>
                <w:szCs w:val="18"/>
                <w:vertAlign w:val="subscript"/>
              </w:rPr>
              <w:t>полос.сод</w:t>
            </w:r>
            <w:proofErr w:type="spellEnd"/>
            <w:r w:rsidRPr="00262F2C">
              <w:rPr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262F2C">
              <w:rPr>
                <w:sz w:val="18"/>
                <w:szCs w:val="18"/>
              </w:rPr>
              <w:t xml:space="preserve">К </w:t>
            </w:r>
            <w:proofErr w:type="spellStart"/>
            <w:r w:rsidRPr="00262F2C">
              <w:rPr>
                <w:sz w:val="18"/>
                <w:szCs w:val="18"/>
                <w:vertAlign w:val="subscript"/>
              </w:rPr>
              <w:t>деф.ипц</w:t>
            </w:r>
            <w:proofErr w:type="spellEnd"/>
            <w:r w:rsidRPr="00262F2C">
              <w:rPr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262F2C">
              <w:rPr>
                <w:sz w:val="18"/>
                <w:szCs w:val="18"/>
              </w:rPr>
              <w:t>Объем ассигнований, тыс. рублей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 w:val="restart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103,890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91 473,06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 без грунтовых дорог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99,190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87 334,81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Разница: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-4,7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+4 138,25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62F2C">
              <w:rPr>
                <w:color w:val="000000"/>
                <w:sz w:val="18"/>
                <w:szCs w:val="18"/>
              </w:rPr>
              <w:t xml:space="preserve">. с учетом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</w:rPr>
              <w:t>.: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+1 416,4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103,890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94 125,70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 без грунтовых дорог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99,190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89 867,44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Разница: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+4 258,26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62F2C">
              <w:rPr>
                <w:color w:val="000000"/>
                <w:sz w:val="18"/>
                <w:szCs w:val="18"/>
              </w:rPr>
              <w:t xml:space="preserve">. с учетом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</w:rPr>
              <w:t>.: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+1 951,23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101,760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95 514,95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 без грунтовых дорог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98,210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92 182,81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Разница: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-3,55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+3 332,14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62F2C">
              <w:rPr>
                <w:color w:val="000000"/>
                <w:sz w:val="18"/>
                <w:szCs w:val="18"/>
              </w:rPr>
              <w:t xml:space="preserve">. с учетом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</w:rPr>
              <w:t>.: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+1 300,98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101,760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103 690,70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Расчеты Министерства без грунтовых дорог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98,210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814,06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100 073,34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Разница: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-3,55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+3 617,36</w:t>
            </w:r>
          </w:p>
        </w:tc>
      </w:tr>
      <w:tr w:rsidR="00AE160D" w:rsidRPr="00262F2C" w:rsidTr="00262F2C">
        <w:trPr>
          <w:trHeight w:val="349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62F2C">
              <w:rPr>
                <w:color w:val="000000"/>
                <w:sz w:val="18"/>
                <w:szCs w:val="18"/>
              </w:rPr>
              <w:t xml:space="preserve">. с учетом </w:t>
            </w:r>
            <w:proofErr w:type="spellStart"/>
            <w:r w:rsidRPr="00262F2C">
              <w:rPr>
                <w:color w:val="000000"/>
                <w:sz w:val="18"/>
                <w:szCs w:val="18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</w:rPr>
              <w:t>.: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+1 588,07</w:t>
            </w:r>
          </w:p>
        </w:tc>
      </w:tr>
      <w:tr w:rsidR="00AE160D" w:rsidRPr="00262F2C" w:rsidTr="00262F2C">
        <w:trPr>
          <w:trHeight w:val="349"/>
        </w:trPr>
        <w:tc>
          <w:tcPr>
            <w:tcW w:w="7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color w:val="000000"/>
                <w:sz w:val="18"/>
                <w:szCs w:val="18"/>
              </w:rPr>
            </w:pPr>
            <w:r w:rsidRPr="00262F2C">
              <w:rPr>
                <w:b/>
                <w:color w:val="000000"/>
                <w:sz w:val="18"/>
                <w:szCs w:val="18"/>
              </w:rPr>
              <w:t xml:space="preserve">Завышение расчетных объемов ассигнований с учетом </w:t>
            </w:r>
            <w:proofErr w:type="spellStart"/>
            <w:r w:rsidRPr="00262F2C">
              <w:rPr>
                <w:b/>
                <w:color w:val="000000"/>
                <w:sz w:val="18"/>
                <w:szCs w:val="18"/>
              </w:rPr>
              <w:t>К</w:t>
            </w:r>
            <w:r w:rsidRPr="00262F2C">
              <w:rPr>
                <w:b/>
                <w:color w:val="000000"/>
                <w:sz w:val="18"/>
                <w:szCs w:val="18"/>
                <w:vertAlign w:val="subscript"/>
              </w:rPr>
              <w:t>поправ</w:t>
            </w:r>
            <w:proofErr w:type="spellEnd"/>
            <w:r w:rsidRPr="00262F2C">
              <w:rPr>
                <w:b/>
                <w:color w:val="000000"/>
                <w:sz w:val="18"/>
                <w:szCs w:val="18"/>
                <w:vertAlign w:val="subscript"/>
              </w:rPr>
              <w:t>.</w:t>
            </w:r>
            <w:r w:rsidRPr="00262F2C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6 256,7</w:t>
            </w:r>
          </w:p>
        </w:tc>
      </w:tr>
    </w:tbl>
    <w:p w:rsidR="00AE160D" w:rsidRPr="00262F2C" w:rsidRDefault="00AE160D" w:rsidP="00AE160D">
      <w:pPr>
        <w:widowControl w:val="0"/>
        <w:spacing w:line="300" w:lineRule="auto"/>
        <w:ind w:left="0" w:right="0"/>
        <w:rPr>
          <w:sz w:val="12"/>
          <w:szCs w:val="12"/>
        </w:rPr>
      </w:pPr>
    </w:p>
    <w:p w:rsidR="00AE160D" w:rsidRPr="00262F2C" w:rsidRDefault="00AE160D" w:rsidP="00AE160D">
      <w:pPr>
        <w:overflowPunct/>
        <w:autoSpaceDE/>
        <w:autoSpaceDN/>
        <w:adjustRightInd/>
        <w:spacing w:line="300" w:lineRule="auto"/>
        <w:ind w:left="0" w:right="0"/>
        <w:textAlignment w:val="auto"/>
      </w:pPr>
      <w:r w:rsidRPr="00262F2C">
        <w:t>В нарушение пунктов 4, 5, 6 Правил № 265, согласно которым размер бюджетных ассигнований на капитальный ремонт, ремонт и содержание региональных автодорог рассчитывается по формулам, предусматривающим применение территориального коэффициента согласно приложению № 3 к Правилам № 265</w:t>
      </w:r>
      <w:r w:rsidRPr="00262F2C">
        <w:rPr>
          <w:vertAlign w:val="superscript"/>
        </w:rPr>
        <w:footnoteReference w:id="2"/>
      </w:r>
      <w:r w:rsidRPr="00262F2C">
        <w:t xml:space="preserve">, Министерством в период 2019–2022 годов указанный коэффициент не применялся. </w:t>
      </w:r>
    </w:p>
    <w:p w:rsidR="00AE160D" w:rsidRPr="00262F2C" w:rsidRDefault="00AE160D" w:rsidP="00AE160D">
      <w:pPr>
        <w:widowControl w:val="0"/>
        <w:overflowPunct/>
        <w:autoSpaceDE/>
        <w:autoSpaceDN/>
        <w:adjustRightInd/>
        <w:spacing w:line="300" w:lineRule="auto"/>
        <w:ind w:left="0" w:right="0"/>
        <w:textAlignment w:val="auto"/>
        <w:rPr>
          <w:rFonts w:eastAsia="Calibri"/>
          <w:lang w:eastAsia="en-US"/>
        </w:rPr>
      </w:pPr>
      <w:r w:rsidRPr="00262F2C">
        <w:rPr>
          <w:rFonts w:eastAsia="Calibri"/>
          <w:lang w:eastAsia="en-US"/>
        </w:rPr>
        <w:t>В результате планируемые Министерством бюджетные ассигнования на капитальный ремонт, ремонт и содержание автомобильных дорог регионального значения в период 2019–2022 годов с учетом поправочных коэффициентов, утвержденных распоряжениями Правительства Самарской области, превысили нормативную потребность на общую сумму 2 055 730,8 тыс. рублей (</w:t>
      </w:r>
      <w:proofErr w:type="spellStart"/>
      <w:r w:rsidRPr="00262F2C">
        <w:rPr>
          <w:rFonts w:eastAsia="Calibri"/>
          <w:lang w:eastAsia="en-US"/>
        </w:rPr>
        <w:t>расчетно</w:t>
      </w:r>
      <w:proofErr w:type="spellEnd"/>
      <w:r w:rsidRPr="00262F2C">
        <w:rPr>
          <w:rFonts w:eastAsia="Calibri"/>
          <w:lang w:eastAsia="en-US"/>
        </w:rPr>
        <w:t>), в том числе: в 2019 году – на 43 899,1 тыс. рублей, в 2020 году – на 287 410,2 тыс. рублей, в 2021 году – на 637 711,0 тыс. рублей, в 2022 году – на 1 086 710,5 тыс. рублей.</w:t>
      </w:r>
    </w:p>
    <w:p w:rsidR="00AE160D" w:rsidRPr="00262F2C" w:rsidRDefault="00AE160D" w:rsidP="00AE160D">
      <w:pPr>
        <w:widowControl w:val="0"/>
        <w:overflowPunct/>
        <w:autoSpaceDE/>
        <w:autoSpaceDN/>
        <w:adjustRightInd/>
        <w:spacing w:line="300" w:lineRule="auto"/>
        <w:ind w:left="0" w:right="0"/>
        <w:textAlignment w:val="auto"/>
        <w:rPr>
          <w:rFonts w:eastAsia="Calibri"/>
          <w:lang w:eastAsia="en-US"/>
        </w:rPr>
      </w:pPr>
      <w:r w:rsidRPr="00262F2C">
        <w:rPr>
          <w:rFonts w:eastAsia="Calibri"/>
          <w:lang w:eastAsia="en-US"/>
        </w:rPr>
        <w:t>Подробная информация приведена в таблице.</w:t>
      </w:r>
    </w:p>
    <w:p w:rsidR="00AE160D" w:rsidRPr="00262F2C" w:rsidRDefault="00AE160D" w:rsidP="00AE160D">
      <w:pPr>
        <w:spacing w:line="300" w:lineRule="auto"/>
        <w:ind w:left="0" w:right="0" w:firstLine="0"/>
        <w:jc w:val="right"/>
        <w:textAlignment w:val="auto"/>
        <w:rPr>
          <w:sz w:val="20"/>
          <w:szCs w:val="20"/>
        </w:rPr>
      </w:pPr>
      <w:r w:rsidRPr="00262F2C">
        <w:rPr>
          <w:sz w:val="20"/>
          <w:szCs w:val="20"/>
        </w:rPr>
        <w:t>тыс. рублей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5"/>
        <w:gridCol w:w="1278"/>
        <w:gridCol w:w="1273"/>
        <w:gridCol w:w="1417"/>
        <w:gridCol w:w="1276"/>
        <w:gridCol w:w="1276"/>
        <w:gridCol w:w="1134"/>
      </w:tblGrid>
      <w:tr w:rsidR="00AE160D" w:rsidRPr="00262F2C" w:rsidTr="00262F2C">
        <w:trPr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Вид работ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Объем ассигнований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beforeAutospacing="1" w:afterAutospacing="1"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Разница</w:t>
            </w: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 с учетом </w:t>
            </w:r>
            <w:proofErr w:type="spellStart"/>
            <w:r w:rsidRPr="00262F2C">
              <w:rPr>
                <w:color w:val="000000"/>
                <w:sz w:val="18"/>
                <w:szCs w:val="18"/>
                <w:lang w:eastAsia="en-US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  <w:lang w:eastAsia="en-US"/>
              </w:rPr>
              <w:t>.</w:t>
            </w:r>
          </w:p>
        </w:tc>
      </w:tr>
      <w:tr w:rsidR="00AE160D" w:rsidRPr="00262F2C" w:rsidTr="00262F2C">
        <w:trPr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 xml:space="preserve">Расчеты </w:t>
            </w:r>
            <w:r w:rsidRPr="00262F2C">
              <w:rPr>
                <w:sz w:val="18"/>
                <w:szCs w:val="18"/>
                <w:lang w:eastAsia="en-US"/>
              </w:rPr>
              <w:br/>
              <w:t>СП РФ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Расчеты субъекта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Разница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vertAlign w:val="subscript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 xml:space="preserve">Расчеты </w:t>
            </w:r>
            <w:r w:rsidRPr="00262F2C">
              <w:rPr>
                <w:sz w:val="18"/>
                <w:szCs w:val="18"/>
                <w:lang w:eastAsia="en-US"/>
              </w:rPr>
              <w:br/>
              <w:t xml:space="preserve">СП РФ </w:t>
            </w: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 учетом </w:t>
            </w:r>
            <w:proofErr w:type="spellStart"/>
            <w:r w:rsidRPr="00262F2C">
              <w:rPr>
                <w:color w:val="000000"/>
                <w:sz w:val="18"/>
                <w:szCs w:val="18"/>
                <w:lang w:eastAsia="en-US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 xml:space="preserve">Расчеты субъекта РФ </w:t>
            </w: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 учетом </w:t>
            </w:r>
            <w:proofErr w:type="spellStart"/>
            <w:r w:rsidRPr="00262F2C">
              <w:rPr>
                <w:color w:val="000000"/>
                <w:sz w:val="18"/>
                <w:szCs w:val="18"/>
                <w:lang w:eastAsia="en-US"/>
              </w:rPr>
              <w:t>К</w:t>
            </w:r>
            <w:r w:rsidRPr="00262F2C">
              <w:rPr>
                <w:color w:val="000000"/>
                <w:sz w:val="18"/>
                <w:szCs w:val="18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8"/>
                <w:szCs w:val="18"/>
                <w:vertAlign w:val="subscript"/>
                <w:lang w:eastAsia="en-US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AE160D" w:rsidRPr="00262F2C" w:rsidTr="00262F2C"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8 575 279,73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8 490 375,97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-84 903,76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2 935 060,05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2 906 000,05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-29 060,00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7 826 537,08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9 544 557,41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+1 718 020,33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82 000,04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100 000,05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+18 000,01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3 295 408,49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3 843 327,10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+547 918,61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330 546,84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385 505,96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+54 959,12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19 697 225,30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21 878 260,48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+2 181 035,19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3 347 606,93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3 391 506,06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b/>
                <w:i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sz w:val="18"/>
                <w:szCs w:val="18"/>
                <w:lang w:eastAsia="en-US"/>
              </w:rPr>
              <w:t>+43 899,13</w:t>
            </w:r>
          </w:p>
        </w:tc>
      </w:tr>
      <w:tr w:rsidR="00AE160D" w:rsidRPr="00262F2C" w:rsidTr="00262F2C"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8 838 714,81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8 751 202,79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-87 512,03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4 050 100,03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4 010 000,03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-40 100,00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7 564 622,07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9 225 148,87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+1 660 526,80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686 132,86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836 747,39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+150 614,53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3 359 194,62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3 860 078,40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+500 883,77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1 186 356,96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1 363 252,62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+176 895,66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19 762 531,51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21 836 430,05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+2 073 898,54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5 922 589,85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6 210 000,03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b/>
                <w:i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sz w:val="18"/>
                <w:szCs w:val="18"/>
                <w:lang w:eastAsia="en-US"/>
              </w:rPr>
              <w:t>+287 410,19</w:t>
            </w:r>
          </w:p>
        </w:tc>
      </w:tr>
      <w:tr w:rsidR="00AE160D" w:rsidRPr="00262F2C" w:rsidTr="00262F2C"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9 097 005,06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9 006 935,70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-90 069,36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3 551 769,25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3 516 603,21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-35 166,03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8 062 424,02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9 832 224,41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+1 769 800,39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1 066 000,00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1 300 000,00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+234 000,00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3 498 759,42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4 165 189,79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+666 430,37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2 304 104,62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2 742 981,70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438 877,07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20 658 188,50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23 004 349,90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+2 346 161,40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6 921 873,87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7 559 584,91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b/>
                <w:i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sz w:val="18"/>
                <w:szCs w:val="18"/>
                <w:lang w:eastAsia="en-US"/>
              </w:rPr>
              <w:t>637 711,04</w:t>
            </w:r>
          </w:p>
        </w:tc>
      </w:tr>
      <w:tr w:rsidR="00AE160D" w:rsidRPr="00262F2C" w:rsidTr="00262F2C"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9 528 079,60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9 433 742,18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-94 337,42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4 182 965,96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4 141 550,46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-41 415,50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7 986 059,96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9 739 097,51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1 753 037,55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754 400,04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920 000,05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165 600,01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3 704 261,93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4 409 835,63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705 573,70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5 053 261,37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6 015 787,34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962 525,98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21 218 401,49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23 582 675,32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+2 364 273,83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9 990 627,37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11 077 337,85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b/>
                <w:i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sz w:val="18"/>
                <w:szCs w:val="18"/>
                <w:lang w:eastAsia="en-US"/>
              </w:rPr>
              <w:t>+1 086 710,48</w:t>
            </w:r>
          </w:p>
        </w:tc>
      </w:tr>
      <w:tr w:rsidR="00AE160D" w:rsidRPr="00262F2C" w:rsidTr="00262F2C">
        <w:tc>
          <w:tcPr>
            <w:tcW w:w="2014" w:type="dxa"/>
            <w:gridSpan w:val="2"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81 336 346,80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90 301 715,75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+8 965 368,96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26 182 698,02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28 238 428,85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bCs/>
                <w:color w:val="000000"/>
                <w:sz w:val="18"/>
                <w:szCs w:val="18"/>
                <w:lang w:eastAsia="en-US"/>
              </w:rPr>
              <w:t>+2 055 730,84</w:t>
            </w:r>
          </w:p>
        </w:tc>
      </w:tr>
    </w:tbl>
    <w:p w:rsidR="00AE160D" w:rsidRPr="00262F2C" w:rsidRDefault="00AE160D" w:rsidP="00AE160D">
      <w:pPr>
        <w:overflowPunct/>
        <w:autoSpaceDE/>
        <w:autoSpaceDN/>
        <w:adjustRightInd/>
        <w:spacing w:line="300" w:lineRule="auto"/>
        <w:ind w:left="0" w:right="0"/>
        <w:textAlignment w:val="auto"/>
        <w:rPr>
          <w:sz w:val="12"/>
          <w:szCs w:val="12"/>
        </w:rPr>
      </w:pPr>
    </w:p>
    <w:p w:rsidR="00AE160D" w:rsidRPr="00262F2C" w:rsidRDefault="00AE160D" w:rsidP="00AE160D">
      <w:pPr>
        <w:spacing w:line="300" w:lineRule="auto"/>
        <w:ind w:left="0" w:right="0"/>
      </w:pPr>
      <w:r w:rsidRPr="00262F2C">
        <w:t>Пояснения Правительства по факту завышения расчетного объема бюджетных ассигнований на капитальный ремонт, ремонт и содержание автомобильных дорог регионального значения или межмуниципального значения в Самарской области в период 2019–2022 годов отсутствуют.</w:t>
      </w:r>
    </w:p>
    <w:p w:rsidR="00AE160D" w:rsidRPr="00262F2C" w:rsidRDefault="000242F4" w:rsidP="00AE160D">
      <w:pPr>
        <w:overflowPunct/>
        <w:autoSpaceDE/>
        <w:autoSpaceDN/>
        <w:adjustRightInd/>
        <w:spacing w:line="276" w:lineRule="auto"/>
        <w:ind w:left="0" w:right="0"/>
        <w:textAlignment w:val="auto"/>
      </w:pPr>
      <w:r>
        <w:t>2</w:t>
      </w:r>
      <w:r w:rsidR="00AE160D" w:rsidRPr="00262F2C">
        <w:t xml:space="preserve">. В ходе контрольного мероприятия установлено завышение расчетного объема бюджетных ассигнований на капитальный ремонт, ремонт и содержание автомобильных дорог регионального значения Нижегородской области в период 2019–2022 годов, сформированного в том числе за счет федерального бюджета, на общую сумму 2 554 788,4 тыс. рублей с учетом поправочных коэффициентов. </w:t>
      </w: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Так, в нарушение пункта 4 Правил № 461 Министерством при формировании расчета нормативной потребности в бюджетных ассигнованиях на капитальный ремонт, ремонт и содержание автомобильных дорог регионального или межмуниципального значения Нижегородской области на 2019–2022 годы в расчетную протяженность автомобильных дорог включены грунтовые автомобильные дороги (116,946 км, 115,936 км, 114,769 км и 114,769 км соответственно), не отнесенные ни к одной из категорий автомобильных дорог.</w:t>
      </w: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Согласно пункту 6 Правил классификации автомобильных дорог</w:t>
      </w:r>
      <w:r w:rsidRPr="00262F2C">
        <w:rPr>
          <w:vertAlign w:val="superscript"/>
        </w:rPr>
        <w:footnoteReference w:id="3"/>
      </w:r>
      <w:r w:rsidRPr="00262F2C">
        <w:t xml:space="preserve"> отнесение автомобильной дороги регионального или межмуниципального значения к категории автомобильной дороги осуществляется исполнительным органом государственной власти субъекта Российской Федерации по результатам оценки технического состояния автомобильной дороги, проводимой в порядке, установленном Минтрансом России.</w:t>
      </w: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В период 2019–2022 годов грунтовые автомобильные дороги протяженностью 116,946 км, 115,936 км, 114,769 км и 114,769 км соответственно не отнесены Министерством ни к одной из установленных категорий дорог, что подтверждается статистической отчетностью по формам федерального статистического наблюдения «Сведения об автомобильных дорогах общего пользования и сооружениях на них федерального, регионального или межмуниципального значения» (форма № 1-ДГ) и «Сведения о категориях автомобильных дорог общего пользования федерального, регионального или межмуниципального значения, сельских населенных пунктах, имеющих автотранспортную связь по дорогам с твердым покрытием с сетью путей сообщения общего пользования» (форма № 2-ДГ).</w:t>
      </w:r>
    </w:p>
    <w:p w:rsidR="00AE160D" w:rsidRPr="00262F2C" w:rsidRDefault="00AE160D" w:rsidP="00AE160D">
      <w:pPr>
        <w:widowControl w:val="0"/>
        <w:spacing w:line="276" w:lineRule="auto"/>
        <w:ind w:left="0" w:right="0"/>
        <w:jc w:val="right"/>
        <w:rPr>
          <w:sz w:val="20"/>
          <w:szCs w:val="20"/>
        </w:rPr>
      </w:pPr>
      <w:r w:rsidRPr="00262F2C">
        <w:rPr>
          <w:sz w:val="20"/>
          <w:szCs w:val="20"/>
        </w:rPr>
        <w:t>км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1588"/>
        <w:gridCol w:w="1730"/>
        <w:gridCol w:w="1703"/>
        <w:gridCol w:w="1670"/>
      </w:tblGrid>
      <w:tr w:rsidR="00AE160D" w:rsidRPr="00262F2C" w:rsidTr="00262F2C">
        <w:trPr>
          <w:trHeight w:val="113"/>
          <w:tblHeader/>
        </w:trPr>
        <w:tc>
          <w:tcPr>
            <w:tcW w:w="1149" w:type="dxa"/>
            <w:vMerge w:val="restart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5021" w:type="dxa"/>
            <w:gridSpan w:val="3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Протяженность на год планирования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Завышение расчетной протяженности</w:t>
            </w:r>
          </w:p>
        </w:tc>
      </w:tr>
      <w:tr w:rsidR="00AE160D" w:rsidRPr="00262F2C" w:rsidTr="00262F2C">
        <w:trPr>
          <w:trHeight w:val="113"/>
          <w:tblHeader/>
        </w:trPr>
        <w:tc>
          <w:tcPr>
            <w:tcW w:w="1149" w:type="dxa"/>
            <w:vMerge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2-ДГ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1-ДГ (грунтовые дороги)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</w:t>
            </w:r>
          </w:p>
        </w:tc>
        <w:tc>
          <w:tcPr>
            <w:tcW w:w="1670" w:type="dxa"/>
            <w:vMerge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588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3 901,655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116,946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4 032,719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+116,946</w:t>
            </w: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588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3 903,979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115,936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4 019,726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+115,936</w:t>
            </w: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3 865,110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114,769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4 008,719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+114,769</w:t>
            </w:r>
          </w:p>
        </w:tc>
      </w:tr>
      <w:tr w:rsidR="00AE160D" w:rsidRPr="00262F2C" w:rsidTr="00262F2C">
        <w:trPr>
          <w:trHeight w:val="1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3 865,110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114,769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F2C">
              <w:rPr>
                <w:color w:val="000000"/>
                <w:sz w:val="20"/>
                <w:szCs w:val="20"/>
                <w:lang w:val="en-US"/>
              </w:rPr>
              <w:t>3 979,879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+114,769</w:t>
            </w:r>
          </w:p>
        </w:tc>
      </w:tr>
      <w:tr w:rsidR="00AE160D" w:rsidRPr="00262F2C" w:rsidTr="00262F2C">
        <w:trPr>
          <w:trHeight w:val="113"/>
        </w:trPr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right"/>
              <w:rPr>
                <w:b/>
                <w:color w:val="000000"/>
                <w:sz w:val="20"/>
                <w:szCs w:val="20"/>
              </w:rPr>
            </w:pPr>
            <w:r w:rsidRPr="00262F2C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+462,42</w:t>
            </w:r>
          </w:p>
        </w:tc>
      </w:tr>
    </w:tbl>
    <w:p w:rsidR="00AE160D" w:rsidRPr="00262F2C" w:rsidRDefault="00AE160D" w:rsidP="00AE160D">
      <w:pPr>
        <w:widowControl w:val="0"/>
        <w:spacing w:line="276" w:lineRule="auto"/>
        <w:ind w:left="0" w:right="0"/>
        <w:rPr>
          <w:sz w:val="12"/>
          <w:szCs w:val="12"/>
        </w:rPr>
      </w:pP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Таким образом, включение в расчет нормативной потребности показателя протяженности грунтовых дорог привело к завышению объема бюджетных ассигнований на выполнение работ по содержанию автомобильных дорог регионального или межмуниципального значения Нижегородской области в период 2019–2022 годов на общую сумму 138 008,0 тыс. рублей (</w:t>
      </w:r>
      <w:proofErr w:type="spellStart"/>
      <w:r w:rsidRPr="00262F2C">
        <w:t>расчетно</w:t>
      </w:r>
      <w:proofErr w:type="spellEnd"/>
      <w:r w:rsidRPr="00262F2C">
        <w:t>) с учетом поправочных коэффициентов, в том числе: в 2019 году – 28 975,6 тыс. рублей, в 2020 году – 32 236,5 тыс. рублей, в 2021 году – 33 419,2 тыс. рублей, в 2022 году – 43 376,7 тыс. рублей.</w:t>
      </w: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Результаты сравнения соответствующих расчетов приведены в таблице.</w:t>
      </w:r>
    </w:p>
    <w:p w:rsidR="00AE160D" w:rsidRPr="00262F2C" w:rsidRDefault="00AE160D" w:rsidP="00AE160D">
      <w:pPr>
        <w:widowControl w:val="0"/>
        <w:spacing w:line="276" w:lineRule="auto"/>
        <w:ind w:left="0" w:right="0"/>
        <w:jc w:val="right"/>
        <w:rPr>
          <w:sz w:val="20"/>
          <w:szCs w:val="20"/>
        </w:rPr>
      </w:pPr>
      <w:r w:rsidRPr="00262F2C">
        <w:rPr>
          <w:sz w:val="20"/>
          <w:szCs w:val="20"/>
        </w:rPr>
        <w:t>тыс. рублей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253"/>
        <w:gridCol w:w="1433"/>
        <w:gridCol w:w="1984"/>
        <w:gridCol w:w="2581"/>
      </w:tblGrid>
      <w:tr w:rsidR="00AE160D" w:rsidRPr="00262F2C" w:rsidTr="00262F2C">
        <w:trPr>
          <w:trHeight w:val="214"/>
        </w:trPr>
        <w:tc>
          <w:tcPr>
            <w:tcW w:w="1139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 w:rsidRPr="00262F2C">
              <w:rPr>
                <w:sz w:val="20"/>
                <w:szCs w:val="20"/>
              </w:rPr>
              <w:t>L, км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 w:rsidRPr="00262F2C">
              <w:rPr>
                <w:sz w:val="20"/>
                <w:szCs w:val="20"/>
              </w:rPr>
              <w:t>Общий объем ассигнований</w:t>
            </w:r>
          </w:p>
        </w:tc>
        <w:tc>
          <w:tcPr>
            <w:tcW w:w="2581" w:type="dxa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 w:rsidRPr="00262F2C">
              <w:rPr>
                <w:sz w:val="20"/>
                <w:szCs w:val="20"/>
              </w:rPr>
              <w:t>Объем ассигнований с учетом поправочного коэффициента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 w:val="restart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13 035,362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16 189 888,38</w:t>
            </w:r>
          </w:p>
        </w:tc>
        <w:tc>
          <w:tcPr>
            <w:tcW w:w="2581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3 408 457,20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 без грунтовых дорог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12 918,416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16 052 256,61</w:t>
            </w:r>
          </w:p>
        </w:tc>
        <w:tc>
          <w:tcPr>
            <w:tcW w:w="2581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3 379 481,58</w:t>
            </w:r>
          </w:p>
        </w:tc>
      </w:tr>
      <w:tr w:rsidR="00AE160D" w:rsidRPr="00262F2C" w:rsidTr="00262F2C">
        <w:trPr>
          <w:trHeight w:val="237"/>
        </w:trPr>
        <w:tc>
          <w:tcPr>
            <w:tcW w:w="1139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Разница: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-116,95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-137 631,77</w:t>
            </w:r>
          </w:p>
        </w:tc>
        <w:tc>
          <w:tcPr>
            <w:tcW w:w="2581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-28 975,62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12 913,938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17 018 799,38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3 786 172,30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 без грунтовых дорог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12 798,002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16 873 896,79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3 753 935,82</w:t>
            </w:r>
          </w:p>
        </w:tc>
      </w:tr>
      <w:tr w:rsidR="00AE160D" w:rsidRPr="00262F2C" w:rsidTr="00262F2C">
        <w:trPr>
          <w:trHeight w:val="29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Разница: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-115,94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-144 902,59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-32 236,48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12 925,669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18 769 479,77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3 969 932,67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 без грунтовых дорог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12 810,9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18 611 476,83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3 936 513,46</w:t>
            </w:r>
          </w:p>
        </w:tc>
      </w:tr>
      <w:tr w:rsidR="00AE160D" w:rsidRPr="00262F2C" w:rsidTr="00262F2C">
        <w:trPr>
          <w:trHeight w:val="297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Разница: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-114,77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-158 002,94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-33 419,20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12 933,848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19 814 987,46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5 156 652,34</w:t>
            </w:r>
          </w:p>
        </w:tc>
      </w:tr>
      <w:tr w:rsidR="00AE160D" w:rsidRPr="00262F2C" w:rsidTr="00262F2C">
        <w:trPr>
          <w:trHeight w:val="34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Расчеты Министерства без грунтовых дорог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12 819,079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19 648 307,83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5 113 275,63</w:t>
            </w:r>
          </w:p>
        </w:tc>
      </w:tr>
      <w:tr w:rsidR="00AE160D" w:rsidRPr="00262F2C" w:rsidTr="00262F2C">
        <w:trPr>
          <w:trHeight w:val="273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Разница: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-114,77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-166 679,63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-43 376,71</w:t>
            </w:r>
          </w:p>
        </w:tc>
      </w:tr>
      <w:tr w:rsidR="00AE160D" w:rsidRPr="00262F2C" w:rsidTr="00262F2C">
        <w:trPr>
          <w:trHeight w:val="273"/>
        </w:trPr>
        <w:tc>
          <w:tcPr>
            <w:tcW w:w="3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262F2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62F2C">
              <w:rPr>
                <w:color w:val="000000"/>
                <w:sz w:val="22"/>
                <w:szCs w:val="22"/>
              </w:rPr>
              <w:t>-462,42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 w:rsidRPr="00262F2C">
              <w:rPr>
                <w:color w:val="000000"/>
                <w:sz w:val="22"/>
                <w:szCs w:val="22"/>
              </w:rPr>
              <w:t>-607 216,93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 w:rsidRPr="00262F2C">
              <w:rPr>
                <w:color w:val="000000"/>
                <w:sz w:val="22"/>
                <w:szCs w:val="22"/>
              </w:rPr>
              <w:t>-138 008,00</w:t>
            </w:r>
          </w:p>
        </w:tc>
      </w:tr>
    </w:tbl>
    <w:p w:rsidR="00AE160D" w:rsidRPr="00262F2C" w:rsidRDefault="00AE160D" w:rsidP="00AE160D">
      <w:pPr>
        <w:widowControl w:val="0"/>
        <w:spacing w:line="276" w:lineRule="auto"/>
        <w:ind w:left="0" w:right="0"/>
        <w:rPr>
          <w:sz w:val="12"/>
          <w:szCs w:val="12"/>
        </w:rPr>
      </w:pPr>
    </w:p>
    <w:p w:rsidR="00787D01" w:rsidRDefault="00AE160D" w:rsidP="00787D01">
      <w:pPr>
        <w:widowControl w:val="0"/>
        <w:spacing w:line="276" w:lineRule="auto"/>
        <w:ind w:left="0" w:right="0"/>
      </w:pPr>
      <w:r w:rsidRPr="00262F2C">
        <w:t xml:space="preserve">В нарушение пунктов 2, 3, 4 Правил № 461 Министерством при формировании расчета нормативной потребности в бюджетных ассигнованиях на капитальный ремонт, ремонт и содержание автомобильных дорог регионального или межмуниципального значения Нижегородской области в 2021 году </w:t>
      </w:r>
      <w:r w:rsidR="00787D01">
        <w:t>необоснованно применен индекс-дефлятор инвестиций в основной капитал на 2022 год (К=1,051).</w:t>
      </w:r>
    </w:p>
    <w:p w:rsidR="00AE160D" w:rsidRPr="00262F2C" w:rsidRDefault="00AE160D" w:rsidP="00AE160D">
      <w:pPr>
        <w:widowControl w:val="0"/>
        <w:overflowPunct/>
        <w:autoSpaceDE/>
        <w:autoSpaceDN/>
        <w:adjustRightInd/>
        <w:spacing w:line="276" w:lineRule="auto"/>
        <w:ind w:left="0" w:right="0"/>
        <w:textAlignment w:val="auto"/>
        <w:rPr>
          <w:rFonts w:eastAsia="Calibri"/>
          <w:lang w:eastAsia="en-US"/>
        </w:rPr>
      </w:pPr>
      <w:r w:rsidRPr="00262F2C">
        <w:rPr>
          <w:rFonts w:eastAsia="Calibri"/>
          <w:lang w:eastAsia="en-US"/>
        </w:rPr>
        <w:t>В результате планируемые Министерством бюджетные ассигнования на капитальный ремонт, ремонт и содержание автомобильных дорог регионального или межмуниципального значения в 2021 году превысили нормативную потребность на 687 711,8 тыс. рублей  с у</w:t>
      </w:r>
      <w:r w:rsidR="00787D01">
        <w:rPr>
          <w:rFonts w:eastAsia="Calibri"/>
          <w:lang w:eastAsia="en-US"/>
        </w:rPr>
        <w:t>четом поправочных коэффициентов</w:t>
      </w:r>
      <w:r w:rsidR="00787D01" w:rsidRPr="00787D01">
        <w:rPr>
          <w:rFonts w:eastAsia="Calibri"/>
          <w:lang w:eastAsia="en-US"/>
        </w:rPr>
        <w:t xml:space="preserve"> </w:t>
      </w:r>
      <w:r w:rsidR="00787D01" w:rsidRPr="00262F2C">
        <w:rPr>
          <w:rFonts w:eastAsia="Calibri"/>
          <w:lang w:eastAsia="en-US"/>
        </w:rPr>
        <w:t>(</w:t>
      </w:r>
      <w:proofErr w:type="spellStart"/>
      <w:r w:rsidR="00787D01" w:rsidRPr="00262F2C">
        <w:rPr>
          <w:rFonts w:eastAsia="Calibri"/>
          <w:lang w:eastAsia="en-US"/>
        </w:rPr>
        <w:t>расчетно</w:t>
      </w:r>
      <w:proofErr w:type="spellEnd"/>
      <w:r w:rsidR="00787D01" w:rsidRPr="00262F2C">
        <w:rPr>
          <w:rFonts w:eastAsia="Calibri"/>
          <w:lang w:eastAsia="en-US"/>
        </w:rPr>
        <w:t>)</w:t>
      </w:r>
      <w:r w:rsidR="00787D01">
        <w:rPr>
          <w:rFonts w:eastAsia="Calibri"/>
          <w:lang w:eastAsia="en-US"/>
        </w:rPr>
        <w:t>.</w:t>
      </w:r>
    </w:p>
    <w:p w:rsidR="00AE160D" w:rsidRPr="00262F2C" w:rsidRDefault="00AE160D" w:rsidP="00AE160D">
      <w:pPr>
        <w:widowControl w:val="0"/>
        <w:overflowPunct/>
        <w:autoSpaceDE/>
        <w:autoSpaceDN/>
        <w:adjustRightInd/>
        <w:spacing w:line="276" w:lineRule="auto"/>
        <w:ind w:left="0" w:right="0"/>
        <w:textAlignment w:val="auto"/>
        <w:rPr>
          <w:rFonts w:eastAsia="Calibri"/>
          <w:lang w:eastAsia="en-US"/>
        </w:rPr>
      </w:pPr>
      <w:r w:rsidRPr="00262F2C">
        <w:rPr>
          <w:rFonts w:eastAsia="Calibri"/>
          <w:lang w:eastAsia="en-US"/>
        </w:rPr>
        <w:t>Подробная информация приведена в таблице.</w:t>
      </w:r>
    </w:p>
    <w:p w:rsidR="00AE160D" w:rsidRPr="00262F2C" w:rsidRDefault="00AE160D" w:rsidP="00AE160D">
      <w:pPr>
        <w:spacing w:line="276" w:lineRule="auto"/>
        <w:ind w:left="0" w:right="0"/>
        <w:jc w:val="right"/>
        <w:textAlignment w:val="auto"/>
        <w:rPr>
          <w:sz w:val="20"/>
          <w:szCs w:val="20"/>
        </w:rPr>
      </w:pPr>
      <w:r w:rsidRPr="00262F2C">
        <w:rPr>
          <w:sz w:val="20"/>
          <w:szCs w:val="20"/>
        </w:rPr>
        <w:t>тыс. рублей</w:t>
      </w:r>
    </w:p>
    <w:tbl>
      <w:tblPr>
        <w:tblW w:w="9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5"/>
        <w:gridCol w:w="1278"/>
        <w:gridCol w:w="1273"/>
        <w:gridCol w:w="1417"/>
        <w:gridCol w:w="1276"/>
        <w:gridCol w:w="1276"/>
        <w:gridCol w:w="1290"/>
      </w:tblGrid>
      <w:tr w:rsidR="00AE160D" w:rsidRPr="00262F2C" w:rsidTr="00262F2C">
        <w:trPr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Вид работ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Объем ассигнований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beforeAutospacing="1" w:afterAutospacing="1"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>Разница</w:t>
            </w:r>
            <w:r w:rsidRPr="00262F2C">
              <w:rPr>
                <w:color w:val="000000"/>
                <w:sz w:val="17"/>
                <w:szCs w:val="17"/>
                <w:lang w:eastAsia="en-US"/>
              </w:rPr>
              <w:t xml:space="preserve"> с учетом </w:t>
            </w:r>
            <w:proofErr w:type="spellStart"/>
            <w:r w:rsidRPr="00262F2C">
              <w:rPr>
                <w:color w:val="000000"/>
                <w:sz w:val="17"/>
                <w:szCs w:val="17"/>
                <w:lang w:eastAsia="en-US"/>
              </w:rPr>
              <w:t>К</w:t>
            </w:r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.</w:t>
            </w:r>
          </w:p>
        </w:tc>
      </w:tr>
      <w:tr w:rsidR="00AE160D" w:rsidRPr="00262F2C" w:rsidTr="00262F2C">
        <w:trPr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>Расчеты субъекта РФ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 xml:space="preserve">Расчеты </w:t>
            </w:r>
            <w:r w:rsidRPr="00262F2C">
              <w:rPr>
                <w:sz w:val="17"/>
                <w:szCs w:val="17"/>
                <w:lang w:eastAsia="en-US"/>
              </w:rPr>
              <w:br/>
              <w:t>СП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>Разница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vertAlign w:val="subscript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 xml:space="preserve">Расчеты субъекта РФ </w:t>
            </w:r>
            <w:r w:rsidRPr="00262F2C">
              <w:rPr>
                <w:color w:val="000000"/>
                <w:sz w:val="17"/>
                <w:szCs w:val="17"/>
                <w:lang w:eastAsia="en-US"/>
              </w:rPr>
              <w:t xml:space="preserve">с учетом </w:t>
            </w:r>
            <w:proofErr w:type="spellStart"/>
            <w:r w:rsidRPr="00262F2C">
              <w:rPr>
                <w:color w:val="000000"/>
                <w:sz w:val="17"/>
                <w:szCs w:val="17"/>
                <w:lang w:eastAsia="en-US"/>
              </w:rPr>
              <w:t>К</w:t>
            </w:r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 xml:space="preserve">Расчеты </w:t>
            </w:r>
            <w:r w:rsidRPr="00262F2C">
              <w:rPr>
                <w:sz w:val="17"/>
                <w:szCs w:val="17"/>
                <w:lang w:eastAsia="en-US"/>
              </w:rPr>
              <w:br/>
              <w:t xml:space="preserve">СП РФ </w:t>
            </w:r>
            <w:r w:rsidRPr="00262F2C">
              <w:rPr>
                <w:color w:val="000000"/>
                <w:sz w:val="17"/>
                <w:szCs w:val="17"/>
                <w:lang w:eastAsia="en-US"/>
              </w:rPr>
              <w:t xml:space="preserve">с учетом </w:t>
            </w:r>
            <w:proofErr w:type="spellStart"/>
            <w:r w:rsidRPr="00262F2C">
              <w:rPr>
                <w:color w:val="000000"/>
                <w:sz w:val="17"/>
                <w:szCs w:val="17"/>
                <w:lang w:eastAsia="en-US"/>
              </w:rPr>
              <w:t>К</w:t>
            </w:r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.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</w:p>
        </w:tc>
      </w:tr>
      <w:tr w:rsidR="00AE160D" w:rsidRPr="00262F2C" w:rsidTr="00262F2C"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18 769 479,77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17 858 686,74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-910 793,03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3 969 932,67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3 777 290,83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-192 641,83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38 367 897,14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36 506 086,72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-1 861 810,42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875 555,41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833 068,90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-42 486,51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11 871 555,09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11 295 485,34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-576 069,75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9 326 768,54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8 874 185,10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-452 583,44</w:t>
            </w:r>
          </w:p>
        </w:tc>
      </w:tr>
      <w:tr w:rsidR="00AE160D" w:rsidRPr="00262F2C" w:rsidTr="00262F2C"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69 008 932,00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65 660 258,81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-3 348 673,20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14 172 256,62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13 484 544,83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-687 711,79</w:t>
            </w:r>
          </w:p>
        </w:tc>
      </w:tr>
    </w:tbl>
    <w:p w:rsidR="00AE160D" w:rsidRPr="00262F2C" w:rsidRDefault="00AE160D" w:rsidP="00AE160D">
      <w:pPr>
        <w:overflowPunct/>
        <w:autoSpaceDE/>
        <w:autoSpaceDN/>
        <w:adjustRightInd/>
        <w:spacing w:line="276" w:lineRule="auto"/>
        <w:ind w:left="0" w:right="0"/>
        <w:textAlignment w:val="auto"/>
        <w:rPr>
          <w:sz w:val="12"/>
          <w:szCs w:val="12"/>
        </w:rPr>
      </w:pP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В нарушение пунктов 2, 3, 4 Правил № 461 Министерством при формировании расчета нормативной потребности в бюджетных ассигнованиях на капитальный ремонт, ремонт и содержание автомобильных дорог регионального или межмуниципального значения Нижегородской области в период 2019–2022 годов не применялись индексы-дефляторы инвестиций в основной капитал в части капитального ремонта и ремонта автомобильных дорог или индексы потребительских цен в части содержания автомобильных дорог на год планирования (при расчете на период более одного года – произведение индексов-дефляторов на соответствующие годы), разработанные министерством экономики Нижегородской области для прогноза социально-экономического развития и учитываемые при формировании областного бюджета на соответствующий финансовый год.</w:t>
      </w:r>
    </w:p>
    <w:p w:rsidR="00AE160D" w:rsidRPr="00262F2C" w:rsidRDefault="00AE160D" w:rsidP="00AE160D">
      <w:pPr>
        <w:spacing w:line="276" w:lineRule="auto"/>
        <w:ind w:left="0" w:right="0"/>
      </w:pPr>
      <w:r w:rsidRPr="00262F2C">
        <w:t>Так, вместо указанных индексов по всем видам дорожной деятельности применялись индексы-дефляторы инвестиций в основной капитал согласно Прогнозам социально-экономического развития Российской Федерации, разрабатываемым Минэкономразвития России.</w:t>
      </w:r>
    </w:p>
    <w:p w:rsidR="00AE160D" w:rsidRPr="00262F2C" w:rsidRDefault="00AE160D" w:rsidP="00AE160D">
      <w:pPr>
        <w:widowControl w:val="0"/>
        <w:spacing w:line="276" w:lineRule="auto"/>
        <w:ind w:left="0" w:right="0"/>
      </w:pPr>
      <w:r w:rsidRPr="00262F2C">
        <w:t>Информация по несоответствию значений индексов в Расчетах Министерства приведена в таблице</w:t>
      </w:r>
      <w:r w:rsidRPr="00262F2C">
        <w:rPr>
          <w:vertAlign w:val="superscript"/>
        </w:rPr>
        <w:footnoteReference w:id="4"/>
      </w:r>
      <w:r w:rsidRPr="00262F2C">
        <w:t>.</w:t>
      </w:r>
    </w:p>
    <w:p w:rsidR="00AE160D" w:rsidRPr="00262F2C" w:rsidRDefault="00AE160D" w:rsidP="00AE160D">
      <w:pPr>
        <w:spacing w:line="276" w:lineRule="auto"/>
        <w:ind w:left="0" w:right="0"/>
        <w:jc w:val="right"/>
        <w:textAlignment w:val="auto"/>
        <w:rPr>
          <w:sz w:val="12"/>
          <w:szCs w:val="12"/>
        </w:rPr>
      </w:pPr>
    </w:p>
    <w:tbl>
      <w:tblPr>
        <w:tblW w:w="96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112"/>
        <w:gridCol w:w="1898"/>
        <w:gridCol w:w="2077"/>
        <w:gridCol w:w="1478"/>
        <w:gridCol w:w="2152"/>
      </w:tblGrid>
      <w:tr w:rsidR="00AE160D" w:rsidRPr="00262F2C" w:rsidTr="00262F2C">
        <w:trPr>
          <w:trHeight w:val="113"/>
          <w:tblHeader/>
        </w:trPr>
        <w:tc>
          <w:tcPr>
            <w:tcW w:w="917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Плановый период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Вид работ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Расчеты Министерства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Прогноз Минэкономразвития и инвестиций НО</w:t>
            </w: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Результат сравнения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62F2C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262F2C">
              <w:rPr>
                <w:color w:val="000000"/>
                <w:sz w:val="16"/>
                <w:szCs w:val="16"/>
              </w:rPr>
              <w:t xml:space="preserve"> (прогноз Минэкономразвития России)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 w:val="restart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кап. ремонт и ремонт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К=1,05</w:t>
            </w: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К=1,068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К=1,042</w:t>
            </w: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К=1,045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 w:val="restart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кап. ремонт и ремонт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2020 год К=1,062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2020 год К=1,04</w:t>
            </w: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К=1,068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2020 год К=1,062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2020 год К=1,062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К=1,042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2020 год К=1,039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2020 год К=1,032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 w:val="restart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кап. ремонт и ремонт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2020 год К=1,056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2021 год К=1,054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2020 год К=1,04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2021 год К=1,051</w:t>
            </w: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К=1,068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2020 год К=1,056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2021 год К=1,054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2020 год К=1,056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2021 год К=1,054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К=1,044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2020 год К=1,039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2021 год К=1,06</w:t>
            </w:r>
          </w:p>
        </w:tc>
        <w:tc>
          <w:tcPr>
            <w:tcW w:w="1478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2020 год К=1,034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2021 год К=1,067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кап. ремонт и ремонт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2020 год К=1,056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2021 год К=1,049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2022 год К=1,114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2020 год К=1,04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2021 год К=1,051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2022 год К=1,051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2019 год К=1,068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2020 год К=1,056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2021 год К=1,049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ИОК на 2022 год К=1,114</w:t>
            </w:r>
          </w:p>
        </w:tc>
      </w:tr>
      <w:tr w:rsidR="00AE160D" w:rsidRPr="00262F2C" w:rsidTr="00262F2C">
        <w:trPr>
          <w:trHeight w:val="113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содержание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2019 год К=1,05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2020 год К=1,056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2021 год К=1,049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на 2022 год К=1,114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К=1,044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2020 год К=1,039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2021 год К=1,06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2022 год К=1,043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262F2C">
              <w:rPr>
                <w:b/>
                <w:color w:val="000000"/>
                <w:sz w:val="16"/>
                <w:szCs w:val="16"/>
              </w:rPr>
              <w:t>не соответствует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2019 год К=1,045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2020 год К=1,034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2021 год К=1,067</w:t>
            </w:r>
          </w:p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262F2C">
              <w:rPr>
                <w:color w:val="000000"/>
                <w:sz w:val="16"/>
                <w:szCs w:val="16"/>
              </w:rPr>
              <w:t>ИПЦ на 2022 год К=1,165</w:t>
            </w:r>
          </w:p>
        </w:tc>
      </w:tr>
    </w:tbl>
    <w:p w:rsidR="00AE160D" w:rsidRPr="00262F2C" w:rsidRDefault="00AE160D" w:rsidP="00AE160D">
      <w:pPr>
        <w:spacing w:line="276" w:lineRule="auto"/>
        <w:ind w:left="0" w:right="0"/>
        <w:rPr>
          <w:sz w:val="12"/>
          <w:szCs w:val="12"/>
        </w:rPr>
      </w:pPr>
    </w:p>
    <w:p w:rsidR="00AE160D" w:rsidRPr="00262F2C" w:rsidRDefault="00AE160D" w:rsidP="00AE160D">
      <w:pPr>
        <w:widowControl w:val="0"/>
        <w:overflowPunct/>
        <w:autoSpaceDE/>
        <w:autoSpaceDN/>
        <w:adjustRightInd/>
        <w:spacing w:line="276" w:lineRule="auto"/>
        <w:ind w:left="0" w:right="0"/>
        <w:textAlignment w:val="auto"/>
        <w:rPr>
          <w:rFonts w:eastAsia="Calibri"/>
          <w:lang w:eastAsia="en-US"/>
        </w:rPr>
      </w:pPr>
      <w:r w:rsidRPr="00262F2C">
        <w:rPr>
          <w:rFonts w:eastAsia="Calibri"/>
          <w:lang w:eastAsia="en-US"/>
        </w:rPr>
        <w:t>В результате планируемые Министерством бюджетные ассигнования на капитальный ремонт, ремонт и содержание автомобильных дорог регионального или межмуниципального значения в период 2019–2022 годов превысили нормативную потребность на общую сумму 1 729 068,6 тыс. рублей (</w:t>
      </w:r>
      <w:proofErr w:type="spellStart"/>
      <w:r w:rsidRPr="00262F2C">
        <w:rPr>
          <w:rFonts w:eastAsia="Calibri"/>
          <w:lang w:eastAsia="en-US"/>
        </w:rPr>
        <w:t>расчетно</w:t>
      </w:r>
      <w:proofErr w:type="spellEnd"/>
      <w:r w:rsidRPr="00262F2C">
        <w:rPr>
          <w:rFonts w:eastAsia="Calibri"/>
          <w:lang w:eastAsia="en-US"/>
        </w:rPr>
        <w:t>) с учетом поправочных коэффициентов, в том числе: в 2019 году – на 25 969,2 тыс. рублей, в 2020 году – на 302 343,5 тыс. рублей, в 2021 году – на 247 301,2 тыс. рублей, в 2022 году – на 1 153 454,7 тыс. рублей.</w:t>
      </w:r>
    </w:p>
    <w:p w:rsidR="00AE160D" w:rsidRPr="00262F2C" w:rsidRDefault="00AE160D" w:rsidP="00AE160D">
      <w:pPr>
        <w:widowControl w:val="0"/>
        <w:overflowPunct/>
        <w:autoSpaceDE/>
        <w:autoSpaceDN/>
        <w:adjustRightInd/>
        <w:spacing w:line="276" w:lineRule="auto"/>
        <w:ind w:left="0" w:right="0"/>
        <w:textAlignment w:val="auto"/>
        <w:rPr>
          <w:rFonts w:eastAsia="Calibri"/>
          <w:lang w:eastAsia="en-US"/>
        </w:rPr>
      </w:pPr>
      <w:r w:rsidRPr="00262F2C">
        <w:rPr>
          <w:rFonts w:eastAsia="Calibri"/>
          <w:lang w:eastAsia="en-US"/>
        </w:rPr>
        <w:t>Подробная информация приведена в таблице.</w:t>
      </w:r>
    </w:p>
    <w:p w:rsidR="00AE160D" w:rsidRPr="00262F2C" w:rsidRDefault="00AE160D" w:rsidP="00AE160D">
      <w:pPr>
        <w:spacing w:line="276" w:lineRule="auto"/>
        <w:ind w:left="0" w:right="0"/>
        <w:jc w:val="right"/>
        <w:textAlignment w:val="auto"/>
        <w:rPr>
          <w:sz w:val="20"/>
          <w:szCs w:val="20"/>
        </w:rPr>
      </w:pPr>
      <w:r w:rsidRPr="00262F2C">
        <w:rPr>
          <w:sz w:val="20"/>
          <w:szCs w:val="20"/>
        </w:rPr>
        <w:t>тыс. рублей</w:t>
      </w:r>
    </w:p>
    <w:tbl>
      <w:tblPr>
        <w:tblW w:w="100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417"/>
        <w:gridCol w:w="1417"/>
        <w:gridCol w:w="1276"/>
        <w:gridCol w:w="1276"/>
        <w:gridCol w:w="1290"/>
      </w:tblGrid>
      <w:tr w:rsidR="00AE160D" w:rsidRPr="00262F2C" w:rsidTr="00AE160D">
        <w:trPr>
          <w:trHeight w:val="340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Вид работ</w:t>
            </w:r>
          </w:p>
        </w:tc>
        <w:tc>
          <w:tcPr>
            <w:tcW w:w="6803" w:type="dxa"/>
            <w:gridSpan w:val="5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Объем ассигнований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beforeAutospacing="1" w:afterAutospacing="1"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>Разница</w:t>
            </w:r>
            <w:r w:rsidRPr="00262F2C">
              <w:rPr>
                <w:color w:val="000000"/>
                <w:sz w:val="17"/>
                <w:szCs w:val="17"/>
                <w:lang w:eastAsia="en-US"/>
              </w:rPr>
              <w:t xml:space="preserve"> с учетом </w:t>
            </w:r>
            <w:proofErr w:type="spellStart"/>
            <w:r w:rsidRPr="00262F2C">
              <w:rPr>
                <w:color w:val="000000"/>
                <w:sz w:val="17"/>
                <w:szCs w:val="17"/>
                <w:lang w:eastAsia="en-US"/>
              </w:rPr>
              <w:t>К</w:t>
            </w:r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.</w:t>
            </w:r>
          </w:p>
        </w:tc>
      </w:tr>
      <w:tr w:rsidR="00AE160D" w:rsidRPr="00262F2C" w:rsidTr="00AE160D">
        <w:trPr>
          <w:trHeight w:val="340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>Расчеты субъекта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 xml:space="preserve">Расчеты </w:t>
            </w:r>
            <w:r w:rsidRPr="00262F2C">
              <w:rPr>
                <w:sz w:val="17"/>
                <w:szCs w:val="17"/>
                <w:lang w:eastAsia="en-US"/>
              </w:rPr>
              <w:br/>
              <w:t>СП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>Разница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vertAlign w:val="subscript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 xml:space="preserve">Расчеты субъекта РФ </w:t>
            </w:r>
            <w:r w:rsidRPr="00262F2C">
              <w:rPr>
                <w:color w:val="000000"/>
                <w:sz w:val="17"/>
                <w:szCs w:val="17"/>
                <w:lang w:eastAsia="en-US"/>
              </w:rPr>
              <w:t xml:space="preserve">с учетом </w:t>
            </w:r>
            <w:proofErr w:type="spellStart"/>
            <w:r w:rsidRPr="00262F2C">
              <w:rPr>
                <w:color w:val="000000"/>
                <w:sz w:val="17"/>
                <w:szCs w:val="17"/>
                <w:lang w:eastAsia="en-US"/>
              </w:rPr>
              <w:t>К</w:t>
            </w:r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  <w:r w:rsidRPr="00262F2C">
              <w:rPr>
                <w:sz w:val="17"/>
                <w:szCs w:val="17"/>
                <w:lang w:eastAsia="en-US"/>
              </w:rPr>
              <w:t xml:space="preserve">Расчеты </w:t>
            </w:r>
            <w:r w:rsidRPr="00262F2C">
              <w:rPr>
                <w:sz w:val="17"/>
                <w:szCs w:val="17"/>
                <w:lang w:eastAsia="en-US"/>
              </w:rPr>
              <w:br/>
              <w:t xml:space="preserve">СП РФ </w:t>
            </w:r>
            <w:r w:rsidRPr="00262F2C">
              <w:rPr>
                <w:color w:val="000000"/>
                <w:sz w:val="17"/>
                <w:szCs w:val="17"/>
                <w:lang w:eastAsia="en-US"/>
              </w:rPr>
              <w:t xml:space="preserve">с учетом </w:t>
            </w:r>
            <w:proofErr w:type="spellStart"/>
            <w:r w:rsidRPr="00262F2C">
              <w:rPr>
                <w:color w:val="000000"/>
                <w:sz w:val="17"/>
                <w:szCs w:val="17"/>
                <w:lang w:eastAsia="en-US"/>
              </w:rPr>
              <w:t>К</w:t>
            </w:r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поправ</w:t>
            </w:r>
            <w:proofErr w:type="spellEnd"/>
            <w:r w:rsidRPr="00262F2C">
              <w:rPr>
                <w:color w:val="000000"/>
                <w:sz w:val="17"/>
                <w:szCs w:val="17"/>
                <w:vertAlign w:val="subscript"/>
                <w:lang w:eastAsia="en-US"/>
              </w:rPr>
              <w:t>.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7"/>
                <w:szCs w:val="17"/>
                <w:lang w:eastAsia="en-US"/>
              </w:rPr>
            </w:pP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16 189 888,38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16 066 536,84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-123 351,54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3 408 457,20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3 382 488,00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-25 969,20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31 557 873,95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31 557 873,95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473 368,11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473 368,11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9 773 805,71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9 773 805,71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8 458 935,63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8 458 935,63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57 521 568,04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57 398 216,51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-123 351,53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12 340 760,94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12 314 791,74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-25 969,20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17 018 799,38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16 523 360,16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-495 439,22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3 786 172,30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3 675 951,93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-110 220,36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33 157 966,75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32 471 078,55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-686 888,20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1 102 833,97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1 079 988,07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-22 845,90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10 246 231,30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10 033 974,15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-212 257,15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8 171 471,92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8 002 194,72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-169 277,20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60 422 997,42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59 028 412,86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-1 394 584,56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13 060 478,20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12 758 134,73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-302 343,46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18 769 479,77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18 466 318,37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-303 161,40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3 969 932,67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3 905 811,00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-64 121,67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38 367 897,14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37 679 013,48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-688 883,66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875 555,41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859 835,09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-15 720,33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11 871 555,09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11 658 405,01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-213 150,08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9 326 768,54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9 159 309,31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-167 459,23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69 008 932,00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67 803 736,86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-1 205 195,14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14 172 256,62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13 924 955,40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-247 301,22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19 814 987,46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18 339 442,33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-1 475 545,13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5 156 652,34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4 772 656,47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-383 995,86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Кап. 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40 518 507,61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37 719 646,59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-2 798 861,02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464 342,10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432 267,15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-32 074,95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color w:val="000000"/>
                <w:sz w:val="18"/>
                <w:szCs w:val="18"/>
                <w:lang w:eastAsia="en-US"/>
              </w:rPr>
              <w:t xml:space="preserve">Ремонт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12 534 724,30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262F2C">
              <w:rPr>
                <w:sz w:val="18"/>
                <w:szCs w:val="18"/>
                <w:lang w:eastAsia="en-US"/>
              </w:rPr>
              <w:t>11 668 874,27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-865 850,03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10 674 947,26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9 937 563,39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-737 383,86</w:t>
            </w:r>
          </w:p>
        </w:tc>
      </w:tr>
      <w:tr w:rsidR="00AE160D" w:rsidRPr="00262F2C" w:rsidTr="00AE160D">
        <w:trPr>
          <w:trHeight w:val="340"/>
        </w:trPr>
        <w:tc>
          <w:tcPr>
            <w:tcW w:w="709" w:type="dxa"/>
            <w:vMerge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300" w:lineRule="auto"/>
              <w:ind w:left="0" w:right="0" w:firstLine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i/>
                <w:color w:val="000000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72 868 219,37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i/>
                <w:sz w:val="18"/>
                <w:szCs w:val="18"/>
                <w:lang w:eastAsia="en-US"/>
              </w:rPr>
            </w:pPr>
            <w:r w:rsidRPr="00262F2C">
              <w:rPr>
                <w:i/>
                <w:sz w:val="18"/>
                <w:szCs w:val="18"/>
                <w:lang w:eastAsia="en-US"/>
              </w:rPr>
              <w:t>67 727 963,19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-5 140 256,18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16 295 941,69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15 142 487,02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F2C">
              <w:rPr>
                <w:i/>
                <w:iCs/>
                <w:color w:val="000000"/>
                <w:sz w:val="18"/>
                <w:szCs w:val="18"/>
              </w:rPr>
              <w:t>-1 153 454,67</w:t>
            </w:r>
          </w:p>
        </w:tc>
      </w:tr>
      <w:tr w:rsidR="00AE160D" w:rsidRPr="00262F2C" w:rsidTr="00AE160D">
        <w:trPr>
          <w:trHeight w:val="340"/>
        </w:trPr>
        <w:tc>
          <w:tcPr>
            <w:tcW w:w="1985" w:type="dxa"/>
            <w:gridSpan w:val="2"/>
            <w:shd w:val="clear" w:color="auto" w:fill="auto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262F2C">
              <w:rPr>
                <w:b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259 821 716,83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251 958 329,42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-7 863 387,41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55 869 437,44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bCs/>
                <w:color w:val="000000"/>
                <w:sz w:val="18"/>
                <w:szCs w:val="18"/>
                <w:lang w:eastAsia="en-US"/>
              </w:rPr>
              <w:t>54 140 368,88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E160D" w:rsidRPr="00262F2C" w:rsidRDefault="00AE160D" w:rsidP="00AE160D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 w:rsidRPr="00262F2C">
              <w:rPr>
                <w:color w:val="000000"/>
                <w:sz w:val="18"/>
                <w:szCs w:val="18"/>
              </w:rPr>
              <w:t>-1 729 068,56</w:t>
            </w:r>
          </w:p>
        </w:tc>
      </w:tr>
    </w:tbl>
    <w:p w:rsidR="00AE160D" w:rsidRPr="00262F2C" w:rsidRDefault="00AE160D" w:rsidP="00AE160D">
      <w:pPr>
        <w:overflowPunct/>
        <w:autoSpaceDE/>
        <w:autoSpaceDN/>
        <w:adjustRightInd/>
        <w:spacing w:line="276" w:lineRule="auto"/>
        <w:ind w:left="0" w:right="0"/>
        <w:textAlignment w:val="auto"/>
        <w:rPr>
          <w:sz w:val="12"/>
          <w:szCs w:val="12"/>
        </w:rPr>
      </w:pPr>
    </w:p>
    <w:p w:rsidR="00826119" w:rsidRDefault="00826119"/>
    <w:sectPr w:rsidR="0082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DC0" w:rsidRDefault="00AB6DC0" w:rsidP="00D56DC2">
      <w:pPr>
        <w:spacing w:line="240" w:lineRule="auto"/>
      </w:pPr>
      <w:r>
        <w:separator/>
      </w:r>
    </w:p>
  </w:endnote>
  <w:endnote w:type="continuationSeparator" w:id="0">
    <w:p w:rsidR="00AB6DC0" w:rsidRDefault="00AB6DC0" w:rsidP="00D5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DC0" w:rsidRDefault="00AB6DC0" w:rsidP="00D56DC2">
      <w:pPr>
        <w:spacing w:line="240" w:lineRule="auto"/>
      </w:pPr>
      <w:r>
        <w:separator/>
      </w:r>
    </w:p>
  </w:footnote>
  <w:footnote w:type="continuationSeparator" w:id="0">
    <w:p w:rsidR="00AB6DC0" w:rsidRDefault="00AB6DC0" w:rsidP="00D56DC2">
      <w:pPr>
        <w:spacing w:line="240" w:lineRule="auto"/>
      </w:pPr>
      <w:r>
        <w:continuationSeparator/>
      </w:r>
    </w:p>
  </w:footnote>
  <w:footnote w:id="1">
    <w:p w:rsidR="00936A9C" w:rsidRPr="004C21B5" w:rsidRDefault="00936A9C" w:rsidP="00AE160D">
      <w:pPr>
        <w:pStyle w:val="a4"/>
      </w:pPr>
      <w:r w:rsidRPr="004C21B5">
        <w:rPr>
          <w:rStyle w:val="a6"/>
        </w:rPr>
        <w:footnoteRef/>
      </w:r>
      <w:r w:rsidRPr="004C21B5">
        <w:t> Правила классификации автомобильных дорог в Российской Федерации и их отнесения к категориям автомобильных дорог (далее – Правила классификации автомобильных дорог) утверждены</w:t>
      </w:r>
      <w:r>
        <w:t xml:space="preserve"> </w:t>
      </w:r>
      <w:r w:rsidRPr="004C21B5">
        <w:t>постановлением Правительства Российской Фед</w:t>
      </w:r>
      <w:r>
        <w:t>ерации от 28 сентября 2009 г. № </w:t>
      </w:r>
      <w:r w:rsidRPr="004C21B5">
        <w:t>767.</w:t>
      </w:r>
    </w:p>
  </w:footnote>
  <w:footnote w:id="2">
    <w:p w:rsidR="00936A9C" w:rsidRPr="00397AA8" w:rsidRDefault="00936A9C" w:rsidP="00AE160D">
      <w:pPr>
        <w:pStyle w:val="a4"/>
      </w:pPr>
      <w:r w:rsidRPr="00397AA8">
        <w:rPr>
          <w:rStyle w:val="a6"/>
        </w:rPr>
        <w:footnoteRef/>
      </w:r>
      <w:r w:rsidRPr="00397AA8">
        <w:t xml:space="preserve"> При капитальном ремонте </w:t>
      </w:r>
      <w:proofErr w:type="spellStart"/>
      <w:r w:rsidRPr="00397AA8">
        <w:t>К</w:t>
      </w:r>
      <w:r w:rsidRPr="00397AA8">
        <w:rPr>
          <w:vertAlign w:val="subscript"/>
        </w:rPr>
        <w:t>терр</w:t>
      </w:r>
      <w:proofErr w:type="spellEnd"/>
      <w:r w:rsidRPr="00397AA8">
        <w:rPr>
          <w:vertAlign w:val="subscript"/>
        </w:rPr>
        <w:t>.</w:t>
      </w:r>
      <w:r w:rsidRPr="00397AA8">
        <w:t xml:space="preserve">=0,82, при ремонте </w:t>
      </w:r>
      <w:proofErr w:type="spellStart"/>
      <w:r w:rsidRPr="00397AA8">
        <w:t>К</w:t>
      </w:r>
      <w:r w:rsidRPr="00397AA8">
        <w:rPr>
          <w:vertAlign w:val="subscript"/>
        </w:rPr>
        <w:t>терр</w:t>
      </w:r>
      <w:proofErr w:type="spellEnd"/>
      <w:r w:rsidRPr="00397AA8">
        <w:rPr>
          <w:vertAlign w:val="subscript"/>
        </w:rPr>
        <w:t>.</w:t>
      </w:r>
      <w:r w:rsidRPr="00397AA8">
        <w:t xml:space="preserve">=0,84, при содержании </w:t>
      </w:r>
      <w:proofErr w:type="spellStart"/>
      <w:r w:rsidRPr="00397AA8">
        <w:t>К</w:t>
      </w:r>
      <w:r w:rsidRPr="00397AA8">
        <w:rPr>
          <w:vertAlign w:val="subscript"/>
        </w:rPr>
        <w:t>терр</w:t>
      </w:r>
      <w:proofErr w:type="spellEnd"/>
      <w:r w:rsidRPr="00397AA8">
        <w:rPr>
          <w:vertAlign w:val="subscript"/>
        </w:rPr>
        <w:t>.</w:t>
      </w:r>
      <w:r w:rsidRPr="00397AA8">
        <w:t>=1,01.</w:t>
      </w:r>
    </w:p>
  </w:footnote>
  <w:footnote w:id="3">
    <w:p w:rsidR="00936A9C" w:rsidRPr="004C21B5" w:rsidRDefault="00936A9C" w:rsidP="00AE160D">
      <w:pPr>
        <w:pStyle w:val="a4"/>
      </w:pPr>
      <w:r w:rsidRPr="004C21B5">
        <w:rPr>
          <w:rStyle w:val="a6"/>
        </w:rPr>
        <w:footnoteRef/>
      </w:r>
      <w:r w:rsidRPr="004C21B5">
        <w:t> Правила классификации автомобильных дорог в Российской Федерации и их отнесения к категориям автомобильных дорог (далее – Правила классификации автомобильных дорог) утверждены</w:t>
      </w:r>
      <w:r>
        <w:t xml:space="preserve"> </w:t>
      </w:r>
      <w:r w:rsidRPr="004C21B5">
        <w:t>постановлением Правительства Российской Фед</w:t>
      </w:r>
      <w:r>
        <w:t>ерации от 28 сентября 2009 г. № </w:t>
      </w:r>
      <w:r w:rsidRPr="004C21B5">
        <w:t>767.</w:t>
      </w:r>
    </w:p>
  </w:footnote>
  <w:footnote w:id="4">
    <w:p w:rsidR="00936A9C" w:rsidRPr="00CA0C24" w:rsidRDefault="00936A9C" w:rsidP="00AE160D">
      <w:pPr>
        <w:pStyle w:val="a4"/>
      </w:pPr>
      <w:r w:rsidRPr="00CA0C24">
        <w:rPr>
          <w:rStyle w:val="a6"/>
        </w:rPr>
        <w:footnoteRef/>
      </w:r>
      <w:r>
        <w:t> </w:t>
      </w:r>
      <w:r w:rsidRPr="00CA0C24">
        <w:t>В ходе контрольного мероприятия индексы-дефляторы за период 2008–2018 годов в связи с отсутствием в Министерстве соответствующих данных не перепроверялись.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92"/>
    <w:rsid w:val="000242F4"/>
    <w:rsid w:val="00262F2C"/>
    <w:rsid w:val="004C1892"/>
    <w:rsid w:val="005B2E06"/>
    <w:rsid w:val="00620BE4"/>
    <w:rsid w:val="00787D01"/>
    <w:rsid w:val="00826119"/>
    <w:rsid w:val="00873911"/>
    <w:rsid w:val="00936A9C"/>
    <w:rsid w:val="00AB6DC0"/>
    <w:rsid w:val="00AE160D"/>
    <w:rsid w:val="00BC06AB"/>
    <w:rsid w:val="00BF5418"/>
    <w:rsid w:val="00D56DC2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D98"/>
  <w15:chartTrackingRefBased/>
  <w15:docId w15:val="{1CDE3D28-B460-443A-9578-468DFEE8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C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C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56DC2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56D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uiPriority w:val="99"/>
    <w:qFormat/>
    <w:rsid w:val="00D56D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E8DC93E8</Template>
  <TotalTime>0</TotalTime>
  <Pages>7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Бутяева</dc:creator>
  <cp:keywords/>
  <dc:description/>
  <cp:lastModifiedBy>Бутяева</cp:lastModifiedBy>
  <cp:revision>2</cp:revision>
  <dcterms:created xsi:type="dcterms:W3CDTF">2022-08-29T12:13:00Z</dcterms:created>
  <dcterms:modified xsi:type="dcterms:W3CDTF">2022-08-29T12:13:00Z</dcterms:modified>
</cp:coreProperties>
</file>