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47135C" w:rsidRDefault="003073D4">
      <w:pPr>
        <w:spacing w:before="345"/>
        <w:ind w:left="163" w:right="162"/>
        <w:jc w:val="center"/>
        <w:rPr>
          <w:rFonts w:cstheme="minorBidi"/>
          <w:sz w:val="24"/>
        </w:rPr>
      </w:pPr>
      <w:r>
        <w:rPr>
          <w:b/>
          <w:color w:val="000000"/>
          <w:sz w:val="31"/>
        </w:rPr>
        <w:t>КАРТА ИТОГОВ КОНТРОЛЬНОГО МЕРОПРИЯТИЯ</w:t>
      </w:r>
    </w:p>
    <w:p w:rsidR="0047135C" w:rsidRDefault="0047135C">
      <w:pPr>
        <w:ind w:left="163" w:right="162"/>
        <w:jc w:val="center"/>
        <w:rPr>
          <w:rFonts w:cstheme="minorBidi"/>
          <w:sz w:val="24"/>
        </w:rPr>
      </w:pPr>
    </w:p>
    <w:p w:rsidR="0047135C" w:rsidRDefault="003073D4">
      <w:pPr>
        <w:ind w:left="163" w:right="162"/>
        <w:jc w:val="center"/>
        <w:rPr>
          <w:rFonts w:cstheme="minorBidi"/>
          <w:sz w:val="24"/>
        </w:rPr>
      </w:pPr>
      <w:r>
        <w:rPr>
          <w:color w:val="000000"/>
          <w:sz w:val="28"/>
        </w:rPr>
        <w:t>План работы на 2023 год пункт 3.11.0.7, сроки проведения 1 сентября – 29 декабря 2023, проверяемый период 1 Января – 30 Сентября 2023, контрольное мероприятие «Аудит использования бюджетных средств на проектирование и строительство (реконструкцию), а также капитальный ремонт автомобильных дорог, включенных в международный транспортный маршрут «Европа – Западный Китай», в истекшем периоде 2023 года» Государственная компания «Российские автомобильные дороги» (г. Москва) (с выездом на объект строительства, расположенный в Нижегородской области, Чувашской Республике и Республике Татарстан)</w:t>
      </w:r>
    </w:p>
    <w:tbl>
      <w:tblPr>
        <w:tblW w:w="0" w:type="auto"/>
        <w:tblCellMar>
          <w:left w:w="0" w:type="dxa"/>
          <w:right w:w="0" w:type="dxa"/>
        </w:tblCellMar>
        <w:tblLook w:val="04A0" w:firstRow="1" w:lastRow="0" w:firstColumn="1" w:lastColumn="0" w:noHBand="0" w:noVBand="1"/>
      </w:tblPr>
      <w:tblGrid>
        <w:gridCol w:w="30"/>
        <w:gridCol w:w="150"/>
        <w:gridCol w:w="1305"/>
        <w:gridCol w:w="555"/>
        <w:gridCol w:w="450"/>
        <w:gridCol w:w="1590"/>
        <w:gridCol w:w="1815"/>
        <w:gridCol w:w="450"/>
        <w:gridCol w:w="1995"/>
        <w:gridCol w:w="270"/>
        <w:gridCol w:w="30"/>
        <w:gridCol w:w="2490"/>
        <w:gridCol w:w="1065"/>
        <w:gridCol w:w="1245"/>
        <w:gridCol w:w="1515"/>
        <w:gridCol w:w="150"/>
        <w:gridCol w:w="15"/>
        <w:gridCol w:w="15"/>
      </w:tblGrid>
      <w:tr w:rsidR="0047135C">
        <w:trPr>
          <w:trHeight w:hRule="exact" w:val="150"/>
        </w:trPr>
        <w:tc>
          <w:tcPr>
            <w:tcW w:w="2040" w:type="dxa"/>
            <w:gridSpan w:val="4"/>
          </w:tcPr>
          <w:p w:rsidR="0047135C" w:rsidRDefault="0047135C">
            <w:pPr>
              <w:rPr>
                <w:rFonts w:cstheme="minorBidi"/>
                <w:sz w:val="1"/>
              </w:rPr>
            </w:pPr>
          </w:p>
        </w:tc>
        <w:tc>
          <w:tcPr>
            <w:tcW w:w="2040" w:type="dxa"/>
            <w:gridSpan w:val="2"/>
          </w:tcPr>
          <w:p w:rsidR="0047135C" w:rsidRDefault="0047135C">
            <w:pPr>
              <w:rPr>
                <w:rFonts w:cstheme="minorBidi"/>
                <w:sz w:val="1"/>
              </w:rPr>
            </w:pPr>
          </w:p>
        </w:tc>
        <w:tc>
          <w:tcPr>
            <w:tcW w:w="2265" w:type="dxa"/>
            <w:gridSpan w:val="2"/>
          </w:tcPr>
          <w:p w:rsidR="0047135C" w:rsidRDefault="0047135C">
            <w:pPr>
              <w:rPr>
                <w:rFonts w:cstheme="minorBidi"/>
                <w:sz w:val="1"/>
              </w:rPr>
            </w:pPr>
          </w:p>
        </w:tc>
        <w:tc>
          <w:tcPr>
            <w:tcW w:w="2265" w:type="dxa"/>
            <w:gridSpan w:val="2"/>
          </w:tcPr>
          <w:p w:rsidR="0047135C" w:rsidRDefault="0047135C">
            <w:pPr>
              <w:rPr>
                <w:rFonts w:cstheme="minorBidi"/>
                <w:sz w:val="1"/>
              </w:rPr>
            </w:pPr>
          </w:p>
        </w:tc>
        <w:tc>
          <w:tcPr>
            <w:tcW w:w="3585" w:type="dxa"/>
            <w:gridSpan w:val="3"/>
          </w:tcPr>
          <w:p w:rsidR="0047135C" w:rsidRDefault="0047135C">
            <w:pPr>
              <w:rPr>
                <w:rFonts w:cstheme="minorBidi"/>
                <w:sz w:val="1"/>
              </w:rPr>
            </w:pPr>
          </w:p>
        </w:tc>
        <w:tc>
          <w:tcPr>
            <w:tcW w:w="1245" w:type="dxa"/>
          </w:tcPr>
          <w:p w:rsidR="0047135C" w:rsidRDefault="0047135C">
            <w:pPr>
              <w:rPr>
                <w:rFonts w:cstheme="minorBidi"/>
                <w:sz w:val="1"/>
              </w:rPr>
            </w:pPr>
          </w:p>
        </w:tc>
        <w:tc>
          <w:tcPr>
            <w:tcW w:w="1695" w:type="dxa"/>
            <w:gridSpan w:val="4"/>
          </w:tcPr>
          <w:p w:rsidR="0047135C" w:rsidRDefault="0047135C">
            <w:pPr>
              <w:rPr>
                <w:rFonts w:cstheme="minorBidi"/>
                <w:sz w:val="1"/>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Объект контроля</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47135C" w:rsidRDefault="003073D4">
            <w:pPr>
              <w:spacing w:after="160" w:line="258" w:lineRule="auto"/>
              <w:jc w:val="center"/>
              <w:rPr>
                <w:rFonts w:cstheme="minorBidi"/>
                <w:color w:val="000000"/>
              </w:rPr>
            </w:pPr>
            <w:r>
              <w:rPr>
                <w:rFonts w:cstheme="minorBidi"/>
                <w:color w:val="000000"/>
              </w:rPr>
              <w:t>Главный распорядитель бюджетных средств</w:t>
            </w:r>
            <w:r>
              <w:rPr>
                <w:rFonts w:cstheme="minorBidi"/>
                <w:b/>
                <w:color w:val="000000"/>
                <w:vertAlign w:val="superscript"/>
                <w:lang w:val="en-US" w:eastAsia="en-US"/>
              </w:rPr>
              <w:t>1</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Положения и реквизиты нормативных правовых актов, являющиеся правовым основанием квалификации нарушения</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585" w:type="dxa"/>
            <w:gridSpan w:val="3"/>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 xml:space="preserve">Краткое описание факта нарушения / факта неэффективного использования федеральных и иных ресурсов (на основе отчёта </w:t>
            </w:r>
            <w:proofErr w:type="gramStart"/>
            <w:r>
              <w:rPr>
                <w:color w:val="000000"/>
                <w:sz w:val="19"/>
              </w:rPr>
              <w:t>о  результатах</w:t>
            </w:r>
            <w:proofErr w:type="gramEnd"/>
            <w:r>
              <w:rPr>
                <w:color w:val="000000"/>
                <w:sz w:val="19"/>
              </w:rPr>
              <w:t xml:space="preserve"> контрольного мероприятия)</w:t>
            </w:r>
          </w:p>
        </w:tc>
        <w:tc>
          <w:tcPr>
            <w:tcW w:w="1245" w:type="dxa"/>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Сумма</w:t>
            </w:r>
            <w:r>
              <w:rPr>
                <w:color w:val="000000"/>
                <w:sz w:val="19"/>
              </w:rPr>
              <w:br/>
              <w:t>(тыс. рублей)</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Реквизиты протокола об административной ответственности</w:t>
            </w:r>
          </w:p>
        </w:tc>
      </w:tr>
      <w:tr w:rsidR="0047135C">
        <w:trPr>
          <w:trHeight w:val="300"/>
        </w:trPr>
        <w:tc>
          <w:tcPr>
            <w:tcW w:w="2040" w:type="dxa"/>
            <w:gridSpan w:val="4"/>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1</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2</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3</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4</w:t>
            </w:r>
          </w:p>
        </w:tc>
        <w:tc>
          <w:tcPr>
            <w:tcW w:w="3585" w:type="dxa"/>
            <w:gridSpan w:val="3"/>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5</w:t>
            </w:r>
          </w:p>
        </w:tc>
        <w:tc>
          <w:tcPr>
            <w:tcW w:w="1245" w:type="dxa"/>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6</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color w:val="000000"/>
                <w:sz w:val="19"/>
              </w:rPr>
            </w:pPr>
            <w:r>
              <w:rPr>
                <w:color w:val="000000"/>
                <w:sz w:val="19"/>
              </w:rPr>
              <w:t>7</w:t>
            </w:r>
          </w:p>
        </w:tc>
      </w:tr>
      <w:tr w:rsidR="0047135C">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47135C" w:rsidRDefault="003073D4">
            <w:pPr>
              <w:rPr>
                <w:b/>
                <w:color w:val="000000"/>
                <w:sz w:val="19"/>
              </w:rPr>
            </w:pPr>
            <w:r>
              <w:rPr>
                <w:b/>
                <w:color w:val="000000"/>
                <w:sz w:val="19"/>
              </w:rPr>
              <w:t>1. Нарушения согласно Классификатору нарушений, выявленных в ходе внешнего государственного аудита (контроля)</w:t>
            </w: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 xml:space="preserve">Приказ Министерства финансов Российской Федерации от 17 сентября 2020 г. № 204н «Об утверждении Федеральных стандартов бухгалтерского учета ФСБУ 6/2020 «Основные средства» и ФСБУ 26/2020 «Капитальные вложения», пункты 9, 10; Федеральный закон от 06.12.2011 № 402-ФЗ  "О бухгалтерском учете", п.3 ст. 9 Федерального закона "О бухгалтерском учете" от 06.12.2011 № 402-ФЗ , часть 1 статьи 9 Федерального закона от 06 </w:t>
            </w:r>
            <w:r>
              <w:rPr>
                <w:color w:val="000000"/>
                <w:sz w:val="19"/>
              </w:rPr>
              <w:lastRenderedPageBreak/>
              <w:t>декабря 2011 г. № 402-ФЗ «О бухгалтерском учете</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2.2 Нарушение требований, предъявляемых к оформлению фактов хозяйственной жизни экономического субъекта первичными учетными документами</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 xml:space="preserve">2388875870. В нарушение частей 1 и 3 статьи 9 Федерального закона от 6 декабря 2011 г. № 402-ФЗ «О бухгалтерском учете», согласно которым каждый факт хозяйственной жизни подлежит оформлению первичным учетным документом, который должен быть составлен при совершении факта хозяйственной жизни, а если это не представляется возможным - непосредственно после его окончания, а также пунктов 9 и 10 Федерального стандарта бухгалтерского учета ФСБУ 26/2020 «Капитальные вложения», утвержденного приказом Минфина России от 17 сентября 2020 г. № 204н (далее - Федеральный стандарт «Капитальные вложения» 26/2020), предусматривающими, что капитальные </w:t>
            </w:r>
            <w:r>
              <w:rPr>
                <w:color w:val="000000"/>
                <w:sz w:val="19"/>
              </w:rPr>
              <w:lastRenderedPageBreak/>
              <w:t>вложения признаются по мере осуществления фактических затрат на приобретение, создание, улучшение и (или) восстановление объектов основных средств, раздела I Инструкции по применению плана счетов бухгалтерского учета финансово-хозяйственной деятельности организаций, утвержденной приказом Минфина России от 31 октября 2000 г. № 94н (далее – Инструкция по применению плана счетов № 94н), Госкомпанией не обеспечено оформление первичных учетных документов и не учтены в качестве капитальных вложений на счете 08.03 «Строительство объектов основных средств» затраты по строительно-монтажным работам и вводу в эксплуатацию систем взимания платы и вспомогательных пунктов управления на сумму 934,7 млн. рублей (</w:t>
            </w:r>
            <w:proofErr w:type="spellStart"/>
            <w:r>
              <w:rPr>
                <w:color w:val="000000"/>
                <w:sz w:val="19"/>
              </w:rPr>
              <w:t>расчетно</w:t>
            </w:r>
            <w:proofErr w:type="spellEnd"/>
            <w:r>
              <w:rPr>
                <w:color w:val="000000"/>
                <w:sz w:val="19"/>
              </w:rPr>
              <w:t>) в рамках незавершенного строительства скоростной автомобильной дороги М-12 «Москва – Нижний Новгород – Казань» (далее – автомобильная дорога М-12).</w:t>
            </w:r>
            <w:r>
              <w:rPr>
                <w:color w:val="000000"/>
                <w:sz w:val="19"/>
              </w:rPr>
              <w:br/>
              <w:t>На 1 сентября 2023 года в рамках реализации операторского соглашения на создание и эксплуатацию интеллектуальной транспортной системы от 8 августа 2022 г. № ДМ12-2022-1285 с ООО «Единый оператор» объем дебиторской задолженности (аванс) составил 8 850,8 млн. рублей за счет субсидии из федерального бюджета.</w:t>
            </w:r>
            <w:r>
              <w:rPr>
                <w:color w:val="000000"/>
                <w:sz w:val="19"/>
              </w:rPr>
              <w:br/>
              <w:t>В 2023 году по пяти предусмотренным указанным соглашением этапам создания интеллектуальной транспортной системы Госкомпанией получены разрешения на ввод объектов в эксплуатацию на платной основе.</w:t>
            </w:r>
            <w:r>
              <w:rPr>
                <w:color w:val="000000"/>
                <w:sz w:val="19"/>
              </w:rPr>
              <w:br/>
              <w:t xml:space="preserve">При этом по указанным объектам отсутствуют первичные документы (акты о приемке выполненных работ) на строительно-монтажные работы и вводу в </w:t>
            </w:r>
            <w:r>
              <w:rPr>
                <w:color w:val="000000"/>
                <w:sz w:val="19"/>
              </w:rPr>
              <w:lastRenderedPageBreak/>
              <w:t>эксплуатацию систем взимания платы, а также вспомогательного пункта управления.</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934 700,0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Приказ Министерства финансов Российской Федерации от 17 сентября 2020 г. № 204н «Об утверждении Федеральных стандартов бухгалтерского учета ФСБУ 6/2020 «Основные средства» и ФСБУ 26/2020 «Капитальные вложения» (подпункт «д» пункта 10)</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2.11 Нарушение требований, предъявляемых к правилам ведения бюджетного (бухгалтерского) учета</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2308569805. В нарушение подпункта «д» пункта 10 Федерального стандарта «Капитальные вложения» 26/2020, согласно которому в сумму фактических затрат при признании капитальных вложений включаются заработная плата и любые другие формы вознаграждений работникам организации, труд которых используется для осуществления капитальных вложений, а также все связанные с указанными вознаграждениями социальные платежи (пенсионное, медицинское страхование и др.), раздела I Инструкции по применению плана счетов № 94н Госкомпанией в составе незавершенного строительства автомобильной дороги М-12 в качестве капитальных вложений не учтены затраты по выплате заработной платы и других вознаграждений сотрудникам Дирекции (филиала) М-12 (главные инженеры проекта в составе 10 человек), непосредственно осуществляющим комплекс мероприятий по строительству и вводу в эксплуатацию объектов автомобильной дороги М-12, на сумму 70,2 млн. рублей (за 2022 год и 8 месяцев 2023 года).</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70 200,0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Федеральный закон от 06.12.2011 № 402-ФЗ  "О бухгалтерском учете", п.3 ст. 9 Федерального закона "О бухгалтерском учете" от 06.12.2011 № 402-ФЗ , часть 1 статьи 9 Федерального закона от 06 декабря 2011 г. № 402-ФЗ «О бухгалтерском учете</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2.2 Нарушение требований, предъявляемых к оформлению фактов хозяйственной жизни экономического субъекта первичными учетными документами</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2306454931. В нарушение частей 1 и 3 статьи 9 Федерального закона от 6 декабря 2011 г. № 402-ФЗ «О бухгалтерском учете» и пункта 6.1 раздела «</w:t>
            </w:r>
            <w:proofErr w:type="spellStart"/>
            <w:r>
              <w:rPr>
                <w:color w:val="000000"/>
                <w:sz w:val="19"/>
              </w:rPr>
              <w:t>С.Строительство</w:t>
            </w:r>
            <w:proofErr w:type="spellEnd"/>
            <w:r>
              <w:rPr>
                <w:color w:val="000000"/>
                <w:sz w:val="19"/>
              </w:rPr>
              <w:t>» договора от 3 марта 2021 г. № ДМ12-2021-307, заключенного между Госкомпанией и ООО «</w:t>
            </w:r>
            <w:proofErr w:type="spellStart"/>
            <w:r>
              <w:rPr>
                <w:color w:val="000000"/>
                <w:sz w:val="19"/>
              </w:rPr>
              <w:t>Трансстроймеханизация</w:t>
            </w:r>
            <w:proofErr w:type="spellEnd"/>
            <w:r>
              <w:rPr>
                <w:color w:val="000000"/>
                <w:sz w:val="19"/>
              </w:rPr>
              <w:t xml:space="preserve">» на выполнение комплекса работ по проектированию и строительству пускового комплекса № 2 (0 этапа строительства автомобильной дороги М-12), Госкомпанией не оформлены </w:t>
            </w:r>
            <w:r>
              <w:rPr>
                <w:color w:val="000000"/>
                <w:sz w:val="19"/>
              </w:rPr>
              <w:lastRenderedPageBreak/>
              <w:t>первичными учетными документами (актами КС-2 и справками КС-3) факты хозяйственной жизни, обусловленные завершением строительно-монтажных работ по 19 мостам и путепроводам в составе указанного объекта, на общую сумму 926,7 млн. рублей (мост через р. Черная на ПК32+35,035, путепровод на ПК50+19,03, путепровод на ПК86+21,73, путепровод на ПК125+45,04, путепровод на ПК155+79,60, путепровод на ПК188+60,28, путепровод на ПК203+74,86. А/д Р-109 –М-7 «Волга-Электроугли», путепровод через железную дорогу перегона Монино-</w:t>
            </w:r>
            <w:proofErr w:type="spellStart"/>
            <w:r>
              <w:rPr>
                <w:color w:val="000000"/>
                <w:sz w:val="19"/>
              </w:rPr>
              <w:t>Фрязево</w:t>
            </w:r>
            <w:proofErr w:type="spellEnd"/>
            <w:r>
              <w:rPr>
                <w:color w:val="000000"/>
                <w:sz w:val="19"/>
              </w:rPr>
              <w:t xml:space="preserve"> на ПК221+56,95, путепровод на ПК229+66,26, путепровод на ПК261+50,712, путепровод на ПК346+99,43, путепровод через железную дорогу перегона Электросталь-Ногинск на ПК360+03,49, путепровод на ПК365+40,86, путепровод на ПК236+13,80, путепровод на ПК285+37,65, путепровод на ПК417+38,93, пешеходный переход на ПК384+58, пешеходный переход на ПК394+63,79, путепровод через железную дорогу перегона Купавна-Электроугли на ПК142+73).</w:t>
            </w:r>
            <w:r>
              <w:rPr>
                <w:color w:val="000000"/>
                <w:sz w:val="19"/>
              </w:rPr>
              <w:br/>
              <w:t>При этом на указанные искусственные сооружения получено разрешение на ввод объекта в эксплуатацию от 4 сентября 2023 г. № 50-0-027-2023-ФДА.</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926 700,0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Федеральный закон от 06.12.2011 № 402-ФЗ  "О бухгалтерском учете", п.3 ст. 9 Федерального закона "О бухгалтерском учете" от 06.12.2011 № 402-ФЗ , часть 1 статьи 9 Федерального закона от 06 декабря 2011 г. № 402-ФЗ «О бухгалтерском учете</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2.2 Нарушение требований, предъявляемых к оформлению фактов хозяйственной жизни экономического субъекта первичными учетными документами</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2326827338. В нарушение частей 1 и 3 статьи 9 Федерального закона от 6 декабря 2011 г. № 402-ФЗ «О бухгалтерском учете» и пункта 6.1 раздела «</w:t>
            </w:r>
            <w:proofErr w:type="spellStart"/>
            <w:r>
              <w:rPr>
                <w:color w:val="000000"/>
                <w:sz w:val="19"/>
              </w:rPr>
              <w:t>С.Строительство</w:t>
            </w:r>
            <w:proofErr w:type="spellEnd"/>
            <w:r>
              <w:rPr>
                <w:color w:val="000000"/>
                <w:sz w:val="19"/>
              </w:rPr>
              <w:t xml:space="preserve">» договора от 22 сентября 2020 г. № ДСиР-2020-1160, заключенного между Госкомпанией и Акционерным обществом «Стройтрансгаз» на выполнение комплекса работ по проектированию и строительству 1 этапа строительства автомобильной дороги М-12, Госкомпанией не оформлены первичными учетными документами </w:t>
            </w:r>
            <w:r>
              <w:rPr>
                <w:color w:val="000000"/>
                <w:sz w:val="19"/>
              </w:rPr>
              <w:lastRenderedPageBreak/>
              <w:t xml:space="preserve">(актами КС-2 и справками КС-3) факты хозяйственной жизни, обусловленные завершением строительно-монтажных работ по 15 мостам и путепроводам в составе указанного объекта, на общую сумму 1 525,6 млн. рублей (путепровод над дорогой А-108 «Орехово -Зуево-Малая Дубна» на ПК 2+41,05, путепровод над дорогой А-108 «Орехово-Зуево-Малая Дубна» на ПК45+3,45, путепровод через Большое кольцо Московской железной дороги на ПК 76+87,15, путепровод над дорогой местного назначения на ПК 115 +21,54, путепровод над дорогой местного значения на ПК 124+21,56, путепровод над автодорогой районного значения и Горьковской железной дорогой на ПК 176+14,23, путепровод над </w:t>
            </w:r>
            <w:proofErr w:type="spellStart"/>
            <w:r>
              <w:rPr>
                <w:color w:val="000000"/>
                <w:sz w:val="19"/>
              </w:rPr>
              <w:t>ж.д</w:t>
            </w:r>
            <w:proofErr w:type="spellEnd"/>
            <w:r>
              <w:rPr>
                <w:color w:val="000000"/>
                <w:sz w:val="19"/>
              </w:rPr>
              <w:t>. путями Горьковского направления на ПК 249+15, путепровод над автодорогой М-7 на ПК328+68, мостовой переход через реку Большая Дубна на ПК52+65,10, мостовой переход через реку Киржач на ПК 117+95.50, мостовой переход через р. Вольга на ПК 234+16, мостовой переход через озеро на ПК 217+43,90, мостовой переход через болото на ПК283+50, пешеходный переход в конструкции съезда транспортной развязки, пешеходный переход на ПК 142+45,00).</w:t>
            </w:r>
            <w:r>
              <w:rPr>
                <w:color w:val="000000"/>
                <w:sz w:val="19"/>
              </w:rPr>
              <w:br/>
              <w:t>При этом на указанные искусственные сооружения получено разрешение на ввод объекта в эксплуатацию от 31 августа 2023 г. № 0-0-025-2023-ФДА.</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1 525 600,0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 xml:space="preserve">Федеральный закон от 06.12.2011 № 402-ФЗ  "О бухгалтерском учете", п.3 ст. 9 Федерального закона "О бухгалтерском учете" от 06.12.2011 № 402-ФЗ , часть 1 статьи 9 Федерального закона от 06 </w:t>
            </w:r>
            <w:r>
              <w:rPr>
                <w:color w:val="000000"/>
                <w:sz w:val="19"/>
              </w:rPr>
              <w:lastRenderedPageBreak/>
              <w:t>декабря 2011 г. № 402-ФЗ «О бухгалтерском учете</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2.2 Нарушение требований, предъявляемых к оформлению фактов хозяйственной жизни экономического субъекта первичными учетными документами</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2376785309. В нарушение частей 1 и 3 статьи 9 Федерального закона от 6 декабря 2011 г. № 402-ФЗ «О бухгалтерском учете», пункта 6.1 раздела «</w:t>
            </w:r>
            <w:proofErr w:type="spellStart"/>
            <w:r>
              <w:rPr>
                <w:color w:val="000000"/>
                <w:sz w:val="19"/>
              </w:rPr>
              <w:t>С.Строительство</w:t>
            </w:r>
            <w:proofErr w:type="spellEnd"/>
            <w:r>
              <w:rPr>
                <w:color w:val="000000"/>
                <w:sz w:val="19"/>
              </w:rPr>
              <w:t xml:space="preserve">» договора от 21 сентября 2020 г. № ДСиР-2020-1151, заключенного между Госкомпанией и Акционерным обществом «ВАД» на выполнение комплекса работ по </w:t>
            </w:r>
            <w:r>
              <w:rPr>
                <w:color w:val="000000"/>
                <w:sz w:val="19"/>
              </w:rPr>
              <w:lastRenderedPageBreak/>
              <w:t xml:space="preserve">проектированию и строительству 3 этапа строительства автомобильной дороги М-12, Госкомпанией не оформлены первичными учетными документами (актами КС-2 и справками КС-3) факты хозяйственной жизни, обусловленные завершением строительно-монтажных работ по 28 мостам и путепроводам в составе указанного объекта, на общую сумму 83,9 млн рублей (мост через р. Сойму на ПК 1230+53, мост через р. Каменку на ПК 1234+05, мост через р. </w:t>
            </w:r>
            <w:proofErr w:type="spellStart"/>
            <w:r>
              <w:rPr>
                <w:color w:val="000000"/>
                <w:sz w:val="19"/>
              </w:rPr>
              <w:t>Ванчуга</w:t>
            </w:r>
            <w:proofErr w:type="spellEnd"/>
            <w:r>
              <w:rPr>
                <w:color w:val="000000"/>
                <w:sz w:val="19"/>
              </w:rPr>
              <w:t xml:space="preserve"> на ПК 1288+45, мост через р. Осиновка на ПК 1291+00, мост через р. </w:t>
            </w:r>
            <w:proofErr w:type="spellStart"/>
            <w:r>
              <w:rPr>
                <w:color w:val="000000"/>
                <w:sz w:val="19"/>
              </w:rPr>
              <w:t>Побойка</w:t>
            </w:r>
            <w:proofErr w:type="spellEnd"/>
            <w:r>
              <w:rPr>
                <w:color w:val="000000"/>
                <w:sz w:val="19"/>
              </w:rPr>
              <w:t xml:space="preserve"> на ПК 1360+65, мост через р. Печенка на ПК 1408+41, мост через р. Судогда на ПК 1447+93, мост через р. Ястреб на ПК 1536+00, мост через р. </w:t>
            </w:r>
            <w:proofErr w:type="spellStart"/>
            <w:r>
              <w:rPr>
                <w:color w:val="000000"/>
                <w:sz w:val="19"/>
              </w:rPr>
              <w:t>Илевна</w:t>
            </w:r>
            <w:proofErr w:type="spellEnd"/>
            <w:r>
              <w:rPr>
                <w:color w:val="000000"/>
                <w:sz w:val="19"/>
              </w:rPr>
              <w:t xml:space="preserve"> на ПК 2117+45, путепровод через </w:t>
            </w:r>
            <w:proofErr w:type="spellStart"/>
            <w:r>
              <w:rPr>
                <w:color w:val="000000"/>
                <w:sz w:val="19"/>
              </w:rPr>
              <w:t>а.д</w:t>
            </w:r>
            <w:proofErr w:type="spellEnd"/>
            <w:r>
              <w:rPr>
                <w:color w:val="000000"/>
                <w:sz w:val="19"/>
              </w:rPr>
              <w:t xml:space="preserve">. Р-132 «Золотое кольцо» на ПК 1161+00, путепровод через </w:t>
            </w:r>
            <w:proofErr w:type="spellStart"/>
            <w:r>
              <w:rPr>
                <w:color w:val="000000"/>
                <w:sz w:val="19"/>
              </w:rPr>
              <w:t>а.д</w:t>
            </w:r>
            <w:proofErr w:type="spellEnd"/>
            <w:r>
              <w:rPr>
                <w:color w:val="000000"/>
                <w:sz w:val="19"/>
              </w:rPr>
              <w:t xml:space="preserve">. «Владимир - Муром – Арзамас» на ПК 2167+29, путепровод через проезд для сельхозтехники на ПК 2190+49, путепровод через Горьковскую </w:t>
            </w:r>
            <w:proofErr w:type="spellStart"/>
            <w:r>
              <w:rPr>
                <w:color w:val="000000"/>
                <w:sz w:val="19"/>
              </w:rPr>
              <w:t>ж.д</w:t>
            </w:r>
            <w:proofErr w:type="spellEnd"/>
            <w:r>
              <w:rPr>
                <w:color w:val="000000"/>
                <w:sz w:val="19"/>
              </w:rPr>
              <w:t xml:space="preserve"> на ПК 2191+66, путепровод через основной ход на ПК 1224+85 на </w:t>
            </w:r>
            <w:proofErr w:type="spellStart"/>
            <w:r>
              <w:rPr>
                <w:color w:val="000000"/>
                <w:sz w:val="19"/>
              </w:rPr>
              <w:t>а.д</w:t>
            </w:r>
            <w:proofErr w:type="spellEnd"/>
            <w:r>
              <w:rPr>
                <w:color w:val="000000"/>
                <w:sz w:val="19"/>
              </w:rPr>
              <w:t xml:space="preserve">. подъезд к населенным пунктам Митькино, Варварино, путепровод через основной ход на ПК 1243+83 на </w:t>
            </w:r>
            <w:proofErr w:type="spellStart"/>
            <w:r>
              <w:rPr>
                <w:color w:val="000000"/>
                <w:sz w:val="19"/>
              </w:rPr>
              <w:t>а.д</w:t>
            </w:r>
            <w:proofErr w:type="spellEnd"/>
            <w:r>
              <w:rPr>
                <w:color w:val="000000"/>
                <w:sz w:val="19"/>
              </w:rPr>
              <w:t>. «Владимир-</w:t>
            </w:r>
            <w:proofErr w:type="spellStart"/>
            <w:r>
              <w:rPr>
                <w:color w:val="000000"/>
                <w:sz w:val="19"/>
              </w:rPr>
              <w:t>Тума</w:t>
            </w:r>
            <w:proofErr w:type="spellEnd"/>
            <w:r>
              <w:rPr>
                <w:color w:val="000000"/>
                <w:sz w:val="19"/>
              </w:rPr>
              <w:t xml:space="preserve">»- Шипилово – Сойма, путепровод через основной ход на ПК 1547+72 на </w:t>
            </w:r>
            <w:proofErr w:type="spellStart"/>
            <w:r>
              <w:rPr>
                <w:color w:val="000000"/>
                <w:sz w:val="19"/>
              </w:rPr>
              <w:t>а.д</w:t>
            </w:r>
            <w:proofErr w:type="spellEnd"/>
            <w:r>
              <w:rPr>
                <w:color w:val="000000"/>
                <w:sz w:val="19"/>
              </w:rPr>
              <w:t xml:space="preserve">. подъезд к д. Никольское, путепровод через основной ход на ПК 1638+32 на </w:t>
            </w:r>
            <w:proofErr w:type="spellStart"/>
            <w:r>
              <w:rPr>
                <w:color w:val="000000"/>
                <w:sz w:val="19"/>
              </w:rPr>
              <w:t>а.д</w:t>
            </w:r>
            <w:proofErr w:type="spellEnd"/>
            <w:r>
              <w:rPr>
                <w:color w:val="000000"/>
                <w:sz w:val="19"/>
              </w:rPr>
              <w:t xml:space="preserve">. 17 Н-2 «Никулино - Воровского – </w:t>
            </w:r>
            <w:proofErr w:type="spellStart"/>
            <w:r>
              <w:rPr>
                <w:color w:val="000000"/>
                <w:sz w:val="19"/>
              </w:rPr>
              <w:t>Мошок</w:t>
            </w:r>
            <w:proofErr w:type="spellEnd"/>
            <w:r>
              <w:rPr>
                <w:color w:val="000000"/>
                <w:sz w:val="19"/>
              </w:rPr>
              <w:t>», путепровод через основной ход на ПК 1722+48 на а/д 17 Н-253 «</w:t>
            </w:r>
            <w:proofErr w:type="spellStart"/>
            <w:r>
              <w:rPr>
                <w:color w:val="000000"/>
                <w:sz w:val="19"/>
              </w:rPr>
              <w:t>Лесниково</w:t>
            </w:r>
            <w:proofErr w:type="spellEnd"/>
            <w:r>
              <w:rPr>
                <w:color w:val="000000"/>
                <w:sz w:val="19"/>
              </w:rPr>
              <w:t xml:space="preserve"> - </w:t>
            </w:r>
            <w:proofErr w:type="spellStart"/>
            <w:r>
              <w:rPr>
                <w:color w:val="000000"/>
                <w:sz w:val="19"/>
              </w:rPr>
              <w:t>Прокшино</w:t>
            </w:r>
            <w:proofErr w:type="spellEnd"/>
            <w:r>
              <w:rPr>
                <w:color w:val="000000"/>
                <w:sz w:val="19"/>
              </w:rPr>
              <w:t xml:space="preserve"> - Ново – Покровское», путепровод через основной ход на ПК 1810+02 на </w:t>
            </w:r>
            <w:proofErr w:type="spellStart"/>
            <w:r>
              <w:rPr>
                <w:color w:val="000000"/>
                <w:sz w:val="19"/>
              </w:rPr>
              <w:t>а.д</w:t>
            </w:r>
            <w:proofErr w:type="spellEnd"/>
            <w:r>
              <w:rPr>
                <w:color w:val="000000"/>
                <w:sz w:val="19"/>
              </w:rPr>
              <w:t xml:space="preserve">. 17 Н-550 «Николо-Ушна - Первомайский – Ивановская», путепровод через основной ход на ПК 2020+54 на </w:t>
            </w:r>
            <w:proofErr w:type="spellStart"/>
            <w:r>
              <w:rPr>
                <w:color w:val="000000"/>
                <w:sz w:val="19"/>
              </w:rPr>
              <w:t>а.д</w:t>
            </w:r>
            <w:proofErr w:type="spellEnd"/>
            <w:r>
              <w:rPr>
                <w:color w:val="000000"/>
                <w:sz w:val="19"/>
              </w:rPr>
              <w:t>. 17 Н-553 «</w:t>
            </w:r>
            <w:proofErr w:type="spellStart"/>
            <w:r>
              <w:rPr>
                <w:color w:val="000000"/>
                <w:sz w:val="19"/>
              </w:rPr>
              <w:t>н.п</w:t>
            </w:r>
            <w:proofErr w:type="spellEnd"/>
            <w:r>
              <w:rPr>
                <w:color w:val="000000"/>
                <w:sz w:val="19"/>
              </w:rPr>
              <w:t xml:space="preserve">. Губино - </w:t>
            </w:r>
            <w:proofErr w:type="spellStart"/>
            <w:r>
              <w:rPr>
                <w:color w:val="000000"/>
                <w:sz w:val="19"/>
              </w:rPr>
              <w:t>н.п</w:t>
            </w:r>
            <w:proofErr w:type="spellEnd"/>
            <w:r>
              <w:rPr>
                <w:color w:val="000000"/>
                <w:sz w:val="19"/>
              </w:rPr>
              <w:t xml:space="preserve">. </w:t>
            </w:r>
            <w:proofErr w:type="spellStart"/>
            <w:r>
              <w:rPr>
                <w:color w:val="000000"/>
                <w:sz w:val="19"/>
              </w:rPr>
              <w:t>Пошатово</w:t>
            </w:r>
            <w:proofErr w:type="spellEnd"/>
            <w:r>
              <w:rPr>
                <w:color w:val="000000"/>
                <w:sz w:val="19"/>
              </w:rPr>
              <w:t xml:space="preserve"> – Никулино», путепровод через основной </w:t>
            </w:r>
            <w:r>
              <w:rPr>
                <w:color w:val="000000"/>
                <w:sz w:val="19"/>
              </w:rPr>
              <w:lastRenderedPageBreak/>
              <w:t xml:space="preserve">ход на ПК 2077+72 на </w:t>
            </w:r>
            <w:proofErr w:type="spellStart"/>
            <w:r>
              <w:rPr>
                <w:color w:val="000000"/>
                <w:sz w:val="19"/>
              </w:rPr>
              <w:t>а.д</w:t>
            </w:r>
            <w:proofErr w:type="spellEnd"/>
            <w:r>
              <w:rPr>
                <w:color w:val="000000"/>
                <w:sz w:val="19"/>
              </w:rPr>
              <w:t xml:space="preserve">. 17 Н-472 «Владимир - Муром – </w:t>
            </w:r>
            <w:proofErr w:type="spellStart"/>
            <w:r>
              <w:rPr>
                <w:color w:val="000000"/>
                <w:sz w:val="19"/>
              </w:rPr>
              <w:t>Зарослово</w:t>
            </w:r>
            <w:proofErr w:type="spellEnd"/>
            <w:r>
              <w:rPr>
                <w:color w:val="000000"/>
                <w:sz w:val="19"/>
              </w:rPr>
              <w:t xml:space="preserve">», путепровод через основной ход на ПК 2107+29 на </w:t>
            </w:r>
            <w:proofErr w:type="spellStart"/>
            <w:r>
              <w:rPr>
                <w:color w:val="000000"/>
                <w:sz w:val="19"/>
              </w:rPr>
              <w:t>а.д</w:t>
            </w:r>
            <w:proofErr w:type="spellEnd"/>
            <w:r>
              <w:rPr>
                <w:color w:val="000000"/>
                <w:sz w:val="19"/>
              </w:rPr>
              <w:t>. «</w:t>
            </w:r>
            <w:proofErr w:type="spellStart"/>
            <w:r>
              <w:rPr>
                <w:color w:val="000000"/>
                <w:sz w:val="19"/>
              </w:rPr>
              <w:t>н.п</w:t>
            </w:r>
            <w:proofErr w:type="spellEnd"/>
            <w:r>
              <w:rPr>
                <w:color w:val="000000"/>
                <w:sz w:val="19"/>
              </w:rPr>
              <w:t xml:space="preserve">. </w:t>
            </w:r>
            <w:proofErr w:type="spellStart"/>
            <w:r>
              <w:rPr>
                <w:color w:val="000000"/>
                <w:sz w:val="19"/>
              </w:rPr>
              <w:t>Катышево</w:t>
            </w:r>
            <w:proofErr w:type="spellEnd"/>
            <w:r>
              <w:rPr>
                <w:color w:val="000000"/>
                <w:sz w:val="19"/>
              </w:rPr>
              <w:t xml:space="preserve"> - </w:t>
            </w:r>
            <w:proofErr w:type="spellStart"/>
            <w:r>
              <w:rPr>
                <w:color w:val="000000"/>
                <w:sz w:val="19"/>
              </w:rPr>
              <w:t>н.п</w:t>
            </w:r>
            <w:proofErr w:type="spellEnd"/>
            <w:r>
              <w:rPr>
                <w:color w:val="000000"/>
                <w:sz w:val="19"/>
              </w:rPr>
              <w:t xml:space="preserve">. Новоселки», путепровод через </w:t>
            </w:r>
            <w:proofErr w:type="spellStart"/>
            <w:r>
              <w:rPr>
                <w:color w:val="000000"/>
                <w:sz w:val="19"/>
              </w:rPr>
              <w:t>а.д</w:t>
            </w:r>
            <w:proofErr w:type="spellEnd"/>
            <w:r>
              <w:rPr>
                <w:color w:val="000000"/>
                <w:sz w:val="19"/>
              </w:rPr>
              <w:t xml:space="preserve">. «Владимир - Муром» - </w:t>
            </w:r>
            <w:proofErr w:type="spellStart"/>
            <w:r>
              <w:rPr>
                <w:color w:val="000000"/>
                <w:sz w:val="19"/>
              </w:rPr>
              <w:t>Пестенькино</w:t>
            </w:r>
            <w:proofErr w:type="spellEnd"/>
            <w:r>
              <w:rPr>
                <w:color w:val="000000"/>
                <w:sz w:val="19"/>
              </w:rPr>
              <w:t xml:space="preserve"> - </w:t>
            </w:r>
            <w:proofErr w:type="spellStart"/>
            <w:r>
              <w:rPr>
                <w:color w:val="000000"/>
                <w:sz w:val="19"/>
              </w:rPr>
              <w:t>Михайлово</w:t>
            </w:r>
            <w:proofErr w:type="spellEnd"/>
            <w:r>
              <w:rPr>
                <w:color w:val="000000"/>
                <w:sz w:val="19"/>
              </w:rPr>
              <w:t xml:space="preserve">» на ПК 2156+96, путепровод через основной ход на ПК2207+37 на </w:t>
            </w:r>
            <w:proofErr w:type="spellStart"/>
            <w:r>
              <w:rPr>
                <w:color w:val="000000"/>
                <w:sz w:val="19"/>
              </w:rPr>
              <w:t>а.д</w:t>
            </w:r>
            <w:proofErr w:type="spellEnd"/>
            <w:r>
              <w:rPr>
                <w:color w:val="000000"/>
                <w:sz w:val="19"/>
              </w:rPr>
              <w:t>. «</w:t>
            </w:r>
            <w:proofErr w:type="spellStart"/>
            <w:r>
              <w:rPr>
                <w:color w:val="000000"/>
                <w:sz w:val="19"/>
              </w:rPr>
              <w:t>Ковардицы-Степаньково-Чаадаево</w:t>
            </w:r>
            <w:proofErr w:type="spellEnd"/>
            <w:r>
              <w:rPr>
                <w:color w:val="000000"/>
                <w:sz w:val="19"/>
              </w:rPr>
              <w:t>», путепровод через основной ход на ПК 1333+06 для проезда сельхозтехники, путепровод через основной ход на ПК 1468+86 для проезда сельхозтехники, путепровод через основной ход на ПК 2126+07 для проезда сельскохозяйственной техники, путепровод через основной ход на ПК 2232+25 для проезда сельхозтехники).</w:t>
            </w:r>
            <w:r>
              <w:rPr>
                <w:color w:val="000000"/>
                <w:sz w:val="19"/>
              </w:rPr>
              <w:br/>
              <w:t xml:space="preserve">При этом на указанные искусственные сооружения получены акты о приемке выполненных работ и разрешение на ввод объекта в эксплуатацию </w:t>
            </w:r>
            <w:r>
              <w:rPr>
                <w:color w:val="000000"/>
                <w:sz w:val="19"/>
              </w:rPr>
              <w:br/>
              <w:t>от 4 сентября 2023 г. № 33-0-026-2023-ФДА.</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83 900,0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Федеральный закон от 06.12.2011 № 402-ФЗ  "О бухгалтерском учете", п.3 ст. 9 Федерального закона "О бухгалтерском учете" от 06.12.2011 № 402-ФЗ , часть 1 статьи 9 Федерального закона от 06 декабря 2011 г. № 402-ФЗ «О бухгалтерском учете</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2.2 Нарушение требований, предъявляемых к оформлению фактов хозяйственной жизни экономического субъекта первичными учетными документами</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2346360596. В нарушение частей 1 и 3 статьи 9 Федерального закона от 6 декабря 2011 г. № 402-ФЗ «О бухгалтерском учете» и пункта 6.1 раздела «</w:t>
            </w:r>
            <w:proofErr w:type="spellStart"/>
            <w:r>
              <w:rPr>
                <w:color w:val="000000"/>
                <w:sz w:val="19"/>
              </w:rPr>
              <w:t>С.Строительство</w:t>
            </w:r>
            <w:proofErr w:type="spellEnd"/>
            <w:r>
              <w:rPr>
                <w:color w:val="000000"/>
                <w:sz w:val="19"/>
              </w:rPr>
              <w:t>» договора от 22 сентября 2020 г. № ДСиР-2020-1161, заключенного между Госкомпанией и Акционерным обществом «Дорожно-строительная компания «АВТОБАН» на выполнение комплекса работ по проектированию и строительству 4 этапа строительства автомобильной дороги М-12, Госкомпанией не оформлен первичными учетными документами (актами КС-2 и справками КС-3) факт хозяйственной жизни, обусловленный завершением строительно-монтажных работ по мостовому переходу через р. Оку на ПК 2279+00 в составе 4 этапа строительства автомобильной дороги М-12, на общую сумму 71,3 млн. рублей.</w:t>
            </w:r>
            <w:r>
              <w:rPr>
                <w:color w:val="000000"/>
                <w:sz w:val="19"/>
              </w:rPr>
              <w:br/>
            </w:r>
            <w:r>
              <w:rPr>
                <w:color w:val="000000"/>
                <w:sz w:val="19"/>
              </w:rPr>
              <w:lastRenderedPageBreak/>
              <w:t>При этом на указанное искусственное сооружение получено разрешение на ввод объекта в эксплуатацию от 24 августа 2023 г. № 0-0-021-2023-ФДА.</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71 300,0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Градостроительный кодекс Российской Федерации от 29.12.2004 № 190-ФЗ, статья 53</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1.3.15 Нарушение порядка проведения строительного контроля за ходом строительства объекта капитального строительства, а также ненадлежащее его осуществление</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2325270493. Госкомпанией ненадлежащим образом осуществлялся строительный контроль, предусмотренный пунктом 7.1.2 раздела «</w:t>
            </w:r>
            <w:proofErr w:type="spellStart"/>
            <w:r>
              <w:rPr>
                <w:color w:val="000000"/>
                <w:sz w:val="19"/>
              </w:rPr>
              <w:t>С.Строительство</w:t>
            </w:r>
            <w:proofErr w:type="spellEnd"/>
            <w:r>
              <w:rPr>
                <w:color w:val="000000"/>
                <w:sz w:val="19"/>
              </w:rPr>
              <w:t>» договоров, заключенных на выполнение комплекса работ по проектированию и строительству автомобильной дороги М-12, в результате чего подрядными организациями допущены следующие нарушения.</w:t>
            </w:r>
            <w:r>
              <w:rPr>
                <w:color w:val="000000"/>
                <w:sz w:val="19"/>
              </w:rPr>
              <w:br/>
              <w:t>Проектной документацией на строительство 5 этапа автомобильной дороги М-12, предусмотрено устройство 18 временных локальных очистных сооружений (далее – ЛОС) и временной дождевой канализации.</w:t>
            </w:r>
            <w:r>
              <w:rPr>
                <w:color w:val="000000"/>
                <w:sz w:val="19"/>
              </w:rPr>
              <w:br/>
              <w:t>В ходе визуального осмотра установлено отсутствие временных ЛОС и временной дождевой канализации на указанном объекте.</w:t>
            </w:r>
            <w:r>
              <w:rPr>
                <w:color w:val="000000"/>
                <w:sz w:val="19"/>
              </w:rPr>
              <w:br/>
              <w:t xml:space="preserve">В целях проектирования и строительства 5 этапа автомобильной дороги </w:t>
            </w:r>
            <w:r>
              <w:rPr>
                <w:color w:val="000000"/>
                <w:sz w:val="19"/>
              </w:rPr>
              <w:br/>
              <w:t>М-12 Госкомпанией  заключен договор от 21 сентября 2020 г. № ДСиР-2020-1152 с ООО «</w:t>
            </w:r>
            <w:proofErr w:type="spellStart"/>
            <w:r>
              <w:rPr>
                <w:color w:val="000000"/>
                <w:sz w:val="19"/>
              </w:rPr>
              <w:t>СиАрСиСи</w:t>
            </w:r>
            <w:proofErr w:type="spellEnd"/>
            <w:r>
              <w:rPr>
                <w:color w:val="000000"/>
                <w:sz w:val="19"/>
              </w:rPr>
              <w:t xml:space="preserve"> Рус» (далее – Договор № ДСиР-2020-1152), предусматривающий выполнение работ в соответствии с проектной документацией, включающей работы по устройству временных ЛОС.</w:t>
            </w:r>
            <w:r>
              <w:rPr>
                <w:color w:val="000000"/>
                <w:sz w:val="19"/>
              </w:rPr>
              <w:br/>
              <w:t xml:space="preserve">Таким образом, в нарушение статьи 309 Гражданского кодекса Российской Федерации, согласно которой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частей 6 и 7 статьи 52 Градостроительного </w:t>
            </w:r>
            <w:r>
              <w:rPr>
                <w:color w:val="000000"/>
                <w:sz w:val="19"/>
              </w:rPr>
              <w:lastRenderedPageBreak/>
              <w:t>кодекса Российской Федерации, которыми установлено, что строительные работы ведутся в соответствии с проектной документацией, а также условий Договора № ДСиР-2020-1152 подрядчиком не выполнены работы по устройству временных ЛОС и временной дождевой канализации стоимостью 11,3 млн рублей с НДС (</w:t>
            </w:r>
            <w:proofErr w:type="spellStart"/>
            <w:r>
              <w:rPr>
                <w:color w:val="000000"/>
                <w:sz w:val="19"/>
              </w:rPr>
              <w:t>расчетно</w:t>
            </w:r>
            <w:proofErr w:type="spellEnd"/>
            <w:r>
              <w:rPr>
                <w:color w:val="000000"/>
                <w:sz w:val="19"/>
              </w:rPr>
              <w:t>) и ведутся работы по строительству 5 этапа М-12 при отсутствии временных ЛОС, предусмотренных проектной документацией.</w:t>
            </w:r>
            <w:r>
              <w:rPr>
                <w:color w:val="000000"/>
                <w:sz w:val="19"/>
              </w:rPr>
              <w:br/>
              <w:t>Отсутствие временных ЛОС и временной дождевой канализации приводит к загрязнению прилегающих земель, находящихся в природоохранной зоне, что свидетельствует о несоблюдении положений подпункта 2 пункта 2 статьи 13 Земельного кодекса Российской Федерации, в соответствии с которым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защите земель от водной эрозии, подтопления, заболачивания, иссушения и другого негативного воздействия.</w:t>
            </w:r>
            <w:r>
              <w:rPr>
                <w:color w:val="000000"/>
                <w:sz w:val="19"/>
              </w:rPr>
              <w:br/>
              <w:t xml:space="preserve">Кроме того, установлено отсутствие ЛОС на 1 этапе строительства автомобильной дороги М-12, введенного в эксплуатацию в 2022 году. Работы по устройству ЛОС предусмотрено провести до конца 2023 года. </w:t>
            </w:r>
            <w:r>
              <w:rPr>
                <w:color w:val="000000"/>
                <w:sz w:val="19"/>
              </w:rPr>
              <w:br/>
              <w:t>Таким образом, эксплуатация автомобильной дороги М-12 осуществляется Госкомпанией с нарушением требований Земельного кодекса Российской Федерации в части отсутствия мероприятий по защите и охране земель. Поверхностные воды с автомобильной дороги поступают непосредственно на земельные участки Московской и Владимирской области.</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"Градостроительный кодекс Российской Федерации" от 29.12.2004 № 190-ФЗ, статья 53</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1.3.15 Нарушение порядка проведения строительного контроля за ходом строительства объекта капитального строительства, а также ненадлежащее его осуществление</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2338935615. Госкомпанией ненадлежащим образом осуществлялся строительный контроль, предусмотренный пунктом 7.1.2 раздела «</w:t>
            </w:r>
            <w:proofErr w:type="spellStart"/>
            <w:r>
              <w:rPr>
                <w:color w:val="000000"/>
                <w:sz w:val="19"/>
              </w:rPr>
              <w:t>С.Строительство</w:t>
            </w:r>
            <w:proofErr w:type="spellEnd"/>
            <w:r>
              <w:rPr>
                <w:color w:val="000000"/>
                <w:sz w:val="19"/>
              </w:rPr>
              <w:t>» договоров, заключенных на выполнение комплекса работ по проектированию и строительству автомобильной дороги М-12, в результате чего подрядными организациями допущены следующие нарушения.</w:t>
            </w:r>
            <w:r>
              <w:rPr>
                <w:color w:val="000000"/>
                <w:sz w:val="19"/>
              </w:rPr>
              <w:br/>
              <w:t>В ходе строительства 5 этапа автомобильной дороги М-12 подрядной организацией осуществляется выполнение работ по устройству дорожной одежды на региональной автомобильной дороге «Сергач-Сеченово» с отклонением от проектной документации, прошедшей государственную экспертизу, в части изменения конструкции дорожной одежды, что является нарушением частей 6 и 7 статьи 52 Градостроительного кодекса Российской Федерации.</w:t>
            </w:r>
            <w:r>
              <w:rPr>
                <w:color w:val="000000"/>
                <w:sz w:val="19"/>
              </w:rPr>
              <w:br/>
              <w:t xml:space="preserve">В соответствии с пунктом 3.8 межгосударственного стандарта ГОСТ 33100-2014 «Дороги автомобильные общего пользования. Правила проектирования автомобильных дорог» дорожная одежда является конструктивным элементом автомобильной дороги, воспринимающим нагрузку от транспортных средств и передающим ее на земляное полотно. В соответствии с пунктом 5.4 национального стандарта Российской Федерации </w:t>
            </w:r>
            <w:r>
              <w:rPr>
                <w:color w:val="000000"/>
                <w:sz w:val="19"/>
              </w:rPr>
              <w:br/>
              <w:t xml:space="preserve">ГОСТ 59120-2021 «Дороги автомобильные общего пользования. Дорожная одежда. Общие требования» конструктивными слоями дорожных одежд являются слой износа, слои покрытия, слои основания, дополнительный слой основания (морозозащитный, дренирующий, </w:t>
            </w:r>
            <w:proofErr w:type="spellStart"/>
            <w:r>
              <w:rPr>
                <w:color w:val="000000"/>
                <w:sz w:val="19"/>
              </w:rPr>
              <w:t>капилляропрерывающий</w:t>
            </w:r>
            <w:proofErr w:type="spellEnd"/>
            <w:r>
              <w:rPr>
                <w:color w:val="000000"/>
                <w:sz w:val="19"/>
              </w:rPr>
              <w:t xml:space="preserve">) и регулирующие слои (теплоизолирующий, гидроизолирующий, </w:t>
            </w:r>
            <w:proofErr w:type="spellStart"/>
            <w:r>
              <w:rPr>
                <w:color w:val="000000"/>
                <w:sz w:val="19"/>
              </w:rPr>
              <w:t>пароизолирующий</w:t>
            </w:r>
            <w:proofErr w:type="spellEnd"/>
            <w:r>
              <w:rPr>
                <w:color w:val="000000"/>
                <w:sz w:val="19"/>
              </w:rPr>
              <w:t xml:space="preserve">, </w:t>
            </w:r>
            <w:r>
              <w:rPr>
                <w:color w:val="000000"/>
                <w:sz w:val="19"/>
              </w:rPr>
              <w:lastRenderedPageBreak/>
              <w:t>противозаиливающий, армирующий, распределяющий).</w:t>
            </w:r>
            <w:r>
              <w:rPr>
                <w:color w:val="000000"/>
                <w:sz w:val="19"/>
              </w:rPr>
              <w:br/>
              <w:t>На момент проведения контрольного мероприятия изменения в проектную документацию на строительство объекта с учетом изменения конструкции дорожной одежды автомобильной дороги не внесены и проектная документация с учетом изменений выполняемых работ повторно на государственную экспертизу не направлялась, что является нарушением подпункта «б» пункта 44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и пункта 2.11 раздела «B. Разработка проектной документации» Договора № ДСиР-2020-1152.</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Приказ Министерства финансов Российской Федерации от 17 сентября 2020 г. № 204н «Об утверждении Федеральных стандартов бухгалтерского учета ФСБУ 6/2020 «Основные средства» и ФСБУ 26/2020 «Капитальные вложения», пункт 10, подпункт «е»</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2.9 Нарушение общих требований к бюджетной, бухгалтерской (финансовой) отчетности экономического субъекта, в том числе к ее составу</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2359341625. В нарушение подпункта «е» пункта 10 Федерального стандарта ФСБУ «Капитальные вложения» 26/2020, согласно которому в сумму фактических затрат при признании капитальных вложений включаются связанные с осуществлением капитальных вложений проценты, которые подлежат включению в стоимость инвестиционного актива Госкомпанией на 30 сентября 2023 года в составе незавершенного строительства автомобильной дороги М-12 (счет 08.03 «Строительство объектов основных средств») не отражены  проценты по биржевым облигациям, размещенным по открытой подписке за 3-й квартал 2023 года на общую сумму 2 595,1 млн рублей.</w:t>
            </w:r>
            <w:r>
              <w:rPr>
                <w:color w:val="000000"/>
                <w:sz w:val="19"/>
              </w:rPr>
              <w:br/>
              <w:t xml:space="preserve">В ходе контрольного мероприятия ГК «Автодор» указанное нарушение исправлено (начислены и отражены в составе капитальных вложений в объекты недвижимого имущества и отражены по строке внеоборотные активы </w:t>
            </w:r>
            <w:r>
              <w:rPr>
                <w:color w:val="000000"/>
                <w:sz w:val="19"/>
              </w:rPr>
              <w:lastRenderedPageBreak/>
              <w:t>бухгалтерского баланса за 9 месяцев 2023 года).</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2 595 100,0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rPr>
          <w:gridAfter w:val="1"/>
          <w:wAfter w:w="15" w:type="dxa"/>
          <w:trHeight w:val="345"/>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47135C" w:rsidRDefault="003073D4">
            <w:pPr>
              <w:ind w:right="113"/>
              <w:jc w:val="right"/>
              <w:rPr>
                <w:b/>
                <w:color w:val="000000"/>
                <w:sz w:val="19"/>
              </w:rPr>
            </w:pPr>
            <w:r>
              <w:rPr>
                <w:b/>
                <w:color w:val="000000"/>
                <w:sz w:val="19"/>
              </w:rPr>
              <w:t>Всего по разделу 1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b/>
                <w:color w:val="000000"/>
                <w:sz w:val="19"/>
              </w:rPr>
            </w:pPr>
            <w:r>
              <w:rPr>
                <w:b/>
                <w:color w:val="000000"/>
                <w:sz w:val="19"/>
              </w:rPr>
              <w:t>6 207 500,0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47135C" w:rsidRDefault="0047135C">
            <w:pPr>
              <w:jc w:val="center"/>
              <w:rPr>
                <w:b/>
                <w:color w:val="000000"/>
                <w:sz w:val="19"/>
              </w:rPr>
            </w:pPr>
          </w:p>
        </w:tc>
      </w:tr>
      <w:tr w:rsidR="0047135C">
        <w:trPr>
          <w:trHeight w:val="330"/>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47135C" w:rsidRDefault="003073D4">
            <w:pPr>
              <w:rPr>
                <w:b/>
                <w:color w:val="000000"/>
                <w:sz w:val="19"/>
              </w:rPr>
            </w:pPr>
            <w:r>
              <w:rPr>
                <w:b/>
                <w:color w:val="000000"/>
                <w:sz w:val="19"/>
              </w:rPr>
              <w:t>2. Прочие нарушения и недостатки</w:t>
            </w: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2350672600. Государственной компанией «Российские автомобильные дороги» (далее также – Госкомпания, ГК «Автодор») в ходе проведения мероприятий по строительству скоростной автомобильной дороги «Москва – Нижний Новгород – Казань» 21 сентября 2020 года с ООО «</w:t>
            </w:r>
            <w:proofErr w:type="spellStart"/>
            <w:r>
              <w:rPr>
                <w:color w:val="000000"/>
                <w:sz w:val="19"/>
              </w:rPr>
              <w:t>СиАрСиСи</w:t>
            </w:r>
            <w:proofErr w:type="spellEnd"/>
            <w:r>
              <w:rPr>
                <w:color w:val="000000"/>
                <w:sz w:val="19"/>
              </w:rPr>
              <w:t xml:space="preserve"> Рус» заключен договор № ДСиР-2020-1152 (далее – договор от 21 сентября 2020 г. № 1152) на выполнение комплекса работ по проектированию и строительству объекта «М-12 «Строящаяся скоростная автомобильная дорога Москва – Нижний Новгород – Казань», 5 этап, км 347 – км 454, Нижегородская область (от пересечения с автомобильной дорогой федерального значения Р-158 «Нижний Новгород – Арзамас – Саранск – Исса – Пенза – Саратов» до пересечения с автомобильной дорогой регионального значения 22К-0162 «Работки – Порецкое»)», в соответствии с которым стоимость строительно-монтажных работ составила 94 955,4 млн. рублей. В настоящее время обязательства по договору от 21 сентября 2020 г. № 1152 ООО «</w:t>
            </w:r>
            <w:proofErr w:type="spellStart"/>
            <w:r>
              <w:rPr>
                <w:color w:val="000000"/>
                <w:sz w:val="19"/>
              </w:rPr>
              <w:t>СиАрСиСи</w:t>
            </w:r>
            <w:proofErr w:type="spellEnd"/>
            <w:r>
              <w:rPr>
                <w:color w:val="000000"/>
                <w:sz w:val="19"/>
              </w:rPr>
              <w:t xml:space="preserve"> Рус» в полном объеме не исполнены.</w:t>
            </w:r>
            <w:r>
              <w:rPr>
                <w:color w:val="000000"/>
                <w:sz w:val="19"/>
              </w:rPr>
              <w:br/>
              <w:t>В рамках выполнения договора от 21 сентября 2020 г. № 1152 ООО «</w:t>
            </w:r>
            <w:proofErr w:type="spellStart"/>
            <w:r>
              <w:rPr>
                <w:color w:val="000000"/>
                <w:sz w:val="19"/>
              </w:rPr>
              <w:t>СиАрСиСи</w:t>
            </w:r>
            <w:proofErr w:type="spellEnd"/>
            <w:r>
              <w:rPr>
                <w:color w:val="000000"/>
                <w:sz w:val="19"/>
              </w:rPr>
              <w:t xml:space="preserve"> Рус» разработана проектно-сметная документация, на которую получены положительные заключения государственной экспертизы ФАУ «Главгосэкспертиза России» от 15 сентября 2021 г. № 52-1-1-3-053093-2021, от 16 февраля 2022 г. № 52-1-1-3-008637-2022 и от 7 апреля 2022 г. № 52-1-1-3-021278-</w:t>
            </w:r>
            <w:r>
              <w:rPr>
                <w:color w:val="000000"/>
                <w:sz w:val="19"/>
              </w:rPr>
              <w:lastRenderedPageBreak/>
              <w:t>2022.</w:t>
            </w:r>
            <w:r>
              <w:rPr>
                <w:color w:val="000000"/>
                <w:sz w:val="19"/>
              </w:rPr>
              <w:br/>
              <w:t>В соответствии с пунктом 63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r>
              <w:rPr>
                <w:color w:val="000000"/>
                <w:sz w:val="19"/>
              </w:rPr>
              <w:t>пр</w:t>
            </w:r>
            <w:proofErr w:type="spellEnd"/>
            <w:r>
              <w:rPr>
                <w:color w:val="000000"/>
                <w:sz w:val="19"/>
              </w:rPr>
              <w:t>, при соответствующем обосновании в проектной документации в локальных сметных расчетах для материальных ресурсов и оборудования учитываются затраты на перевозку грузов для строительства автомобильным или иным видом транспорта на дополнительное расстояние сверх учтенного сметными ценами и индексами изменения сметной стоимости.</w:t>
            </w:r>
            <w:r>
              <w:rPr>
                <w:color w:val="000000"/>
                <w:sz w:val="19"/>
              </w:rPr>
              <w:br/>
              <w:t xml:space="preserve">Согласно сводной ведомости источников получения, расстояний и способов доставки основных материалов, изделий и полуфабрикатов (далее – Транспортная схема), предусмотренной проектной документацией (том 5.1.2) к договору от 21 сентября 2020 г. № 1152, среднее расстояние доставки песка для устройства песчано-подстилающего слоя дорожной одежды и дополнительного слоя насыпи до </w:t>
            </w:r>
            <w:proofErr w:type="spellStart"/>
            <w:r>
              <w:rPr>
                <w:color w:val="000000"/>
                <w:sz w:val="19"/>
              </w:rPr>
              <w:t>приобъектных</w:t>
            </w:r>
            <w:proofErr w:type="spellEnd"/>
            <w:r>
              <w:rPr>
                <w:color w:val="000000"/>
                <w:sz w:val="19"/>
              </w:rPr>
              <w:t xml:space="preserve"> площадок складирования составляет 68 км, с </w:t>
            </w:r>
            <w:proofErr w:type="spellStart"/>
            <w:r>
              <w:rPr>
                <w:color w:val="000000"/>
                <w:sz w:val="19"/>
              </w:rPr>
              <w:t>приобъектных</w:t>
            </w:r>
            <w:proofErr w:type="spellEnd"/>
            <w:r>
              <w:rPr>
                <w:color w:val="000000"/>
                <w:sz w:val="19"/>
              </w:rPr>
              <w:t xml:space="preserve"> площадок далее до объекта строительства 5-го этапа М-12 – 9,1 км (общая протяженность до объекта – 77 км).</w:t>
            </w:r>
            <w:r>
              <w:rPr>
                <w:color w:val="000000"/>
                <w:sz w:val="19"/>
              </w:rPr>
              <w:br/>
              <w:t xml:space="preserve">Пунктом 3 раздела I «Общие положения» приложения № 119 «Цены на материалы, изделия, конструкции и оборудование, применяемые в строительстве» (ФССЦ 81-01-2001) к приказу Министерства строительства и жилищно-коммунального </w:t>
            </w:r>
            <w:r>
              <w:rPr>
                <w:color w:val="000000"/>
                <w:sz w:val="19"/>
              </w:rPr>
              <w:lastRenderedPageBreak/>
              <w:t>хозяйства Российской Федерации от 26 декабря 2019 г. № 876/</w:t>
            </w:r>
            <w:proofErr w:type="spellStart"/>
            <w:r>
              <w:rPr>
                <w:color w:val="000000"/>
                <w:sz w:val="19"/>
              </w:rPr>
              <w:t>пр</w:t>
            </w:r>
            <w:proofErr w:type="spellEnd"/>
            <w:r>
              <w:rPr>
                <w:color w:val="000000"/>
                <w:sz w:val="19"/>
              </w:rPr>
              <w:t xml:space="preserve"> «О включении в федеральный реестр сметных нормативов информации о федеральных единичных расценках и отдельных составляющих к ним» установлено, что сметные цены учитывают все расходы, связанные с приобретением, доставкой материалов, изделий, конструкций и оборудования от поставщиков (производителей) до </w:t>
            </w:r>
            <w:proofErr w:type="spellStart"/>
            <w:r>
              <w:rPr>
                <w:color w:val="000000"/>
                <w:sz w:val="19"/>
              </w:rPr>
              <w:t>приобъектного</w:t>
            </w:r>
            <w:proofErr w:type="spellEnd"/>
            <w:r>
              <w:rPr>
                <w:color w:val="000000"/>
                <w:sz w:val="19"/>
              </w:rPr>
              <w:t xml:space="preserve"> склада объекта капитального строительства, а пунктом 4 предусмотрено, что транспортные затраты приняты из условия перевозки грузов автомобильным транспортом на расстояние до 30 километров с учетом массы брутто. </w:t>
            </w:r>
            <w:r>
              <w:rPr>
                <w:color w:val="000000"/>
                <w:sz w:val="19"/>
              </w:rPr>
              <w:br/>
              <w:t>Методикой расчета индексов изменения сметной стоимости строительства, утвержденной приказом Минстроя России от 5 июня 2019 г. № 326/</w:t>
            </w:r>
            <w:proofErr w:type="spellStart"/>
            <w:r>
              <w:rPr>
                <w:color w:val="000000"/>
                <w:sz w:val="19"/>
              </w:rPr>
              <w:t>пр</w:t>
            </w:r>
            <w:proofErr w:type="spellEnd"/>
            <w:r>
              <w:rPr>
                <w:color w:val="000000"/>
                <w:sz w:val="19"/>
              </w:rPr>
              <w:t>, установлено, что индексами изменения сметной стоимости материалов, изделий и конструкций учтена текущая стоимость материальных ресурсов и оборудования, действующая для всей территории ценовой зоны, а также затраты по их перевозке на усредненное расстояние (30 километров) по территории ценовой зоны.</w:t>
            </w:r>
            <w:r>
              <w:rPr>
                <w:color w:val="000000"/>
                <w:sz w:val="19"/>
              </w:rPr>
              <w:br/>
              <w:t xml:space="preserve">При этом согласно локальному сметному расчету (смете) № 01-02-03-01 (том 9.2.1.3 проектной документации, получившей положительное заключение государственной экспертизы) на устройство дорожной одежды на участке ПК 3840+00 – ПК 4145+00 в рамках мероприятий по повышению модуля упругости рабочего слоя земляного полотна предусмотрено устройство подстилающих и выравнивающих слоев из песка (позиция 3 сметы) в объеме 427 989 м3, а объем песка для выполнения указанных работ составляет 470 787,9 м3 (норма расхода материалов 1,1). </w:t>
            </w:r>
            <w:r>
              <w:rPr>
                <w:color w:val="000000"/>
                <w:sz w:val="19"/>
              </w:rPr>
              <w:br/>
            </w:r>
            <w:r>
              <w:rPr>
                <w:color w:val="000000"/>
                <w:sz w:val="19"/>
              </w:rPr>
              <w:lastRenderedPageBreak/>
              <w:t xml:space="preserve">Позициями 5 и 6 сметы предусмотрена транспортировка песка в объеме 50 % (376 630,32 тонны, коэффициент насыпной плотности 1,6 т/м3) до </w:t>
            </w:r>
            <w:proofErr w:type="spellStart"/>
            <w:r>
              <w:rPr>
                <w:color w:val="000000"/>
                <w:sz w:val="19"/>
              </w:rPr>
              <w:t>приобъектной</w:t>
            </w:r>
            <w:proofErr w:type="spellEnd"/>
            <w:r>
              <w:rPr>
                <w:color w:val="000000"/>
                <w:sz w:val="19"/>
              </w:rPr>
              <w:t xml:space="preserve"> площадки на расстояние 38 км (расценка 03-21-01-038 сборника «Цены на перевозки грузов для строительства (</w:t>
            </w:r>
            <w:proofErr w:type="spellStart"/>
            <w:r>
              <w:rPr>
                <w:color w:val="000000"/>
                <w:sz w:val="19"/>
              </w:rPr>
              <w:t>ФССЦпг</w:t>
            </w:r>
            <w:proofErr w:type="spellEnd"/>
            <w:r>
              <w:rPr>
                <w:color w:val="000000"/>
                <w:sz w:val="19"/>
              </w:rPr>
              <w:t xml:space="preserve"> 81-01-2001)», являющегося приложением № 121 к приказу Министерства строительства и жилищно-коммунального хозяйства Российской Федерации от 26 декабря 2019 г. № 876/</w:t>
            </w:r>
            <w:proofErr w:type="spellStart"/>
            <w:r>
              <w:rPr>
                <w:color w:val="000000"/>
                <w:sz w:val="19"/>
              </w:rPr>
              <w:t>пр</w:t>
            </w:r>
            <w:proofErr w:type="spellEnd"/>
            <w:r>
              <w:rPr>
                <w:color w:val="000000"/>
                <w:sz w:val="19"/>
              </w:rPr>
              <w:t xml:space="preserve"> «О включении в федеральный реестр сметных нормативов информацию о федеральных единичных расценках и отдельных составляющих к ним» (далее – </w:t>
            </w:r>
            <w:proofErr w:type="spellStart"/>
            <w:r>
              <w:rPr>
                <w:color w:val="000000"/>
                <w:sz w:val="19"/>
              </w:rPr>
              <w:t>ФССЦпг</w:t>
            </w:r>
            <w:proofErr w:type="spellEnd"/>
            <w:r>
              <w:rPr>
                <w:color w:val="000000"/>
                <w:sz w:val="19"/>
              </w:rPr>
              <w:t xml:space="preserve">), стоимостью 22,44 рубля за тонну в базовых ценах и 50 % (376 630,32 тонны) до объекта на расстояние 47 км (расценка 03-21-01-047 </w:t>
            </w:r>
            <w:proofErr w:type="spellStart"/>
            <w:r>
              <w:rPr>
                <w:color w:val="000000"/>
                <w:sz w:val="19"/>
              </w:rPr>
              <w:t>ФССЦпг</w:t>
            </w:r>
            <w:proofErr w:type="spellEnd"/>
            <w:r>
              <w:rPr>
                <w:color w:val="000000"/>
                <w:sz w:val="19"/>
              </w:rPr>
              <w:t>) стоимостью 25,98 рубля за тонну в базовых ценах.</w:t>
            </w:r>
            <w:r>
              <w:rPr>
                <w:color w:val="000000"/>
                <w:sz w:val="19"/>
              </w:rPr>
              <w:br/>
              <w:t>Указанные расценки определены исходя из дальности перевозки, установленной Транспортной схемой, за вычетом расстояния 30 км, учтенного сметными ценами и индексами изменения сметной стоимости.</w:t>
            </w:r>
            <w:r>
              <w:rPr>
                <w:color w:val="000000"/>
                <w:sz w:val="19"/>
              </w:rPr>
              <w:br/>
              <w:t xml:space="preserve">В соответствии с пунктом 1.3.3 раздела I «Общие положения» </w:t>
            </w:r>
            <w:proofErr w:type="spellStart"/>
            <w:r>
              <w:rPr>
                <w:color w:val="000000"/>
                <w:sz w:val="19"/>
              </w:rPr>
              <w:t>ФССЦпг</w:t>
            </w:r>
            <w:proofErr w:type="spellEnd"/>
            <w:r>
              <w:rPr>
                <w:color w:val="000000"/>
                <w:sz w:val="19"/>
              </w:rPr>
              <w:t xml:space="preserve"> в сметных ценах учтены оплата за перевозку грузов, а также за простой автомобильного транспорта в местах погрузки и разгрузки в пределах установленных норм и доля порожнего пробега от пункта расположения автотранспортного предприятия до первой загрузки и от места последней разгрузки до автотранспортного предприятия, а согласно пункту 1.3.4 сметные цены на перевозку грузов автомобильным транспортом, установленные в </w:t>
            </w:r>
            <w:proofErr w:type="spellStart"/>
            <w:r>
              <w:rPr>
                <w:color w:val="000000"/>
                <w:sz w:val="19"/>
              </w:rPr>
              <w:t>ФССЦпг</w:t>
            </w:r>
            <w:proofErr w:type="spellEnd"/>
            <w:r>
              <w:rPr>
                <w:color w:val="000000"/>
                <w:sz w:val="19"/>
              </w:rPr>
              <w:t xml:space="preserve">, учитывают нормативное время пробега автомобильного транспорта, которое </w:t>
            </w:r>
            <w:r>
              <w:rPr>
                <w:color w:val="000000"/>
                <w:sz w:val="19"/>
              </w:rPr>
              <w:lastRenderedPageBreak/>
              <w:t>включает время в пути (длина пробега принята равной расстоянию перевозки, умноженному на 2), простой под погрузкой и разгрузкой и долю порожнего пробега от пункта расположения автотранспортного предприятия до пункта первой погрузки и от пункта последней разгрузки до автотранспортного предприятия.</w:t>
            </w:r>
            <w:r>
              <w:rPr>
                <w:color w:val="000000"/>
                <w:sz w:val="19"/>
              </w:rPr>
              <w:br/>
              <w:t xml:space="preserve">С учетом изложенного в смете № 01-02-03-01 (том 9.2.1.3 проектной документации) затраты на порожние пробеги от пункта расположения автотранспортного предприятия до первой загрузки и от места последней разгрузки до автотранспортного предприятия учтены дважды: как в составе сметных цен на материалы, так и в составе расценок 03-21-01-038 </w:t>
            </w:r>
            <w:proofErr w:type="spellStart"/>
            <w:r>
              <w:rPr>
                <w:color w:val="000000"/>
                <w:sz w:val="19"/>
              </w:rPr>
              <w:t>ФССЦпг</w:t>
            </w:r>
            <w:proofErr w:type="spellEnd"/>
            <w:r>
              <w:rPr>
                <w:color w:val="000000"/>
                <w:sz w:val="19"/>
              </w:rPr>
              <w:t xml:space="preserve"> и 03-21-01-047 </w:t>
            </w:r>
            <w:proofErr w:type="spellStart"/>
            <w:r>
              <w:rPr>
                <w:color w:val="000000"/>
                <w:sz w:val="19"/>
              </w:rPr>
              <w:t>ФССЦпг</w:t>
            </w:r>
            <w:proofErr w:type="spellEnd"/>
            <w:r>
              <w:rPr>
                <w:color w:val="000000"/>
                <w:sz w:val="19"/>
              </w:rPr>
              <w:t xml:space="preserve"> (позиции 5 и 6 сметы).</w:t>
            </w:r>
            <w:r>
              <w:rPr>
                <w:color w:val="000000"/>
                <w:sz w:val="19"/>
              </w:rPr>
              <w:br/>
              <w:t xml:space="preserve">Вместе с тем для исключения дублирования указанных затрат следовало определять стоимость перевозки как разницу между показателями (по позициям цен) перевозки грузов на 1 тонну массы перевозимого груза с учетом объема до расстояния, указанного в проектной документации, и расстояния, учтенного сметными ценами и индексами изменения сметной стоимости, то есть стоимость перевозки 1 тонны песка на расстояние до 68 км должна была составить 14,96 рубля (расценка 03-21-01-068 </w:t>
            </w:r>
            <w:proofErr w:type="spellStart"/>
            <w:r>
              <w:rPr>
                <w:color w:val="000000"/>
                <w:sz w:val="19"/>
              </w:rPr>
              <w:t>ФССЦпг</w:t>
            </w:r>
            <w:proofErr w:type="spellEnd"/>
            <w:r>
              <w:rPr>
                <w:color w:val="000000"/>
                <w:sz w:val="19"/>
              </w:rPr>
              <w:t xml:space="preserve"> (34,25 рубля) – расценка 03-21-01-030 </w:t>
            </w:r>
            <w:proofErr w:type="spellStart"/>
            <w:r>
              <w:rPr>
                <w:color w:val="000000"/>
                <w:sz w:val="19"/>
              </w:rPr>
              <w:t>ФССЦпг</w:t>
            </w:r>
            <w:proofErr w:type="spellEnd"/>
            <w:r>
              <w:rPr>
                <w:color w:val="000000"/>
                <w:sz w:val="19"/>
              </w:rPr>
              <w:t xml:space="preserve"> (19,29 рубля) = 14,96 рубля) за тонну в базовых ценах и на расстояние 77 км – 18,5 рубля (расценка 03-21-01-077 </w:t>
            </w:r>
            <w:proofErr w:type="spellStart"/>
            <w:r>
              <w:rPr>
                <w:color w:val="000000"/>
                <w:sz w:val="19"/>
              </w:rPr>
              <w:t>ФССЦпг</w:t>
            </w:r>
            <w:proofErr w:type="spellEnd"/>
            <w:r>
              <w:rPr>
                <w:color w:val="000000"/>
                <w:sz w:val="19"/>
              </w:rPr>
              <w:t xml:space="preserve"> (37,79 рубля) – расценка 03-21-01-030 </w:t>
            </w:r>
            <w:proofErr w:type="spellStart"/>
            <w:r>
              <w:rPr>
                <w:color w:val="000000"/>
                <w:sz w:val="19"/>
              </w:rPr>
              <w:t>ФССЦпг</w:t>
            </w:r>
            <w:proofErr w:type="spellEnd"/>
            <w:r>
              <w:rPr>
                <w:color w:val="000000"/>
                <w:sz w:val="19"/>
              </w:rPr>
              <w:t xml:space="preserve"> (19,29 рубля) = 18,5 рубля) за тонну в базовых ценах.</w:t>
            </w:r>
            <w:r>
              <w:rPr>
                <w:color w:val="000000"/>
                <w:sz w:val="19"/>
              </w:rPr>
              <w:br/>
              <w:t xml:space="preserve">При этом в целях уточнения стоимости этапов строительства М-12 после получения положительного заключения ФАУ «Главгосэкспертиза России» приказом ГК «Автодор» от 5 апреля 2021 г. </w:t>
            </w:r>
            <w:r>
              <w:rPr>
                <w:color w:val="000000"/>
                <w:sz w:val="19"/>
              </w:rPr>
              <w:lastRenderedPageBreak/>
              <w:t>№ 98 утверждены Правила составления ведомости договорной цены.</w:t>
            </w:r>
            <w:r>
              <w:rPr>
                <w:color w:val="000000"/>
                <w:sz w:val="19"/>
              </w:rPr>
              <w:br/>
              <w:t>Пунктом 2.3 указанных Правил определено, что цена единицы комплекса работ складывается из сумм соответствующих ему позиций единичных расценок локального сметного расчета с учетом начислений лимитированных затрат, применяемых к рассматриваемым позициям и распределенных пропорционально.</w:t>
            </w:r>
            <w:r>
              <w:rPr>
                <w:color w:val="000000"/>
                <w:sz w:val="19"/>
              </w:rPr>
              <w:br/>
              <w:t>Согласно актам выполненных работ по форме КС-2 Госкомпанией по состоянию на 1 октября 2023 года приняты работы по устройству дополнительного слоя основания из песка (позиция 3.1.1.3 ведомости договорной цены (далее – ВДЦ) общим объемом 362 956,18 м3 стоимостью 663 879,5 тыс. рублей.</w:t>
            </w:r>
            <w:r>
              <w:rPr>
                <w:color w:val="000000"/>
                <w:sz w:val="19"/>
              </w:rPr>
              <w:br/>
              <w:t>В рамках данного комплекса работ на основании позиций единичных расценок локального сметного расчета № 01-02-03-01 осуществлена транспортировка 638 802,8 тонны песка на общую сумму 189 111,1 тыс. рублей в текущих ценах с НДС, в том числе 319 401,4 тонны песка на расстояние 77 км на сумму 101 468,6 тыс. рублей и 319 401,4 тонны песка на расстояние 68 км на сумму 87 642,6 тыс. рублей.</w:t>
            </w:r>
            <w:r>
              <w:rPr>
                <w:color w:val="000000"/>
                <w:sz w:val="19"/>
              </w:rPr>
              <w:br/>
              <w:t xml:space="preserve">Однако стоимость транспортировки 638 802,8 тонны песка без учета дублирующих затрат должна была составить 130 682,7 тыс. рублей, что на 58 428,4 тыс. рублей меньше принятого по актам по форме КС-2. </w:t>
            </w:r>
            <w:r>
              <w:rPr>
                <w:color w:val="000000"/>
                <w:sz w:val="19"/>
              </w:rPr>
              <w:br/>
              <w:t>Аналогичные факты приемки невыполненных работ по перевозке материалов на сумму 3 004,0 млн. рублей (</w:t>
            </w:r>
            <w:proofErr w:type="spellStart"/>
            <w:r>
              <w:rPr>
                <w:color w:val="000000"/>
                <w:sz w:val="19"/>
              </w:rPr>
              <w:t>расчетно</w:t>
            </w:r>
            <w:proofErr w:type="spellEnd"/>
            <w:r>
              <w:rPr>
                <w:color w:val="000000"/>
                <w:sz w:val="19"/>
              </w:rPr>
              <w:t>) установлены по договорам, заключенным ГК «Автодор»: на строительство 2-го этапа М-12 – с ООО «РСК» от 21 сентября 2020 г. № ДСиР-</w:t>
            </w:r>
            <w:r>
              <w:rPr>
                <w:color w:val="000000"/>
                <w:sz w:val="19"/>
              </w:rPr>
              <w:lastRenderedPageBreak/>
              <w:t>2020-1153, 3-го этапа М-12 – с АО «ВАД» от 21 сентября 2020 г. № ДСиР-2020-1151, 4-го этапа М-12 – с АО «ДСК «АВТОБАН» от 22 сентября 2020 г. № ДСиР-2020-1161, 5-го этапа М-12 – с ООО «</w:t>
            </w:r>
            <w:proofErr w:type="spellStart"/>
            <w:r>
              <w:rPr>
                <w:color w:val="000000"/>
                <w:sz w:val="19"/>
              </w:rPr>
              <w:t>СиАрСиСи</w:t>
            </w:r>
            <w:proofErr w:type="spellEnd"/>
            <w:r>
              <w:rPr>
                <w:color w:val="000000"/>
                <w:sz w:val="19"/>
              </w:rPr>
              <w:t xml:space="preserve"> Рус» от 21 сентября 2020 г. № ДСиР-2020-1152, 6-го этапа М-12 – с АО  ДСК «АВТОБАН» от 22 сентября 2020 г. № ДСиР-2020-1162, 7-го этапа М-12 – с ООО «СК «Автодор» от 29 октября 2020 г. № ДСиР-2020-1302 и 8-го этапа М-12 – с ООО «</w:t>
            </w:r>
            <w:proofErr w:type="spellStart"/>
            <w:r>
              <w:rPr>
                <w:color w:val="000000"/>
                <w:sz w:val="19"/>
              </w:rPr>
              <w:t>Трансстроймеханизация</w:t>
            </w:r>
            <w:proofErr w:type="spellEnd"/>
            <w:r>
              <w:rPr>
                <w:color w:val="000000"/>
                <w:sz w:val="19"/>
              </w:rPr>
              <w:t>» от 22 сентября 2020 г. № ДСиР-2020-1163, выполнение которых в настоящее время не завершено.</w:t>
            </w:r>
            <w:r>
              <w:rPr>
                <w:color w:val="000000"/>
                <w:sz w:val="19"/>
              </w:rPr>
              <w:br/>
              <w:t>Таким образом, некорректное составление сметной документации на строительно-монтажные работы повлекло приемку и оплату фактически невыполненных работ по транспортировке материалов, что свидетельствует о рисках причинения материального ущерба на общую сумму 3 062,4 млн. рублей (</w:t>
            </w:r>
            <w:proofErr w:type="spellStart"/>
            <w:r>
              <w:rPr>
                <w:color w:val="000000"/>
                <w:sz w:val="19"/>
              </w:rPr>
              <w:t>расчетно</w:t>
            </w:r>
            <w:proofErr w:type="spellEnd"/>
            <w:r>
              <w:rPr>
                <w:color w:val="000000"/>
                <w:sz w:val="19"/>
              </w:rPr>
              <w:t>).</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3 062 400,0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2365823485. ГК «Автодор» 22 сентября 2020 года с ООО «</w:t>
            </w:r>
            <w:proofErr w:type="spellStart"/>
            <w:r>
              <w:rPr>
                <w:color w:val="000000"/>
                <w:sz w:val="19"/>
              </w:rPr>
              <w:t>Трансстроймеханизация</w:t>
            </w:r>
            <w:proofErr w:type="spellEnd"/>
            <w:r>
              <w:rPr>
                <w:color w:val="000000"/>
                <w:sz w:val="19"/>
              </w:rPr>
              <w:t>» заключен договор № ДСиР-2020-1163 на выполнение комплекса работ по проектированию и строительству объекта «М-12 «Строящаяся скоростная автомобильная дорога Москва – Нижний Новгород – Казань», 8 этап км 663 – км 729 с мостовым переходом через р. Волга, Республика Татарстан (от пересечения с автомобильной дорогой федерального значения Р-241 «Казань – Буинск – Ульяновск» до пересечения с автомобильной дорогой регионального значения «Сорочьи Горы – Шали»)» (далее – договор от 22 сентября 2020 года). В настоящее время обязательства по договору от 22 сентября 2020 года ООО «</w:t>
            </w:r>
            <w:proofErr w:type="spellStart"/>
            <w:r>
              <w:rPr>
                <w:color w:val="000000"/>
                <w:sz w:val="19"/>
              </w:rPr>
              <w:t>Трансстроймеханизация</w:t>
            </w:r>
            <w:proofErr w:type="spellEnd"/>
            <w:r>
              <w:rPr>
                <w:color w:val="000000"/>
                <w:sz w:val="19"/>
              </w:rPr>
              <w:t>» в полном объеме не исполнены.</w:t>
            </w:r>
            <w:r>
              <w:rPr>
                <w:color w:val="000000"/>
                <w:sz w:val="19"/>
              </w:rPr>
              <w:br/>
              <w:t xml:space="preserve">В рамках выполнения договора от 22 </w:t>
            </w:r>
            <w:r>
              <w:rPr>
                <w:color w:val="000000"/>
                <w:sz w:val="19"/>
              </w:rPr>
              <w:lastRenderedPageBreak/>
              <w:t>сентября 2020 года ООО «</w:t>
            </w:r>
            <w:proofErr w:type="spellStart"/>
            <w:r>
              <w:rPr>
                <w:color w:val="000000"/>
                <w:sz w:val="19"/>
              </w:rPr>
              <w:t>Трансстроймеханизация</w:t>
            </w:r>
            <w:proofErr w:type="spellEnd"/>
            <w:r>
              <w:rPr>
                <w:color w:val="000000"/>
                <w:sz w:val="19"/>
              </w:rPr>
              <w:t>» разработана проектно-сметная документация, на которую получено положительное заключение государственной экспертизы ФАУ «Главгосэкспертиза России» от 7 апреля 2022 г. № 16-1-1-3-021018-2022.</w:t>
            </w:r>
            <w:r>
              <w:rPr>
                <w:color w:val="000000"/>
                <w:sz w:val="19"/>
              </w:rPr>
              <w:br/>
              <w:t>В соответствии с ведомостью объемов работ № ДСиР-2020-1163-П-ТКР1.2.ВР (том 9.4.1 проектной документации) в целях устройства дополнительного слоя основания из песка дорожной одежды на участке ПК 12+51,41 – ПК 215+71,05 предусмотрены доставка 492 987,5 тонны грунта 1 группы (песка мелкого), в том числе 394 389,99 тонны на площадку промежуточного складирования (согласно сводной ведомости источников получения, расстояний и способов доставки местных (привозных) материалов (раздел 5 «Проект организации строительств» проектной документации, графическая часть, транспортная схема) расстояние до площадки промежуточного складирования составляет 51 км), с последующей погрузкой одноковшовым экскаватором емкостью ковша 1 м3 в автосамосвалы и транспортировкой на расстояние до 12 км в место укладки и устройство дополнительного основания и 98 597,51 тонны непосредственно к месту производства работ по укладке и устройству дополнительного основания на расстояние до 63 км.</w:t>
            </w:r>
            <w:r>
              <w:rPr>
                <w:color w:val="000000"/>
                <w:sz w:val="19"/>
              </w:rPr>
              <w:br/>
              <w:t xml:space="preserve">При этом в соответствии с позицией 3 локального сметного расчета (смета) № ЛС-02-02-01 (том 9.2.11.1 проектной документации) предусмотрена перевозка грузов автомобилями-самосвалами грузоподъемностью 10 тонн, работающих вне карьера, на расстояние для I класса груза до 21 км (51 км – 30 км, учтенные в расценках) на площадку промежуточного </w:t>
            </w:r>
            <w:r>
              <w:rPr>
                <w:color w:val="000000"/>
                <w:sz w:val="19"/>
              </w:rPr>
              <w:lastRenderedPageBreak/>
              <w:t>складирования в объеме 492 987,5 тонны при необходимом объеме 394 389,99 тонны, что на 98 597,51 тонны материалов больше (стоимость 18,8 млн. рублей в текущих ценах с НДС).</w:t>
            </w:r>
            <w:r>
              <w:rPr>
                <w:color w:val="000000"/>
                <w:sz w:val="19"/>
              </w:rPr>
              <w:br/>
              <w:t>Также по позиции 6 указанной сметы применена расценка, предусматривающая перевозку 98 597,51 тонны грузов (песка) автомобилями-самосвалами грузоподъемностью 10 тонн, работающими вне карьера, на полное расстояние (63 км, стоимость перевозки на 63 км составляет 32,28 рубля в базовых ценах) без вычета расстояния 30 км (стоимость перевозки на 30 км составляет 19,29 рубля в базовых ценах), учтенного сметными ценами и индексами изменения сметной стоимости, что свидетельствует о завышении стоимости перевозки песка на сумму 22,9 млн. рублей в текущих ценах с НДС.</w:t>
            </w:r>
            <w:r>
              <w:rPr>
                <w:color w:val="000000"/>
                <w:sz w:val="19"/>
              </w:rPr>
              <w:br/>
              <w:t>Согласно актам выполненных работ по форме КС-2 Госкомпанией по состоянию на 1 октября 2023 года приняты работы по устройству дополнительного слоя основания из песка с уплотнением (позиция 438 ВДЦ) общим объемом 250 624,237 м3 на сумму 557,1 млн. рублей с НДС, из которых стоимость невыполненных работ по перевозке песка составила в сумме 35,3 млн. рублей (</w:t>
            </w:r>
            <w:proofErr w:type="spellStart"/>
            <w:r>
              <w:rPr>
                <w:color w:val="000000"/>
                <w:sz w:val="19"/>
              </w:rPr>
              <w:t>расчетно</w:t>
            </w:r>
            <w:proofErr w:type="spellEnd"/>
            <w:r>
              <w:rPr>
                <w:color w:val="000000"/>
                <w:sz w:val="19"/>
              </w:rPr>
              <w:t>).</w:t>
            </w:r>
            <w:r>
              <w:rPr>
                <w:color w:val="000000"/>
                <w:sz w:val="19"/>
              </w:rPr>
              <w:br/>
              <w:t>Кроме того, по договору от 22 сентября 2020 года установлены аналогичные факты завышения стоимости перевозки материалов на общую сумму 168,6 млн. рублей, из которых принято работ на сумму 133,2 млн. рублей.</w:t>
            </w:r>
            <w:r>
              <w:rPr>
                <w:color w:val="000000"/>
                <w:sz w:val="19"/>
              </w:rPr>
              <w:br/>
              <w:t xml:space="preserve">Таким образом, некорректное составление сметной документации на строительно-монтажные работы повлекло приемку и оплату фактически невыполненных работ по перевозке песка, что свидетельствует о рисках причинения материального ущерба </w:t>
            </w:r>
            <w:r>
              <w:rPr>
                <w:color w:val="000000"/>
                <w:sz w:val="19"/>
              </w:rPr>
              <w:lastRenderedPageBreak/>
              <w:t>на общую сумму 210,3 млн. рублей (</w:t>
            </w:r>
            <w:proofErr w:type="spellStart"/>
            <w:r>
              <w:rPr>
                <w:color w:val="000000"/>
                <w:sz w:val="19"/>
              </w:rPr>
              <w:t>расчетно</w:t>
            </w:r>
            <w:proofErr w:type="spellEnd"/>
            <w:r>
              <w:rPr>
                <w:color w:val="000000"/>
                <w:sz w:val="19"/>
              </w:rPr>
              <w:t>).</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210 300,0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 xml:space="preserve">2312103523. ГК «Автодор» 21 сентября 2020 года с ООО «Региональная строительная компания» заключен договор № ДСиР-2020-1153 на выполнение комплекса работ по проектированию и строительству объекта «М-12 «Строящаяся скоростная автомобильная дорога Москва – Нижний Новгород – Казань», 2 этап км 80 – км 116, Владимирская область (от пересечения с автомобильной дорогой федерального значения М-7 «Волга» до пересечения с автомобильной дорогой регионального значения 17Р-2 «Владимир – Гусь-Хрустальный – </w:t>
            </w:r>
            <w:proofErr w:type="spellStart"/>
            <w:r>
              <w:rPr>
                <w:color w:val="000000"/>
                <w:sz w:val="19"/>
              </w:rPr>
              <w:t>Тума</w:t>
            </w:r>
            <w:proofErr w:type="spellEnd"/>
            <w:r>
              <w:rPr>
                <w:color w:val="000000"/>
                <w:sz w:val="19"/>
              </w:rPr>
              <w:t>»)» на сумму 34 894,6 млн. рублей.</w:t>
            </w:r>
            <w:r>
              <w:rPr>
                <w:color w:val="000000"/>
                <w:sz w:val="19"/>
              </w:rPr>
              <w:br/>
              <w:t>В настоящее время обязательства по указанному договору ООО «Региональная строительная компания» в полном объеме не исполнены.</w:t>
            </w:r>
            <w:r>
              <w:rPr>
                <w:color w:val="000000"/>
                <w:sz w:val="19"/>
              </w:rPr>
              <w:br/>
              <w:t xml:space="preserve">В локальном сметном расчете № ЛСР-02-10-03 «Дорожная разметка» проектной документации, получившей положительное заключение государственной экспертизы ФАУ «Главгосэкспертиза России» от 21 декабря 2021 г. № 33-1-1-3-080700-2021, на строительство 2-го этапа М-12 необоснованно применена федеральная единичная расценка </w:t>
            </w:r>
            <w:proofErr w:type="spellStart"/>
            <w:r>
              <w:rPr>
                <w:color w:val="000000"/>
                <w:sz w:val="19"/>
              </w:rPr>
              <w:t>ФЕРр</w:t>
            </w:r>
            <w:proofErr w:type="spellEnd"/>
            <w:r>
              <w:rPr>
                <w:color w:val="000000"/>
                <w:sz w:val="19"/>
              </w:rPr>
              <w:t xml:space="preserve"> 69-13-1 «Разогрев битумных материалов» (</w:t>
            </w:r>
            <w:proofErr w:type="spellStart"/>
            <w:r>
              <w:rPr>
                <w:color w:val="000000"/>
                <w:sz w:val="19"/>
              </w:rPr>
              <w:t>ФЕРр</w:t>
            </w:r>
            <w:proofErr w:type="spellEnd"/>
            <w:r>
              <w:rPr>
                <w:color w:val="000000"/>
                <w:sz w:val="19"/>
              </w:rPr>
              <w:t xml:space="preserve"> 81-02-69-2001) (</w:t>
            </w:r>
            <w:proofErr w:type="spellStart"/>
            <w:r>
              <w:rPr>
                <w:color w:val="000000"/>
                <w:sz w:val="19"/>
              </w:rPr>
              <w:t>cборник</w:t>
            </w:r>
            <w:proofErr w:type="spellEnd"/>
            <w:r>
              <w:rPr>
                <w:color w:val="000000"/>
                <w:sz w:val="19"/>
              </w:rPr>
              <w:t xml:space="preserve"> 69 «Прочие ремонтно-строительные работы», приложение № 118 к приказу Минстроя России от 26 декабря 2019 г. № 876/</w:t>
            </w:r>
            <w:proofErr w:type="spellStart"/>
            <w:r>
              <w:rPr>
                <w:color w:val="000000"/>
                <w:sz w:val="19"/>
              </w:rPr>
              <w:t>пр</w:t>
            </w:r>
            <w:proofErr w:type="spellEnd"/>
            <w:r>
              <w:rPr>
                <w:color w:val="000000"/>
                <w:sz w:val="19"/>
              </w:rPr>
              <w:t xml:space="preserve"> «О включении в федеральный реестр сметных нормативов информации о федеральных единичных расценках и отдельных составляющих к ним») в целях разогрева брикетов термопластика на сумму 1,7 млн. рублей с НДС (</w:t>
            </w:r>
            <w:proofErr w:type="spellStart"/>
            <w:r>
              <w:rPr>
                <w:color w:val="000000"/>
                <w:sz w:val="19"/>
              </w:rPr>
              <w:t>расчетно</w:t>
            </w:r>
            <w:proofErr w:type="spellEnd"/>
            <w:r>
              <w:rPr>
                <w:color w:val="000000"/>
                <w:sz w:val="19"/>
              </w:rPr>
              <w:t>).</w:t>
            </w:r>
            <w:r>
              <w:rPr>
                <w:color w:val="000000"/>
                <w:sz w:val="19"/>
              </w:rPr>
              <w:br/>
              <w:t xml:space="preserve">Так, пункт 1.69.1 </w:t>
            </w:r>
            <w:proofErr w:type="spellStart"/>
            <w:r>
              <w:rPr>
                <w:color w:val="000000"/>
                <w:sz w:val="19"/>
              </w:rPr>
              <w:t>ФЕРр</w:t>
            </w:r>
            <w:proofErr w:type="spellEnd"/>
            <w:r>
              <w:rPr>
                <w:color w:val="000000"/>
                <w:sz w:val="19"/>
              </w:rPr>
              <w:t xml:space="preserve"> 81-02-69-2001 (сборник 69 «Прочие ремонтно-</w:t>
            </w:r>
            <w:r>
              <w:rPr>
                <w:color w:val="000000"/>
                <w:sz w:val="19"/>
              </w:rPr>
              <w:lastRenderedPageBreak/>
              <w:t>строительные работы») содержит расценки на выполнение прочих ремонтно-строительных работ по ремонту зданий и сооружений, не отнесенных к работам по строительству, а затраты по разогреву термопластика уже учтены в расценке по нанесению дорожной разметки.</w:t>
            </w:r>
            <w:r>
              <w:rPr>
                <w:color w:val="000000"/>
                <w:sz w:val="19"/>
              </w:rPr>
              <w:br/>
              <w:t>Таким образом, некорректное составление сметной документации на строительно-монтажные работы повлекло приемку и оплату фактически невыполненных работ по разогреву битумных материалов, что свидетельствует о рисках причинения материального ущерба на общую сумму 1,7 млн. рублей (</w:t>
            </w:r>
            <w:proofErr w:type="spellStart"/>
            <w:r>
              <w:rPr>
                <w:color w:val="000000"/>
                <w:sz w:val="19"/>
              </w:rPr>
              <w:t>расчетно</w:t>
            </w:r>
            <w:proofErr w:type="spellEnd"/>
            <w:r>
              <w:rPr>
                <w:color w:val="000000"/>
                <w:sz w:val="19"/>
              </w:rPr>
              <w:t>).</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1 700,0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c>
          <w:tcPr>
            <w:tcW w:w="2040" w:type="dxa"/>
            <w:gridSpan w:val="4"/>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ГОСУДАРСТВЕННАЯ КОМПАНИЯ "РОССИЙСКИЕ АВТОМОБИЛЬНЫЕ ДОРОГИ"</w:t>
            </w:r>
          </w:p>
        </w:tc>
        <w:tc>
          <w:tcPr>
            <w:tcW w:w="2040"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МИНИСТЕРСТВО ТРАНСПОРТА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t xml:space="preserve">2345040294. ГК «Автодор» 23 октября 2020 года с ООО «Автодор-Инжиниринг» без проведения конкурсных процедур заключен договор № ДПТПиИТ-2020-1285 (далее – договор от 23 октября 2020 года) на оказание услуг по контролю качества выполнения инженерных изысканий по объекту «М-12 «Строящаяся скоростная автомобильная дорога Москва – Нижний Новгород – Казань» на сумму 450,4 млн. рублей. </w:t>
            </w:r>
            <w:r>
              <w:rPr>
                <w:color w:val="000000"/>
                <w:sz w:val="19"/>
              </w:rPr>
              <w:br/>
              <w:t>В рамках строительства М-12 предусмотрено строительство искусственных дорожных сооружений (мосты, путепроводы, трубы), включая уникальные объекты капитального строительства (высота и (или) пролеты более 100 метров, наличие консоли более 20 метров, заглубление подземной части (полностью или частично) ниже планировочной отметки земли более чем на 15 метров, в том числе мост через р. Волгу на (8-й этап), мост на ПК 125+75,00 (8-й этап), мост через р. Мешу (8-й этап), мост через р. Суру (6-й этап), мостовой переход через р. Оку (4-й этап), мост через р. Свиягу (7-й этап), мост через р. Киржач (1-й этап) и другие.</w:t>
            </w:r>
            <w:r>
              <w:rPr>
                <w:color w:val="000000"/>
                <w:sz w:val="19"/>
              </w:rPr>
              <w:br/>
            </w:r>
            <w:r>
              <w:rPr>
                <w:color w:val="000000"/>
                <w:sz w:val="19"/>
              </w:rPr>
              <w:lastRenderedPageBreak/>
              <w:t>В соответствии с пунктами 1.1, 1.3 и 6.3.6 договора от 23 октября 2020 года исполнитель обязуется собственными силами без привлечения соисполнителей осуществить по заданию заказчика контроль за качеством выполнения подрядными организациями инженерных изысканий по объекту «М-12 «Строящаяся скоростная автомобильная дорога Москва – Нижний Новгород – Казань» по восьми этапам с учетом требований и стандартов, включая деятельность по контролю за ходом выполнения подрядных работ в части инженерных изысканий на каждом участке (этапе), а также организует проведение собственных испытаний и измерений в целях проверки достоверности инженерных изысканий.</w:t>
            </w:r>
            <w:r>
              <w:rPr>
                <w:color w:val="000000"/>
                <w:sz w:val="19"/>
              </w:rPr>
              <w:br/>
              <w:t xml:space="preserve">В соответствии с частями 2 и 5 статьи 47 Градостроительного кодекса Российской Федерации работы по договорам о выполнении инженерных изысканий, заключенным с застройщиком, техническим заказчиком,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а необходимость выполнения отдельных видов инженерных изысканий, состав, объем и метод их выполнения устанавливаются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w:t>
            </w:r>
            <w:r>
              <w:rPr>
                <w:color w:val="000000"/>
                <w:sz w:val="19"/>
              </w:rPr>
              <w:br/>
              <w:t xml:space="preserve">Согласно части 8 статьи 555 Градостроительного кодекса Российской Федерации требования к членам саморегулируемой организации, выполняющим инженерные изыскания в отношении особо опасных, технически </w:t>
            </w:r>
            <w:r>
              <w:rPr>
                <w:color w:val="000000"/>
                <w:sz w:val="19"/>
              </w:rPr>
              <w:lastRenderedPageBreak/>
              <w:t>сложных и уникальных объектов, объектов использования атомной энергии,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r>
              <w:rPr>
                <w:color w:val="000000"/>
                <w:sz w:val="19"/>
              </w:rPr>
              <w:br/>
              <w:t>Пунктом 1 статьи 49 Гражданского кодекса Российской Федерации установлено, что 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r>
              <w:rPr>
                <w:color w:val="000000"/>
                <w:sz w:val="19"/>
              </w:rPr>
              <w:br/>
              <w:t>Вместе с тем ООО «Автодор-Инжиниринг», не имея соответствующих компетенций (отсутствие прав на выполнение инженерных изысканий в отношении особо опасных, технически сложных и уникальных объектов капитального строительства), осуществляло в рамках выполнения договора от 23 октября 2020 года деятельность по контролю за ходом выполнения работ в части инженерных изысканий на каждом участке (этапе) М-12, а также деятельность по проведению собственных испытаний и измерений в целях проверки достоверности выполненных подрядчиками инженерных изысканий.</w:t>
            </w:r>
            <w:r>
              <w:rPr>
                <w:color w:val="000000"/>
                <w:sz w:val="19"/>
              </w:rPr>
              <w:br/>
              <w:t xml:space="preserve">Также ООО «Автодор-Инжиниринг» осуществляло строительный контроль в отношении искусственных дорожных сооружений, являющихся уникальными объектами, не имея права на выполнение </w:t>
            </w:r>
            <w:r>
              <w:rPr>
                <w:color w:val="000000"/>
                <w:sz w:val="19"/>
              </w:rPr>
              <w:lastRenderedPageBreak/>
              <w:t>работ по строительству, реконструкции, капитальному ремонту, сносу объектов капитального строительства в отношении особо опасных, технически сложных и уникальных объектов капитального строительства.</w:t>
            </w:r>
            <w:r>
              <w:rPr>
                <w:color w:val="000000"/>
                <w:sz w:val="19"/>
              </w:rPr>
              <w:br/>
              <w:t>Так, ГК «Автодор» 19 декабря 2020 года с ООО «Автодор-Инжиниринг» заключен договор № ДСиР-2020-1606 на оказание услуг по осуществлению строительного контроля при выполнении строительно-монтажных работ в рамках реализации проекта «М-12 «Строящаяся скоростная автомобильная дорога Москва – Нижний Новгород – Казань» по 1–8-му этапам и 1-му пусковому комплексу 0-го этапа (далее – договор от 19 декабря 2020 года) стоимостью 6 095,7 млн. рублей.</w:t>
            </w:r>
            <w:r>
              <w:rPr>
                <w:color w:val="000000"/>
                <w:sz w:val="19"/>
              </w:rPr>
              <w:br/>
              <w:t>В соответствии с пунктом 1.2 договора от 19 декабря 2020 года состав работ определен в том числе техническим заданием на оказание услуг по осуществлению строительного контроля (приложение № 1 к договору от 19 декабря 2020 года), техническим заданием на оказание услуг по приемочной диагностике искусственных дорожных сооружений (приложение № 6 к договору от 19 декабря 2020 года) и техническим заданием на оказание услуг по приемочной диагностике на участке автомобильной дороги (приложение № 7 к договору от 19 декабря 2020 года).</w:t>
            </w:r>
            <w:r>
              <w:rPr>
                <w:color w:val="000000"/>
                <w:sz w:val="19"/>
              </w:rPr>
              <w:br/>
              <w:t xml:space="preserve">Вместе с тем в перечень искусственных сооружений, подлежащих диагностике, включены объекты капитального строительства, отнесенные в соответствии с частью 2 статьи 481 Градостроительного кодекса Российской Федерации к уникальным, в том числе мост через р. Волгу на (8-й этап), мост на ПК 125+75,00 (8-й этап), мост через р. Мешу (8-й этап), мост через р. Суру (6-й этап), мостовой </w:t>
            </w:r>
            <w:r>
              <w:rPr>
                <w:color w:val="000000"/>
                <w:sz w:val="19"/>
              </w:rPr>
              <w:lastRenderedPageBreak/>
              <w:t>переход через р. Оку (4-й этап), мост через р. Свиягу (7-й этап), мост через р. Киржач (1-й этап) и другие.</w:t>
            </w:r>
            <w:r>
              <w:rPr>
                <w:color w:val="000000"/>
                <w:sz w:val="19"/>
              </w:rPr>
              <w:br/>
              <w:t>При этом ГК «Автодор» в рамках выполнения договора от 19 декабря 2020 года получены заключения ООО «Автодор-Инжиниринг» от 2023 года б/н по результатам приемочной диагностики моста р. Оку на ПК 2279+00 на М-12, 4-й этап, от 29 сентября 2022 г. б/н по результатам приемочной диагностики моста через р. Клязьму на ПК 1042+00 на М-12, 2-й этап, отчеты по результатам приемочного обследования и испытаний мостового перехода через р. Оку на ПК 2279+00 на М-12, 4-й этап, и моста через р. Клязьму на ПК 1042+00, технические паспорта указанных мостов, а также ежемесячные отчеты строительного контроля по объекту.</w:t>
            </w:r>
            <w:r>
              <w:rPr>
                <w:color w:val="000000"/>
                <w:sz w:val="19"/>
              </w:rPr>
              <w:br/>
              <w:t>Таким образом, указанные факты заключения и выполнения договоров от 23 октября 2020 года и от 19 декабря 2020 года содержат признаки коррупционных правонарушений, полные и всесторонние обстоятельства совершения которых по объективным причинам не могли быть установлены в ходе проведения контрольного мероприятия и в этой связи требуют проведения дополнительных надзорных мероприятий.</w:t>
            </w:r>
          </w:p>
        </w:tc>
        <w:tc>
          <w:tcPr>
            <w:tcW w:w="1245" w:type="dxa"/>
            <w:tcBorders>
              <w:top w:val="single" w:sz="6" w:space="0" w:color="000000"/>
              <w:left w:val="single" w:sz="6" w:space="0" w:color="000000"/>
              <w:bottom w:val="single" w:sz="6" w:space="0" w:color="000000"/>
              <w:right w:val="single" w:sz="6" w:space="0" w:color="000000"/>
            </w:tcBorders>
          </w:tcPr>
          <w:p w:rsidR="0047135C" w:rsidRDefault="003073D4">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47135C" w:rsidRDefault="0047135C">
            <w:pPr>
              <w:jc w:val="center"/>
              <w:rPr>
                <w:color w:val="000000"/>
                <w:sz w:val="19"/>
              </w:rPr>
            </w:pPr>
          </w:p>
        </w:tc>
      </w:tr>
      <w:tr w:rsidR="0047135C">
        <w:trPr>
          <w:gridAfter w:val="1"/>
          <w:wAfter w:w="15" w:type="dxa"/>
          <w:trHeight w:val="345"/>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47135C" w:rsidRDefault="003073D4">
            <w:pPr>
              <w:ind w:right="113"/>
              <w:jc w:val="right"/>
              <w:rPr>
                <w:b/>
                <w:color w:val="000000"/>
                <w:sz w:val="19"/>
              </w:rPr>
            </w:pPr>
            <w:r>
              <w:rPr>
                <w:b/>
                <w:color w:val="000000"/>
                <w:sz w:val="19"/>
              </w:rPr>
              <w:lastRenderedPageBreak/>
              <w:t>Всего по разделу 2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b/>
                <w:color w:val="000000"/>
                <w:sz w:val="19"/>
              </w:rPr>
            </w:pPr>
            <w:r>
              <w:rPr>
                <w:b/>
                <w:color w:val="000000"/>
                <w:sz w:val="19"/>
              </w:rPr>
              <w:t>3 274 400,0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47135C" w:rsidRDefault="0047135C">
            <w:pPr>
              <w:jc w:val="center"/>
              <w:rPr>
                <w:b/>
                <w:color w:val="000000"/>
                <w:sz w:val="19"/>
              </w:rPr>
            </w:pPr>
          </w:p>
        </w:tc>
      </w:tr>
      <w:tr w:rsidR="0047135C">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47135C" w:rsidRDefault="003073D4">
            <w:pPr>
              <w:rPr>
                <w:b/>
                <w:color w:val="000000"/>
                <w:sz w:val="19"/>
              </w:rPr>
            </w:pPr>
            <w:r>
              <w:rPr>
                <w:b/>
                <w:color w:val="000000"/>
                <w:sz w:val="19"/>
              </w:rPr>
              <w:t>3. Неэффективное использование федеральных и иных ресурсов в пределах компетенции Счетной палаты</w:t>
            </w:r>
          </w:p>
        </w:tc>
      </w:tr>
      <w:tr w:rsidR="0047135C">
        <w:trPr>
          <w:trHeight w:val="330"/>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47135C" w:rsidRDefault="003073D4">
            <w:pPr>
              <w:rPr>
                <w:b/>
                <w:color w:val="000000"/>
                <w:sz w:val="19"/>
              </w:rPr>
            </w:pPr>
            <w:r>
              <w:rPr>
                <w:b/>
                <w:color w:val="000000"/>
                <w:sz w:val="19"/>
              </w:rPr>
              <w:t>3.1. Неэффективное использование средств федерального бюджета и бюджета государственных внебюджетных фондов</w:t>
            </w:r>
          </w:p>
        </w:tc>
      </w:tr>
      <w:tr w:rsidR="0047135C">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47135C" w:rsidRDefault="003073D4">
            <w:pPr>
              <w:rPr>
                <w:b/>
                <w:color w:val="000000"/>
                <w:sz w:val="19"/>
              </w:rPr>
            </w:pPr>
            <w:r>
              <w:rPr>
                <w:b/>
                <w:color w:val="000000"/>
                <w:sz w:val="19"/>
              </w:rPr>
              <w:t>3.2. Неэффективное использование федеральной собственности и иных ресурсов</w:t>
            </w:r>
          </w:p>
        </w:tc>
      </w:tr>
      <w:tr w:rsidR="0047135C">
        <w:trPr>
          <w:gridAfter w:val="1"/>
          <w:wAfter w:w="15" w:type="dxa"/>
          <w:trHeight w:val="345"/>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47135C" w:rsidRDefault="003073D4">
            <w:pPr>
              <w:ind w:right="113"/>
              <w:jc w:val="right"/>
              <w:rPr>
                <w:b/>
                <w:color w:val="000000"/>
                <w:sz w:val="19"/>
              </w:rPr>
            </w:pPr>
            <w:r>
              <w:rPr>
                <w:b/>
                <w:color w:val="000000"/>
                <w:sz w:val="19"/>
              </w:rPr>
              <w:t>Всего по разделу 3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b/>
                <w:color w:val="000000"/>
                <w:sz w:val="19"/>
              </w:rPr>
            </w:pPr>
            <w:r>
              <w:rPr>
                <w:b/>
                <w:color w:val="000000"/>
                <w:sz w:val="19"/>
              </w:rPr>
              <w:t>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47135C" w:rsidRDefault="0047135C">
            <w:pPr>
              <w:jc w:val="center"/>
              <w:rPr>
                <w:b/>
                <w:color w:val="000000"/>
                <w:sz w:val="19"/>
              </w:rPr>
            </w:pPr>
          </w:p>
        </w:tc>
      </w:tr>
      <w:tr w:rsidR="0047135C">
        <w:trPr>
          <w:trHeight w:hRule="exact" w:val="1065"/>
        </w:trPr>
        <w:tc>
          <w:tcPr>
            <w:tcW w:w="8340" w:type="dxa"/>
            <w:gridSpan w:val="9"/>
          </w:tcPr>
          <w:p w:rsidR="0047135C" w:rsidRDefault="0047135C">
            <w:pPr>
              <w:rPr>
                <w:rFonts w:cstheme="minorBidi"/>
                <w:sz w:val="1"/>
              </w:rPr>
            </w:pPr>
          </w:p>
        </w:tc>
        <w:tc>
          <w:tcPr>
            <w:tcW w:w="2790" w:type="dxa"/>
            <w:gridSpan w:val="3"/>
          </w:tcPr>
          <w:p w:rsidR="0047135C" w:rsidRDefault="0047135C">
            <w:pPr>
              <w:rPr>
                <w:rFonts w:cstheme="minorBidi"/>
                <w:sz w:val="1"/>
              </w:rPr>
            </w:pPr>
          </w:p>
        </w:tc>
        <w:tc>
          <w:tcPr>
            <w:tcW w:w="4005" w:type="dxa"/>
            <w:gridSpan w:val="6"/>
          </w:tcPr>
          <w:p w:rsidR="0047135C" w:rsidRDefault="0047135C">
            <w:pPr>
              <w:rPr>
                <w:rFonts w:cstheme="minorBidi"/>
                <w:sz w:val="1"/>
              </w:rPr>
            </w:pPr>
          </w:p>
        </w:tc>
      </w:tr>
      <w:tr w:rsidR="0047135C">
        <w:trPr>
          <w:trHeight w:val="345"/>
        </w:trPr>
        <w:tc>
          <w:tcPr>
            <w:tcW w:w="8340" w:type="dxa"/>
            <w:gridSpan w:val="9"/>
            <w:vAlign w:val="bottom"/>
          </w:tcPr>
          <w:p w:rsidR="0047135C" w:rsidRDefault="003073D4">
            <w:pPr>
              <w:jc w:val="right"/>
              <w:rPr>
                <w:color w:val="000000"/>
                <w:sz w:val="28"/>
              </w:rPr>
            </w:pPr>
            <w:r>
              <w:rPr>
                <w:color w:val="000000"/>
                <w:sz w:val="28"/>
              </w:rPr>
              <w:t>аудитор Счетной палаты Российской Федерации</w:t>
            </w:r>
          </w:p>
        </w:tc>
        <w:tc>
          <w:tcPr>
            <w:tcW w:w="2790" w:type="dxa"/>
            <w:gridSpan w:val="3"/>
            <w:vAlign w:val="bottom"/>
          </w:tcPr>
          <w:p w:rsidR="0047135C" w:rsidRDefault="003073D4">
            <w:pPr>
              <w:ind w:right="45"/>
              <w:jc w:val="right"/>
              <w:rPr>
                <w:color w:val="000000"/>
                <w:sz w:val="28"/>
              </w:rPr>
            </w:pPr>
            <w:r>
              <w:rPr>
                <w:color w:val="000000"/>
                <w:sz w:val="28"/>
              </w:rPr>
              <w:t>________________</w:t>
            </w:r>
          </w:p>
        </w:tc>
        <w:tc>
          <w:tcPr>
            <w:tcW w:w="4005" w:type="dxa"/>
            <w:gridSpan w:val="6"/>
            <w:vAlign w:val="bottom"/>
          </w:tcPr>
          <w:p w:rsidR="0047135C" w:rsidRDefault="003073D4">
            <w:pPr>
              <w:rPr>
                <w:color w:val="000000"/>
                <w:sz w:val="28"/>
              </w:rPr>
            </w:pPr>
            <w:r>
              <w:rPr>
                <w:color w:val="000000"/>
                <w:sz w:val="28"/>
              </w:rPr>
              <w:t>Богомолов В.Н.</w:t>
            </w:r>
          </w:p>
        </w:tc>
      </w:tr>
      <w:tr w:rsidR="0047135C">
        <w:trPr>
          <w:trHeight w:hRule="exact" w:val="705"/>
        </w:trPr>
        <w:tc>
          <w:tcPr>
            <w:tcW w:w="30" w:type="dxa"/>
          </w:tcPr>
          <w:p w:rsidR="0047135C" w:rsidRDefault="0047135C">
            <w:pPr>
              <w:rPr>
                <w:rFonts w:cstheme="minorBidi"/>
                <w:sz w:val="1"/>
              </w:rPr>
            </w:pPr>
          </w:p>
        </w:tc>
        <w:tc>
          <w:tcPr>
            <w:tcW w:w="150" w:type="dxa"/>
          </w:tcPr>
          <w:p w:rsidR="0047135C" w:rsidRDefault="0047135C">
            <w:pPr>
              <w:rPr>
                <w:rFonts w:cstheme="minorBidi"/>
                <w:sz w:val="1"/>
              </w:rPr>
            </w:pPr>
          </w:p>
        </w:tc>
        <w:tc>
          <w:tcPr>
            <w:tcW w:w="1305" w:type="dxa"/>
          </w:tcPr>
          <w:p w:rsidR="0047135C" w:rsidRDefault="0047135C">
            <w:pPr>
              <w:rPr>
                <w:rFonts w:cstheme="minorBidi"/>
                <w:sz w:val="1"/>
              </w:rPr>
            </w:pPr>
          </w:p>
        </w:tc>
        <w:tc>
          <w:tcPr>
            <w:tcW w:w="1005" w:type="dxa"/>
            <w:gridSpan w:val="2"/>
          </w:tcPr>
          <w:p w:rsidR="0047135C" w:rsidRDefault="0047135C">
            <w:pPr>
              <w:rPr>
                <w:rFonts w:cstheme="minorBidi"/>
                <w:sz w:val="1"/>
              </w:rPr>
            </w:pPr>
          </w:p>
        </w:tc>
        <w:tc>
          <w:tcPr>
            <w:tcW w:w="3405" w:type="dxa"/>
            <w:gridSpan w:val="2"/>
          </w:tcPr>
          <w:p w:rsidR="0047135C" w:rsidRDefault="0047135C">
            <w:pPr>
              <w:rPr>
                <w:rFonts w:cstheme="minorBidi"/>
                <w:sz w:val="1"/>
              </w:rPr>
            </w:pPr>
          </w:p>
        </w:tc>
        <w:tc>
          <w:tcPr>
            <w:tcW w:w="2745" w:type="dxa"/>
            <w:gridSpan w:val="4"/>
          </w:tcPr>
          <w:p w:rsidR="0047135C" w:rsidRDefault="0047135C">
            <w:pPr>
              <w:rPr>
                <w:rFonts w:cstheme="minorBidi"/>
                <w:sz w:val="1"/>
              </w:rPr>
            </w:pPr>
          </w:p>
        </w:tc>
        <w:tc>
          <w:tcPr>
            <w:tcW w:w="6315" w:type="dxa"/>
            <w:gridSpan w:val="4"/>
          </w:tcPr>
          <w:p w:rsidR="0047135C" w:rsidRDefault="0047135C">
            <w:pPr>
              <w:rPr>
                <w:rFonts w:cstheme="minorBidi"/>
                <w:sz w:val="1"/>
              </w:rPr>
            </w:pPr>
          </w:p>
        </w:tc>
        <w:tc>
          <w:tcPr>
            <w:tcW w:w="150" w:type="dxa"/>
          </w:tcPr>
          <w:p w:rsidR="0047135C" w:rsidRDefault="0047135C">
            <w:pPr>
              <w:rPr>
                <w:rFonts w:cstheme="minorBidi"/>
                <w:sz w:val="1"/>
              </w:rPr>
            </w:pPr>
          </w:p>
        </w:tc>
        <w:tc>
          <w:tcPr>
            <w:tcW w:w="30" w:type="dxa"/>
            <w:gridSpan w:val="2"/>
          </w:tcPr>
          <w:p w:rsidR="0047135C" w:rsidRDefault="0047135C">
            <w:pPr>
              <w:rPr>
                <w:rFonts w:cstheme="minorBidi"/>
                <w:sz w:val="1"/>
              </w:rPr>
            </w:pPr>
          </w:p>
        </w:tc>
      </w:tr>
      <w:tr w:rsidR="0047135C">
        <w:trPr>
          <w:trHeight w:hRule="exact" w:val="30"/>
        </w:trPr>
        <w:tc>
          <w:tcPr>
            <w:tcW w:w="30" w:type="dxa"/>
            <w:vMerge w:val="restart"/>
          </w:tcPr>
          <w:p w:rsidR="0047135C" w:rsidRDefault="003073D4">
            <w:pPr>
              <w:rPr>
                <w:color w:val="000000"/>
                <w:sz w:val="1"/>
              </w:rPr>
            </w:pPr>
            <w:r>
              <w:rPr>
                <w:noProof/>
              </w:rPr>
              <w:drawing>
                <wp:inline distT="0" distB="0" distL="0" distR="0">
                  <wp:extent cx="1905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9050" cy="3581400"/>
                          </a:xfrm>
                          <a:prstGeom prst="rect">
                            <a:avLst/>
                          </a:prstGeom>
                          <a:noFill/>
                        </pic:spPr>
                      </pic:pic>
                    </a:graphicData>
                  </a:graphic>
                </wp:inline>
              </w:drawing>
            </w:r>
          </w:p>
        </w:tc>
        <w:tc>
          <w:tcPr>
            <w:tcW w:w="15075" w:type="dxa"/>
            <w:gridSpan w:val="15"/>
          </w:tcPr>
          <w:p w:rsidR="0047135C" w:rsidRDefault="003073D4">
            <w:pPr>
              <w:rPr>
                <w:color w:val="000000"/>
                <w:sz w:val="1"/>
              </w:rPr>
            </w:pPr>
            <w:r>
              <w:rPr>
                <w:noProof/>
              </w:rPr>
              <w:drawing>
                <wp:inline distT="0" distB="0" distL="0" distR="0">
                  <wp:extent cx="9572625"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9572625" cy="19050"/>
                          </a:xfrm>
                          <a:prstGeom prst="rect">
                            <a:avLst/>
                          </a:prstGeom>
                          <a:noFill/>
                        </pic:spPr>
                      </pic:pic>
                    </a:graphicData>
                  </a:graphic>
                </wp:inline>
              </w:drawing>
            </w:r>
          </w:p>
        </w:tc>
        <w:tc>
          <w:tcPr>
            <w:tcW w:w="30" w:type="dxa"/>
            <w:gridSpan w:val="2"/>
            <w:vMerge w:val="restart"/>
          </w:tcPr>
          <w:p w:rsidR="0047135C" w:rsidRDefault="003073D4">
            <w:pPr>
              <w:rPr>
                <w:color w:val="000000"/>
                <w:sz w:val="1"/>
              </w:rPr>
            </w:pPr>
            <w:r>
              <w:rPr>
                <w:noProof/>
              </w:rPr>
              <w:drawing>
                <wp:inline distT="0" distB="0" distL="0" distR="0">
                  <wp:extent cx="19050"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19050" cy="3581400"/>
                          </a:xfrm>
                          <a:prstGeom prst="rect">
                            <a:avLst/>
                          </a:prstGeom>
                          <a:noFill/>
                        </pic:spPr>
                      </pic:pic>
                    </a:graphicData>
                  </a:graphic>
                </wp:inline>
              </w:drawing>
            </w:r>
          </w:p>
        </w:tc>
      </w:tr>
      <w:tr w:rsidR="0047135C">
        <w:trPr>
          <w:trHeight w:hRule="exact" w:val="135"/>
        </w:trPr>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1305" w:type="dxa"/>
          </w:tcPr>
          <w:p w:rsidR="0047135C" w:rsidRDefault="0047135C">
            <w:pPr>
              <w:rPr>
                <w:rFonts w:cstheme="minorBidi"/>
                <w:sz w:val="1"/>
              </w:rPr>
            </w:pPr>
          </w:p>
        </w:tc>
        <w:tc>
          <w:tcPr>
            <w:tcW w:w="1005" w:type="dxa"/>
            <w:gridSpan w:val="2"/>
          </w:tcPr>
          <w:p w:rsidR="0047135C" w:rsidRDefault="0047135C">
            <w:pPr>
              <w:rPr>
                <w:rFonts w:cstheme="minorBidi"/>
                <w:sz w:val="1"/>
              </w:rPr>
            </w:pPr>
          </w:p>
        </w:tc>
        <w:tc>
          <w:tcPr>
            <w:tcW w:w="3405" w:type="dxa"/>
            <w:gridSpan w:val="2"/>
          </w:tcPr>
          <w:p w:rsidR="0047135C" w:rsidRDefault="0047135C">
            <w:pPr>
              <w:rPr>
                <w:rFonts w:cstheme="minorBidi"/>
                <w:sz w:val="1"/>
              </w:rPr>
            </w:pPr>
          </w:p>
        </w:tc>
        <w:tc>
          <w:tcPr>
            <w:tcW w:w="2745" w:type="dxa"/>
            <w:gridSpan w:val="4"/>
          </w:tcPr>
          <w:p w:rsidR="0047135C" w:rsidRDefault="0047135C">
            <w:pPr>
              <w:rPr>
                <w:rFonts w:cstheme="minorBidi"/>
                <w:sz w:val="1"/>
              </w:rPr>
            </w:pPr>
          </w:p>
        </w:tc>
        <w:tc>
          <w:tcPr>
            <w:tcW w:w="6315" w:type="dxa"/>
            <w:gridSpan w:val="4"/>
          </w:tcPr>
          <w:p w:rsidR="0047135C" w:rsidRDefault="0047135C">
            <w:pPr>
              <w:rPr>
                <w:rFonts w:cstheme="minorBidi"/>
                <w:sz w:val="1"/>
              </w:rPr>
            </w:pP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1305" w:type="dxa"/>
            <w:vAlign w:val="center"/>
          </w:tcPr>
          <w:p w:rsidR="0047135C" w:rsidRDefault="003073D4">
            <w:pPr>
              <w:jc w:val="center"/>
              <w:rPr>
                <w:color w:val="000000"/>
                <w:sz w:val="1"/>
              </w:rPr>
            </w:pPr>
            <w:r>
              <w:rPr>
                <w:noProof/>
              </w:rPr>
              <w:drawing>
                <wp:inline distT="0" distB="0" distL="0" distR="0">
                  <wp:extent cx="82550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825500" cy="647700"/>
                          </a:xfrm>
                          <a:prstGeom prst="rect">
                            <a:avLst/>
                          </a:prstGeom>
                          <a:noFill/>
                        </pic:spPr>
                      </pic:pic>
                    </a:graphicData>
                  </a:graphic>
                </wp:inline>
              </w:drawing>
            </w:r>
          </w:p>
        </w:tc>
        <w:tc>
          <w:tcPr>
            <w:tcW w:w="13470" w:type="dxa"/>
            <w:gridSpan w:val="12"/>
            <w:vAlign w:val="center"/>
          </w:tcPr>
          <w:p w:rsidR="0047135C" w:rsidRDefault="003073D4">
            <w:pPr>
              <w:ind w:left="28" w:right="28"/>
              <w:jc w:val="center"/>
              <w:rPr>
                <w:color w:val="000000"/>
                <w:sz w:val="40"/>
              </w:rPr>
            </w:pPr>
            <w:r>
              <w:rPr>
                <w:color w:val="000000"/>
                <w:sz w:val="40"/>
              </w:rPr>
              <w:t>ДОКУМЕНТ ПОДПИСАН ЭЛЕКТРОННОЙ ПОДПИСЬЮ</w:t>
            </w: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rPr>
          <w:trHeight w:val="345"/>
        </w:trPr>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14775" w:type="dxa"/>
            <w:gridSpan w:val="13"/>
            <w:shd w:val="clear" w:color="auto" w:fill="000000"/>
            <w:vAlign w:val="center"/>
          </w:tcPr>
          <w:p w:rsidR="0047135C" w:rsidRDefault="003073D4">
            <w:pPr>
              <w:ind w:left="28" w:right="28"/>
              <w:jc w:val="center"/>
              <w:rPr>
                <w:color w:val="FFFFFF"/>
                <w:sz w:val="28"/>
              </w:rPr>
            </w:pPr>
            <w:r>
              <w:rPr>
                <w:color w:val="FFFFFF"/>
                <w:sz w:val="28"/>
              </w:rPr>
              <w:t>СВЕДЕНИЯ О СЕРТИФИКАТЕ ЭП</w:t>
            </w: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rPr>
          <w:trHeight w:val="345"/>
        </w:trPr>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vAlign w:val="center"/>
          </w:tcPr>
          <w:p w:rsidR="0047135C" w:rsidRDefault="003073D4">
            <w:pPr>
              <w:jc w:val="center"/>
              <w:rPr>
                <w:b/>
                <w:color w:val="000000"/>
                <w:sz w:val="24"/>
              </w:rPr>
            </w:pPr>
            <w:r>
              <w:rPr>
                <w:b/>
                <w:color w:val="000000"/>
                <w:sz w:val="24"/>
              </w:rPr>
              <w:t>Подписант</w:t>
            </w:r>
          </w:p>
        </w:tc>
        <w:tc>
          <w:tcPr>
            <w:tcW w:w="3405" w:type="dxa"/>
            <w:gridSpan w:val="2"/>
            <w:tcBorders>
              <w:top w:val="single" w:sz="6" w:space="0" w:color="000000"/>
              <w:bottom w:val="single" w:sz="6" w:space="0" w:color="000000"/>
              <w:right w:val="single" w:sz="6" w:space="0" w:color="000000"/>
            </w:tcBorders>
            <w:vAlign w:val="center"/>
          </w:tcPr>
          <w:p w:rsidR="0047135C" w:rsidRDefault="003073D4">
            <w:pPr>
              <w:jc w:val="center"/>
              <w:rPr>
                <w:b/>
                <w:color w:val="000000"/>
                <w:sz w:val="24"/>
              </w:rPr>
            </w:pPr>
            <w:r>
              <w:rPr>
                <w:b/>
                <w:color w:val="000000"/>
                <w:sz w:val="24"/>
              </w:rPr>
              <w:t>Направление / Департамент</w:t>
            </w:r>
          </w:p>
        </w:tc>
        <w:tc>
          <w:tcPr>
            <w:tcW w:w="2745" w:type="dxa"/>
            <w:gridSpan w:val="4"/>
            <w:tcBorders>
              <w:top w:val="single" w:sz="6" w:space="0" w:color="000000"/>
              <w:bottom w:val="single" w:sz="6" w:space="0" w:color="000000"/>
              <w:right w:val="single" w:sz="6" w:space="0" w:color="000000"/>
            </w:tcBorders>
            <w:vAlign w:val="center"/>
          </w:tcPr>
          <w:p w:rsidR="0047135C" w:rsidRDefault="003073D4">
            <w:pPr>
              <w:jc w:val="center"/>
              <w:rPr>
                <w:b/>
                <w:color w:val="000000"/>
                <w:sz w:val="24"/>
              </w:rPr>
            </w:pPr>
            <w:r>
              <w:rPr>
                <w:b/>
                <w:color w:val="000000"/>
                <w:sz w:val="24"/>
              </w:rPr>
              <w:t>Дата, время подписания</w:t>
            </w:r>
          </w:p>
        </w:tc>
        <w:tc>
          <w:tcPr>
            <w:tcW w:w="6315" w:type="dxa"/>
            <w:gridSpan w:val="4"/>
            <w:tcBorders>
              <w:top w:val="single" w:sz="6" w:space="0" w:color="000000"/>
              <w:bottom w:val="single" w:sz="6" w:space="0" w:color="000000"/>
              <w:right w:val="single" w:sz="6" w:space="0" w:color="000000"/>
            </w:tcBorders>
            <w:vAlign w:val="center"/>
          </w:tcPr>
          <w:p w:rsidR="0047135C" w:rsidRDefault="003073D4">
            <w:pPr>
              <w:jc w:val="center"/>
              <w:rPr>
                <w:b/>
                <w:color w:val="000000"/>
                <w:sz w:val="24"/>
              </w:rPr>
            </w:pPr>
            <w:r>
              <w:rPr>
                <w:b/>
                <w:color w:val="000000"/>
                <w:sz w:val="24"/>
              </w:rPr>
              <w:t>Серийный номер, срок действия сертификата</w:t>
            </w: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Морозов В.К.</w:t>
            </w:r>
          </w:p>
        </w:tc>
        <w:tc>
          <w:tcPr>
            <w:tcW w:w="3405" w:type="dxa"/>
            <w:gridSpan w:val="2"/>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Направление Богомолова В.Н.</w:t>
            </w:r>
          </w:p>
        </w:tc>
        <w:tc>
          <w:tcPr>
            <w:tcW w:w="2745" w:type="dxa"/>
            <w:gridSpan w:val="4"/>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12 декабря 2023 г. 13:49:34</w:t>
            </w:r>
          </w:p>
        </w:tc>
        <w:tc>
          <w:tcPr>
            <w:tcW w:w="6315" w:type="dxa"/>
            <w:gridSpan w:val="4"/>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СЧЕТНАЯ ПАЛАТА РОССИЙСКОЙ ФЕДЕРАЦИИ   CE2B7877604FBF2B615D63B2EC45B55288ADB810</w:t>
            </w:r>
            <w:r>
              <w:rPr>
                <w:color w:val="000000"/>
                <w:sz w:val="24"/>
              </w:rPr>
              <w:br/>
              <w:t>с 11 апреля 2023 г. 10:19:00 по 4 июля 2024 г. 10:19:00</w:t>
            </w: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Сухобокова Ю.И.</w:t>
            </w:r>
          </w:p>
        </w:tc>
        <w:tc>
          <w:tcPr>
            <w:tcW w:w="3405" w:type="dxa"/>
            <w:gridSpan w:val="2"/>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Направление Богомолова В.Н.</w:t>
            </w:r>
          </w:p>
        </w:tc>
        <w:tc>
          <w:tcPr>
            <w:tcW w:w="2745" w:type="dxa"/>
            <w:gridSpan w:val="4"/>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12 декабря 2023 г. 16:17:30</w:t>
            </w:r>
          </w:p>
        </w:tc>
        <w:tc>
          <w:tcPr>
            <w:tcW w:w="6315" w:type="dxa"/>
            <w:gridSpan w:val="4"/>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СЧЕТНАЯ ПАЛАТА РОССИЙСКОЙ ФЕДЕРАЦИИ   D40B879725C124F3DE8AD04307C242F4A3D25014</w:t>
            </w:r>
            <w:r>
              <w:rPr>
                <w:color w:val="000000"/>
                <w:sz w:val="24"/>
              </w:rPr>
              <w:br/>
              <w:t>с 13 февраля 2023 г. 9:18:00 по 8 мая 2024 г. 9:18:00</w:t>
            </w: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47135C" w:rsidRDefault="003073D4">
            <w:pPr>
              <w:spacing w:before="11"/>
              <w:ind w:left="56"/>
              <w:rPr>
                <w:color w:val="000000"/>
                <w:sz w:val="24"/>
              </w:rPr>
            </w:pPr>
            <w:proofErr w:type="spellStart"/>
            <w:r>
              <w:rPr>
                <w:color w:val="000000"/>
                <w:sz w:val="24"/>
              </w:rPr>
              <w:t>Садомова</w:t>
            </w:r>
            <w:proofErr w:type="spellEnd"/>
            <w:r>
              <w:rPr>
                <w:color w:val="000000"/>
                <w:sz w:val="24"/>
              </w:rPr>
              <w:t xml:space="preserve"> Е.В.</w:t>
            </w:r>
          </w:p>
        </w:tc>
        <w:tc>
          <w:tcPr>
            <w:tcW w:w="3405" w:type="dxa"/>
            <w:gridSpan w:val="2"/>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Департамент финансового аудита</w:t>
            </w:r>
          </w:p>
        </w:tc>
        <w:tc>
          <w:tcPr>
            <w:tcW w:w="2745" w:type="dxa"/>
            <w:gridSpan w:val="4"/>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12 декабря 2023 г. 16:42:16</w:t>
            </w:r>
          </w:p>
        </w:tc>
        <w:tc>
          <w:tcPr>
            <w:tcW w:w="6315" w:type="dxa"/>
            <w:gridSpan w:val="4"/>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СЧЕТНАЯ ПАЛАТА РОССИЙСКОЙ ФЕДЕРАЦИИ   CCDDB44B91308B6DFFF80210616428114B486207</w:t>
            </w:r>
            <w:r>
              <w:rPr>
                <w:color w:val="000000"/>
                <w:sz w:val="24"/>
              </w:rPr>
              <w:br/>
              <w:t>с 4 мая 2023 г. 12:45:00 по 27 июля 2024 г. 12:45:00</w:t>
            </w: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Крупенева Е.С.</w:t>
            </w:r>
          </w:p>
        </w:tc>
        <w:tc>
          <w:tcPr>
            <w:tcW w:w="3405" w:type="dxa"/>
            <w:gridSpan w:val="2"/>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Департамент финансового аудита</w:t>
            </w:r>
          </w:p>
        </w:tc>
        <w:tc>
          <w:tcPr>
            <w:tcW w:w="2745" w:type="dxa"/>
            <w:gridSpan w:val="4"/>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12 декабря 2023 г. 19:21:36</w:t>
            </w:r>
          </w:p>
        </w:tc>
        <w:tc>
          <w:tcPr>
            <w:tcW w:w="6315" w:type="dxa"/>
            <w:gridSpan w:val="4"/>
            <w:tcBorders>
              <w:top w:val="single" w:sz="6" w:space="0" w:color="000000"/>
              <w:bottom w:val="single" w:sz="6" w:space="0" w:color="000000"/>
              <w:right w:val="single" w:sz="6" w:space="0" w:color="000000"/>
            </w:tcBorders>
          </w:tcPr>
          <w:p w:rsidR="0047135C" w:rsidRDefault="003073D4">
            <w:pPr>
              <w:spacing w:before="11"/>
              <w:ind w:left="56"/>
              <w:rPr>
                <w:color w:val="000000"/>
                <w:sz w:val="24"/>
              </w:rPr>
            </w:pPr>
            <w:r>
              <w:rPr>
                <w:color w:val="000000"/>
                <w:sz w:val="24"/>
              </w:rPr>
              <w:t>Крупенева Елена Станиславовна   65DB0C328F4877AA050733450B04A2CB3223644E</w:t>
            </w:r>
            <w:r>
              <w:rPr>
                <w:color w:val="000000"/>
                <w:sz w:val="24"/>
              </w:rPr>
              <w:br/>
              <w:t>с 28 ноября 2023 г. 9:59:00 по 20 февраля 2025 г. 9:59:00</w:t>
            </w: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rPr>
          <w:trHeight w:val="150"/>
        </w:trPr>
        <w:tc>
          <w:tcPr>
            <w:tcW w:w="30" w:type="dxa"/>
            <w:vMerge/>
          </w:tcPr>
          <w:p w:rsidR="0047135C" w:rsidRDefault="0047135C">
            <w:pPr>
              <w:rPr>
                <w:rFonts w:cstheme="minorBidi"/>
                <w:sz w:val="1"/>
              </w:rPr>
            </w:pPr>
          </w:p>
        </w:tc>
        <w:tc>
          <w:tcPr>
            <w:tcW w:w="150" w:type="dxa"/>
          </w:tcPr>
          <w:p w:rsidR="0047135C" w:rsidRDefault="0047135C">
            <w:pPr>
              <w:rPr>
                <w:rFonts w:cstheme="minorBidi"/>
                <w:sz w:val="1"/>
              </w:rPr>
            </w:pPr>
          </w:p>
        </w:tc>
        <w:tc>
          <w:tcPr>
            <w:tcW w:w="1305" w:type="dxa"/>
          </w:tcPr>
          <w:p w:rsidR="0047135C" w:rsidRDefault="0047135C">
            <w:pPr>
              <w:rPr>
                <w:rFonts w:cstheme="minorBidi"/>
                <w:sz w:val="1"/>
              </w:rPr>
            </w:pPr>
          </w:p>
        </w:tc>
        <w:tc>
          <w:tcPr>
            <w:tcW w:w="1005" w:type="dxa"/>
            <w:gridSpan w:val="2"/>
          </w:tcPr>
          <w:p w:rsidR="0047135C" w:rsidRDefault="0047135C">
            <w:pPr>
              <w:rPr>
                <w:rFonts w:cstheme="minorBidi"/>
                <w:sz w:val="1"/>
              </w:rPr>
            </w:pPr>
          </w:p>
        </w:tc>
        <w:tc>
          <w:tcPr>
            <w:tcW w:w="3405" w:type="dxa"/>
            <w:gridSpan w:val="2"/>
          </w:tcPr>
          <w:p w:rsidR="0047135C" w:rsidRDefault="0047135C">
            <w:pPr>
              <w:rPr>
                <w:rFonts w:cstheme="minorBidi"/>
                <w:sz w:val="1"/>
              </w:rPr>
            </w:pPr>
          </w:p>
        </w:tc>
        <w:tc>
          <w:tcPr>
            <w:tcW w:w="2745" w:type="dxa"/>
            <w:gridSpan w:val="4"/>
          </w:tcPr>
          <w:p w:rsidR="0047135C" w:rsidRDefault="0047135C">
            <w:pPr>
              <w:rPr>
                <w:rFonts w:cstheme="minorBidi"/>
                <w:sz w:val="1"/>
              </w:rPr>
            </w:pPr>
          </w:p>
        </w:tc>
        <w:tc>
          <w:tcPr>
            <w:tcW w:w="6315" w:type="dxa"/>
            <w:gridSpan w:val="4"/>
          </w:tcPr>
          <w:p w:rsidR="0047135C" w:rsidRDefault="0047135C">
            <w:pPr>
              <w:rPr>
                <w:rFonts w:cstheme="minorBidi"/>
                <w:sz w:val="1"/>
              </w:rPr>
            </w:pPr>
          </w:p>
        </w:tc>
        <w:tc>
          <w:tcPr>
            <w:tcW w:w="150" w:type="dxa"/>
          </w:tcPr>
          <w:p w:rsidR="0047135C" w:rsidRDefault="0047135C">
            <w:pPr>
              <w:rPr>
                <w:rFonts w:cstheme="minorBidi"/>
                <w:sz w:val="1"/>
              </w:rPr>
            </w:pPr>
          </w:p>
        </w:tc>
        <w:tc>
          <w:tcPr>
            <w:tcW w:w="30" w:type="dxa"/>
            <w:gridSpan w:val="2"/>
            <w:vMerge/>
          </w:tcPr>
          <w:p w:rsidR="0047135C" w:rsidRDefault="0047135C">
            <w:pPr>
              <w:rPr>
                <w:rFonts w:cstheme="minorBidi"/>
                <w:sz w:val="1"/>
              </w:rPr>
            </w:pPr>
          </w:p>
        </w:tc>
      </w:tr>
      <w:tr w:rsidR="0047135C">
        <w:trPr>
          <w:trHeight w:hRule="exact" w:val="30"/>
        </w:trPr>
        <w:tc>
          <w:tcPr>
            <w:tcW w:w="30" w:type="dxa"/>
            <w:vMerge/>
          </w:tcPr>
          <w:p w:rsidR="0047135C" w:rsidRDefault="0047135C">
            <w:pPr>
              <w:rPr>
                <w:rFonts w:cstheme="minorBidi"/>
                <w:sz w:val="1"/>
              </w:rPr>
            </w:pPr>
          </w:p>
        </w:tc>
        <w:tc>
          <w:tcPr>
            <w:tcW w:w="15075" w:type="dxa"/>
            <w:gridSpan w:val="15"/>
          </w:tcPr>
          <w:p w:rsidR="0047135C" w:rsidRDefault="003073D4">
            <w:pPr>
              <w:rPr>
                <w:color w:val="000000"/>
                <w:sz w:val="1"/>
              </w:rPr>
            </w:pPr>
            <w:r>
              <w:rPr>
                <w:noProof/>
              </w:rPr>
              <w:drawing>
                <wp:inline distT="0" distB="0" distL="0" distR="0">
                  <wp:extent cx="9572625" cy="19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9572625" cy="19050"/>
                          </a:xfrm>
                          <a:prstGeom prst="rect">
                            <a:avLst/>
                          </a:prstGeom>
                          <a:noFill/>
                        </pic:spPr>
                      </pic:pic>
                    </a:graphicData>
                  </a:graphic>
                </wp:inline>
              </w:drawing>
            </w:r>
          </w:p>
        </w:tc>
        <w:tc>
          <w:tcPr>
            <w:tcW w:w="30" w:type="dxa"/>
            <w:gridSpan w:val="2"/>
            <w:vMerge/>
          </w:tcPr>
          <w:p w:rsidR="0047135C" w:rsidRDefault="0047135C">
            <w:pPr>
              <w:rPr>
                <w:rFonts w:cstheme="minorBidi"/>
                <w:sz w:val="1"/>
              </w:rPr>
            </w:pPr>
          </w:p>
        </w:tc>
      </w:tr>
    </w:tbl>
    <w:p w:rsidR="0047135C" w:rsidRDefault="0047135C"/>
    <w:sectPr w:rsidR="0047135C">
      <w:headerReference w:type="default" r:id="rId9"/>
      <w:footerReference w:type="default" r:id="rId10"/>
      <w:headerReference w:type="first" r:id="rId11"/>
      <w:footerReference w:type="first" r:id="rId12"/>
      <w:pgSz w:w="16833" w:h="11908" w:orient="landscape"/>
      <w:pgMar w:top="1132" w:right="566" w:bottom="1132" w:left="1132" w:header="0" w:footer="75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14E0" w:rsidRDefault="003073D4">
      <w:r>
        <w:separator/>
      </w:r>
    </w:p>
  </w:endnote>
  <w:endnote w:type="continuationSeparator" w:id="0">
    <w:p w:rsidR="00F814E0" w:rsidRDefault="0030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35C" w:rsidRDefault="0047135C">
    <w:pPr>
      <w:spacing w:after="160" w:line="258" w:lineRule="auto"/>
      <w:rPr>
        <w:rFonts w:cstheme="minorBidi"/>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35C" w:rsidRDefault="0047135C">
    <w:pPr>
      <w:rPr>
        <w:rFonts w:cstheme="minorBidi"/>
        <w:sz w:val="1"/>
      </w:rPr>
    </w:pPr>
  </w:p>
  <w:tbl>
    <w:tblPr>
      <w:tblW w:w="0" w:type="auto"/>
      <w:tblCellMar>
        <w:left w:w="0" w:type="dxa"/>
        <w:right w:w="0" w:type="dxa"/>
      </w:tblCellMar>
      <w:tblLook w:val="04A0" w:firstRow="1" w:lastRow="0" w:firstColumn="1" w:lastColumn="0" w:noHBand="0" w:noVBand="1"/>
    </w:tblPr>
    <w:tblGrid>
      <w:gridCol w:w="15135"/>
    </w:tblGrid>
    <w:tr w:rsidR="0047135C">
      <w:trPr>
        <w:trHeight w:hRule="exact" w:val="390"/>
      </w:trPr>
      <w:tc>
        <w:tcPr>
          <w:tcW w:w="15135" w:type="dxa"/>
        </w:tcPr>
        <w:p w:rsidR="0047135C" w:rsidRDefault="003073D4">
          <w:pPr>
            <w:spacing w:after="160" w:line="258" w:lineRule="auto"/>
            <w:rPr>
              <w:rFonts w:cstheme="minorBidi"/>
              <w:color w:val="000000"/>
              <w:sz w:val="24"/>
            </w:rPr>
          </w:pPr>
          <w:r>
            <w:rPr>
              <w:rFonts w:cstheme="minorBidi"/>
              <w:b/>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47135C" w:rsidRDefault="0047135C">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14E0" w:rsidRDefault="003073D4">
      <w:r>
        <w:separator/>
      </w:r>
    </w:p>
  </w:footnote>
  <w:footnote w:type="continuationSeparator" w:id="0">
    <w:p w:rsidR="00F814E0" w:rsidRDefault="0030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35C" w:rsidRDefault="0047135C">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47135C">
      <w:trPr>
        <w:trHeight w:hRule="exact" w:val="390"/>
      </w:trPr>
      <w:tc>
        <w:tcPr>
          <w:tcW w:w="9465" w:type="dxa"/>
        </w:tcPr>
        <w:p w:rsidR="0047135C" w:rsidRDefault="0047135C">
          <w:pPr>
            <w:rPr>
              <w:rFonts w:cstheme="minorBidi"/>
              <w:sz w:val="1"/>
            </w:rPr>
          </w:pPr>
        </w:p>
      </w:tc>
      <w:tc>
        <w:tcPr>
          <w:tcW w:w="5670" w:type="dxa"/>
          <w:vAlign w:val="center"/>
        </w:tcPr>
        <w:p w:rsidR="0047135C" w:rsidRDefault="0047135C">
          <w:pPr>
            <w:ind w:left="28" w:right="28"/>
            <w:jc w:val="right"/>
            <w:rPr>
              <w:color w:val="000000"/>
              <w:sz w:val="16"/>
            </w:rPr>
          </w:pPr>
        </w:p>
      </w:tc>
    </w:tr>
    <w:tr w:rsidR="0047135C">
      <w:trPr>
        <w:trHeight w:hRule="exact" w:val="345"/>
      </w:trPr>
      <w:tc>
        <w:tcPr>
          <w:tcW w:w="15135" w:type="dxa"/>
          <w:gridSpan w:val="2"/>
          <w:vAlign w:val="center"/>
        </w:tcPr>
        <w:p w:rsidR="0047135C" w:rsidRDefault="003073D4">
          <w:pPr>
            <w:ind w:left="28" w:right="28"/>
            <w:jc w:val="center"/>
            <w:rPr>
              <w:color w:val="000000"/>
              <w:sz w:val="24"/>
            </w:rPr>
          </w:pPr>
          <w:r>
            <w:rPr>
              <w:color w:val="000000"/>
              <w:sz w:val="24"/>
            </w:rPr>
            <w:fldChar w:fldCharType="begin"/>
          </w:r>
          <w:r>
            <w:rPr>
              <w:color w:val="000000"/>
              <w:sz w:val="24"/>
            </w:rPr>
            <w:instrText xml:space="preserve"> PAGE </w:instrText>
          </w:r>
          <w:r>
            <w:rPr>
              <w:color w:val="000000"/>
              <w:sz w:val="24"/>
            </w:rPr>
            <w:fldChar w:fldCharType="separate"/>
          </w:r>
          <w:r>
            <w:rPr>
              <w:noProof/>
              <w:color w:val="000000"/>
              <w:sz w:val="24"/>
            </w:rPr>
            <w:t>2</w:t>
          </w:r>
          <w:r>
            <w:rPr>
              <w:color w:val="000000"/>
              <w:sz w:val="24"/>
            </w:rP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35C" w:rsidRDefault="0047135C">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47135C">
      <w:trPr>
        <w:trHeight w:hRule="exact" w:val="390"/>
      </w:trPr>
      <w:tc>
        <w:tcPr>
          <w:tcW w:w="9465" w:type="dxa"/>
        </w:tcPr>
        <w:p w:rsidR="0047135C" w:rsidRDefault="0047135C">
          <w:pPr>
            <w:rPr>
              <w:rFonts w:cstheme="minorBidi"/>
              <w:sz w:val="1"/>
            </w:rPr>
          </w:pPr>
        </w:p>
      </w:tc>
      <w:tc>
        <w:tcPr>
          <w:tcW w:w="5670" w:type="dxa"/>
          <w:vAlign w:val="center"/>
        </w:tcPr>
        <w:p w:rsidR="0047135C" w:rsidRDefault="0047135C">
          <w:pPr>
            <w:ind w:left="28" w:right="28"/>
            <w:jc w:val="right"/>
            <w:rPr>
              <w:color w:val="000000"/>
              <w:sz w:val="16"/>
            </w:rPr>
          </w:pPr>
        </w:p>
      </w:tc>
    </w:tr>
  </w:tbl>
  <w:p w:rsidR="0047135C" w:rsidRDefault="004713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oNotShadeFormData/>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5C"/>
    <w:rsid w:val="000F5EFE"/>
    <w:rsid w:val="003073D4"/>
    <w:rsid w:val="0047135C"/>
    <w:rsid w:val="00B03D90"/>
    <w:rsid w:val="00F81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C9F00-4061-4A39-A3B2-AB5D667F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B03D90"/>
    <w:pPr>
      <w:tabs>
        <w:tab w:val="center" w:pos="4677"/>
        <w:tab w:val="right" w:pos="9355"/>
      </w:tabs>
    </w:pPr>
  </w:style>
  <w:style w:type="character" w:customStyle="1" w:styleId="a6">
    <w:name w:val="Верхний колонтитул Знак"/>
    <w:basedOn w:val="a0"/>
    <w:link w:val="a5"/>
    <w:uiPriority w:val="99"/>
    <w:rsid w:val="00B03D90"/>
  </w:style>
  <w:style w:type="paragraph" w:styleId="a7">
    <w:name w:val="footer"/>
    <w:basedOn w:val="a"/>
    <w:link w:val="a8"/>
    <w:uiPriority w:val="99"/>
    <w:unhideWhenUsed/>
    <w:rsid w:val="00B03D90"/>
    <w:pPr>
      <w:tabs>
        <w:tab w:val="center" w:pos="4677"/>
        <w:tab w:val="right" w:pos="9355"/>
      </w:tabs>
    </w:pPr>
  </w:style>
  <w:style w:type="character" w:customStyle="1" w:styleId="a8">
    <w:name w:val="Нижний колонтитул Знак"/>
    <w:basedOn w:val="a0"/>
    <w:link w:val="a7"/>
    <w:uiPriority w:val="99"/>
    <w:rsid w:val="00B0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6827</Words>
  <Characters>38919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Сухобокова Юлия Игоревна</dc:creator>
  <cp:lastModifiedBy>Юлиана Суворова</cp:lastModifiedBy>
  <cp:revision>3</cp:revision>
  <dcterms:created xsi:type="dcterms:W3CDTF">2024-05-16T08:06:00Z</dcterms:created>
  <dcterms:modified xsi:type="dcterms:W3CDTF">2024-08-26T08:10:00Z</dcterms:modified>
</cp:coreProperties>
</file>