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217" w:rsidRPr="00265C60" w:rsidRDefault="00C25217" w:rsidP="002A4A93">
      <w:pPr>
        <w:spacing w:line="240" w:lineRule="auto"/>
        <w:jc w:val="center"/>
        <w:rPr>
          <w:b/>
        </w:rPr>
      </w:pPr>
      <w:bookmarkStart w:id="0" w:name="OLE_LINK7"/>
      <w:bookmarkStart w:id="1" w:name="OLE_LINK8"/>
      <w:r w:rsidRPr="00265C60">
        <w:rPr>
          <w:b/>
          <w:snapToGrid w:val="0"/>
        </w:rPr>
        <w:t xml:space="preserve">3. </w:t>
      </w:r>
      <w:r w:rsidR="00996EB0" w:rsidRPr="00265C60">
        <w:rPr>
          <w:b/>
          <w:snapToGrid w:val="0"/>
        </w:rPr>
        <w:t>Анализ основных</w:t>
      </w:r>
      <w:r w:rsidRPr="00265C60">
        <w:rPr>
          <w:b/>
          <w:snapToGrid w:val="0"/>
        </w:rPr>
        <w:t xml:space="preserve"> параметр</w:t>
      </w:r>
      <w:r w:rsidR="00996EB0" w:rsidRPr="00265C60">
        <w:rPr>
          <w:b/>
          <w:snapToGrid w:val="0"/>
        </w:rPr>
        <w:t xml:space="preserve">ов </w:t>
      </w:r>
      <w:r w:rsidRPr="00265C60">
        <w:rPr>
          <w:b/>
          <w:snapToGrid w:val="0"/>
        </w:rPr>
        <w:t>бюджетной системы Российской Федерации,</w:t>
      </w:r>
      <w:r w:rsidR="00996EB0" w:rsidRPr="00265C60">
        <w:rPr>
          <w:b/>
          <w:snapToGrid w:val="0"/>
        </w:rPr>
        <w:t xml:space="preserve"> </w:t>
      </w:r>
      <w:r w:rsidR="003F10A5" w:rsidRPr="00265C60">
        <w:rPr>
          <w:b/>
          <w:snapToGrid w:val="0"/>
        </w:rPr>
        <w:t xml:space="preserve">федерального бюджета, </w:t>
      </w:r>
      <w:r w:rsidR="00996EB0" w:rsidRPr="00265C60">
        <w:rPr>
          <w:b/>
          <w:snapToGrid w:val="0"/>
        </w:rPr>
        <w:t>консолидированн</w:t>
      </w:r>
      <w:r w:rsidR="00453AEF" w:rsidRPr="00265C60">
        <w:rPr>
          <w:b/>
          <w:snapToGrid w:val="0"/>
        </w:rPr>
        <w:t xml:space="preserve">ых </w:t>
      </w:r>
      <w:r w:rsidR="00996EB0" w:rsidRPr="00265C60">
        <w:rPr>
          <w:b/>
          <w:snapToGrid w:val="0"/>
        </w:rPr>
        <w:t>бюджет</w:t>
      </w:r>
      <w:r w:rsidR="00453AEF" w:rsidRPr="00265C60">
        <w:rPr>
          <w:b/>
          <w:snapToGrid w:val="0"/>
        </w:rPr>
        <w:t>ов</w:t>
      </w:r>
      <w:r w:rsidR="00996EB0" w:rsidRPr="00265C60">
        <w:rPr>
          <w:b/>
          <w:snapToGrid w:val="0"/>
        </w:rPr>
        <w:t xml:space="preserve"> </w:t>
      </w:r>
      <w:r w:rsidR="00453AEF" w:rsidRPr="00265C60">
        <w:rPr>
          <w:b/>
          <w:snapToGrid w:val="0"/>
        </w:rPr>
        <w:t xml:space="preserve">субъектов </w:t>
      </w:r>
      <w:r w:rsidR="00996EB0" w:rsidRPr="00265C60">
        <w:rPr>
          <w:b/>
          <w:snapToGrid w:val="0"/>
        </w:rPr>
        <w:t>Российской Федерации</w:t>
      </w:r>
      <w:r w:rsidRPr="00265C60">
        <w:rPr>
          <w:b/>
          <w:snapToGrid w:val="0"/>
        </w:rPr>
        <w:t xml:space="preserve"> на </w:t>
      </w:r>
      <w:r w:rsidR="00C908D5" w:rsidRPr="00265C60">
        <w:rPr>
          <w:b/>
          <w:snapToGrid w:val="0"/>
        </w:rPr>
        <w:t>20</w:t>
      </w:r>
      <w:r w:rsidR="006F7C15" w:rsidRPr="00265C60">
        <w:rPr>
          <w:b/>
          <w:snapToGrid w:val="0"/>
        </w:rPr>
        <w:t>2</w:t>
      </w:r>
      <w:r w:rsidR="00195EEF" w:rsidRPr="00265C60">
        <w:rPr>
          <w:b/>
          <w:snapToGrid w:val="0"/>
        </w:rPr>
        <w:t>6</w:t>
      </w:r>
      <w:r w:rsidR="00C908D5" w:rsidRPr="00265C60">
        <w:rPr>
          <w:b/>
          <w:snapToGrid w:val="0"/>
        </w:rPr>
        <w:t xml:space="preserve"> год</w:t>
      </w:r>
      <w:r w:rsidR="00881D36" w:rsidRPr="00265C60">
        <w:rPr>
          <w:b/>
          <w:snapToGrid w:val="0"/>
        </w:rPr>
        <w:t xml:space="preserve"> и на плановый период 20</w:t>
      </w:r>
      <w:r w:rsidR="00A724B5" w:rsidRPr="00265C60">
        <w:rPr>
          <w:b/>
          <w:snapToGrid w:val="0"/>
        </w:rPr>
        <w:t>2</w:t>
      </w:r>
      <w:r w:rsidR="00195EEF" w:rsidRPr="00265C60">
        <w:rPr>
          <w:b/>
          <w:snapToGrid w:val="0"/>
        </w:rPr>
        <w:t>7</w:t>
      </w:r>
      <w:r w:rsidR="007F0E8A" w:rsidRPr="00265C60">
        <w:rPr>
          <w:b/>
          <w:snapToGrid w:val="0"/>
        </w:rPr>
        <w:t xml:space="preserve"> </w:t>
      </w:r>
      <w:r w:rsidR="00881D36" w:rsidRPr="00265C60">
        <w:rPr>
          <w:b/>
          <w:snapToGrid w:val="0"/>
        </w:rPr>
        <w:t>и 20</w:t>
      </w:r>
      <w:r w:rsidR="00950FB5" w:rsidRPr="00265C60">
        <w:rPr>
          <w:b/>
          <w:snapToGrid w:val="0"/>
        </w:rPr>
        <w:t>2</w:t>
      </w:r>
      <w:r w:rsidR="00195EEF" w:rsidRPr="00265C60">
        <w:rPr>
          <w:b/>
          <w:snapToGrid w:val="0"/>
        </w:rPr>
        <w:t>8</w:t>
      </w:r>
      <w:r w:rsidR="00881D36" w:rsidRPr="00265C60">
        <w:rPr>
          <w:b/>
          <w:snapToGrid w:val="0"/>
        </w:rPr>
        <w:t xml:space="preserve"> годов</w:t>
      </w:r>
    </w:p>
    <w:p w:rsidR="002A4A93" w:rsidRPr="00265C60" w:rsidRDefault="002A4A93" w:rsidP="004B1D6D">
      <w:pPr>
        <w:pStyle w:val="a6"/>
        <w:widowControl w:val="0"/>
        <w:spacing w:after="0" w:line="324" w:lineRule="auto"/>
        <w:rPr>
          <w:b/>
        </w:rPr>
      </w:pPr>
    </w:p>
    <w:p w:rsidR="001E4340" w:rsidRPr="00265C60" w:rsidRDefault="00C25217" w:rsidP="004B1D6D">
      <w:pPr>
        <w:pStyle w:val="a6"/>
        <w:widowControl w:val="0"/>
        <w:spacing w:after="0" w:line="324" w:lineRule="auto"/>
        <w:rPr>
          <w:b/>
        </w:rPr>
      </w:pPr>
      <w:r w:rsidRPr="00265C60">
        <w:rPr>
          <w:b/>
        </w:rPr>
        <w:t>3.1. </w:t>
      </w:r>
      <w:r w:rsidR="00704B47" w:rsidRPr="00265C60">
        <w:rPr>
          <w:b/>
        </w:rPr>
        <w:t>Анализ основных параметров бюджетно</w:t>
      </w:r>
      <w:r w:rsidR="001E4340" w:rsidRPr="00265C60">
        <w:rPr>
          <w:b/>
        </w:rPr>
        <w:t>й системы Российской Федерации</w:t>
      </w:r>
    </w:p>
    <w:p w:rsidR="00871CD7" w:rsidRPr="00265C60" w:rsidRDefault="00871CD7" w:rsidP="004B1D6D">
      <w:pPr>
        <w:spacing w:line="324" w:lineRule="auto"/>
      </w:pPr>
      <w:r w:rsidRPr="00265C60">
        <w:t>Основные параметры бюджетной системы Российской Федерации в 20</w:t>
      </w:r>
      <w:r w:rsidR="006F7C58" w:rsidRPr="00265C60">
        <w:t>2</w:t>
      </w:r>
      <w:r w:rsidR="00195EEF" w:rsidRPr="00265C60">
        <w:t>4</w:t>
      </w:r>
      <w:r w:rsidR="00EB7DD6" w:rsidRPr="00265C60">
        <w:t>–</w:t>
      </w:r>
      <w:r w:rsidRPr="00265C60">
        <w:t>20</w:t>
      </w:r>
      <w:r w:rsidR="00E72F2B" w:rsidRPr="00265C60">
        <w:t>2</w:t>
      </w:r>
      <w:r w:rsidR="00195EEF" w:rsidRPr="00265C60">
        <w:t>8</w:t>
      </w:r>
      <w:r w:rsidRPr="00265C60">
        <w:t> годах представлены в следующей таблице.</w:t>
      </w:r>
    </w:p>
    <w:tbl>
      <w:tblPr>
        <w:tblW w:w="10065"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127"/>
        <w:gridCol w:w="709"/>
        <w:gridCol w:w="709"/>
        <w:gridCol w:w="850"/>
        <w:gridCol w:w="709"/>
        <w:gridCol w:w="851"/>
        <w:gridCol w:w="708"/>
        <w:gridCol w:w="851"/>
        <w:gridCol w:w="850"/>
        <w:gridCol w:w="851"/>
        <w:gridCol w:w="850"/>
      </w:tblGrid>
      <w:tr w:rsidR="00195EEF" w:rsidRPr="00265C60" w:rsidTr="009D32A7">
        <w:trPr>
          <w:trHeight w:val="170"/>
          <w:tblHeader/>
        </w:trPr>
        <w:tc>
          <w:tcPr>
            <w:tcW w:w="2127" w:type="dxa"/>
            <w:vMerge w:val="restart"/>
            <w:vAlign w:val="center"/>
            <w:hideMark/>
          </w:tcPr>
          <w:p w:rsidR="00871CD7" w:rsidRPr="00265C60" w:rsidRDefault="00871CD7" w:rsidP="008F7B69">
            <w:pPr>
              <w:spacing w:line="240" w:lineRule="auto"/>
              <w:ind w:firstLine="0"/>
              <w:jc w:val="center"/>
              <w:rPr>
                <w:b/>
                <w:bCs/>
                <w:sz w:val="16"/>
                <w:szCs w:val="16"/>
              </w:rPr>
            </w:pPr>
            <w:r w:rsidRPr="00265C60">
              <w:rPr>
                <w:b/>
                <w:bCs/>
                <w:sz w:val="16"/>
                <w:szCs w:val="16"/>
              </w:rPr>
              <w:t>Наименование</w:t>
            </w:r>
          </w:p>
        </w:tc>
        <w:tc>
          <w:tcPr>
            <w:tcW w:w="1418" w:type="dxa"/>
            <w:gridSpan w:val="2"/>
            <w:hideMark/>
          </w:tcPr>
          <w:p w:rsidR="00E068E2" w:rsidRPr="00265C60" w:rsidRDefault="00871CD7" w:rsidP="002A5193">
            <w:pPr>
              <w:spacing w:line="240" w:lineRule="auto"/>
              <w:ind w:firstLine="0"/>
              <w:jc w:val="center"/>
              <w:rPr>
                <w:b/>
                <w:bCs/>
                <w:sz w:val="16"/>
                <w:szCs w:val="16"/>
              </w:rPr>
            </w:pPr>
            <w:r w:rsidRPr="00265C60">
              <w:rPr>
                <w:b/>
                <w:bCs/>
                <w:sz w:val="16"/>
                <w:szCs w:val="16"/>
              </w:rPr>
              <w:t>20</w:t>
            </w:r>
            <w:r w:rsidR="008769BE" w:rsidRPr="00265C60">
              <w:rPr>
                <w:b/>
                <w:bCs/>
                <w:sz w:val="16"/>
                <w:szCs w:val="16"/>
              </w:rPr>
              <w:t>2</w:t>
            </w:r>
            <w:r w:rsidR="00195EEF" w:rsidRPr="00265C60">
              <w:rPr>
                <w:b/>
                <w:bCs/>
                <w:sz w:val="16"/>
                <w:szCs w:val="16"/>
              </w:rPr>
              <w:t>4</w:t>
            </w:r>
            <w:r w:rsidRPr="00265C60">
              <w:rPr>
                <w:b/>
                <w:bCs/>
                <w:sz w:val="16"/>
                <w:szCs w:val="16"/>
              </w:rPr>
              <w:t xml:space="preserve"> год </w:t>
            </w:r>
          </w:p>
          <w:p w:rsidR="00871CD7" w:rsidRPr="00265C60" w:rsidRDefault="00871CD7" w:rsidP="002A5193">
            <w:pPr>
              <w:spacing w:line="240" w:lineRule="auto"/>
              <w:ind w:firstLine="0"/>
              <w:jc w:val="center"/>
              <w:rPr>
                <w:b/>
                <w:bCs/>
                <w:sz w:val="16"/>
                <w:szCs w:val="16"/>
              </w:rPr>
            </w:pPr>
            <w:r w:rsidRPr="00265C60">
              <w:rPr>
                <w:b/>
                <w:bCs/>
                <w:sz w:val="16"/>
                <w:szCs w:val="16"/>
              </w:rPr>
              <w:t>(отчет)</w:t>
            </w:r>
            <w:r w:rsidR="006B4D84" w:rsidRPr="00265C60">
              <w:rPr>
                <w:b/>
                <w:bCs/>
                <w:sz w:val="16"/>
                <w:szCs w:val="16"/>
              </w:rPr>
              <w:t>**</w:t>
            </w:r>
          </w:p>
        </w:tc>
        <w:tc>
          <w:tcPr>
            <w:tcW w:w="1559" w:type="dxa"/>
            <w:gridSpan w:val="2"/>
            <w:hideMark/>
          </w:tcPr>
          <w:p w:rsidR="00871CD7" w:rsidRPr="00265C60" w:rsidRDefault="00871CD7" w:rsidP="002A5193">
            <w:pPr>
              <w:spacing w:line="240" w:lineRule="auto"/>
              <w:ind w:firstLine="0"/>
              <w:jc w:val="center"/>
              <w:rPr>
                <w:b/>
                <w:bCs/>
                <w:sz w:val="16"/>
                <w:szCs w:val="16"/>
              </w:rPr>
            </w:pPr>
            <w:r w:rsidRPr="00265C60">
              <w:rPr>
                <w:b/>
                <w:bCs/>
                <w:sz w:val="16"/>
                <w:szCs w:val="16"/>
              </w:rPr>
              <w:t>20</w:t>
            </w:r>
            <w:r w:rsidR="007F0E8A" w:rsidRPr="00265C60">
              <w:rPr>
                <w:b/>
                <w:bCs/>
                <w:sz w:val="16"/>
                <w:szCs w:val="16"/>
              </w:rPr>
              <w:t>2</w:t>
            </w:r>
            <w:r w:rsidR="00195EEF" w:rsidRPr="00265C60">
              <w:rPr>
                <w:b/>
                <w:bCs/>
                <w:sz w:val="16"/>
                <w:szCs w:val="16"/>
              </w:rPr>
              <w:t>5</w:t>
            </w:r>
            <w:r w:rsidRPr="00265C60">
              <w:rPr>
                <w:b/>
                <w:bCs/>
                <w:sz w:val="16"/>
                <w:szCs w:val="16"/>
              </w:rPr>
              <w:t xml:space="preserve"> год </w:t>
            </w:r>
          </w:p>
          <w:p w:rsidR="00871CD7" w:rsidRPr="00265C60" w:rsidRDefault="00871CD7" w:rsidP="002A5193">
            <w:pPr>
              <w:spacing w:line="240" w:lineRule="auto"/>
              <w:ind w:firstLine="0"/>
              <w:jc w:val="center"/>
              <w:rPr>
                <w:b/>
                <w:bCs/>
                <w:sz w:val="16"/>
                <w:szCs w:val="16"/>
              </w:rPr>
            </w:pPr>
            <w:r w:rsidRPr="00265C60">
              <w:rPr>
                <w:b/>
                <w:bCs/>
                <w:sz w:val="16"/>
                <w:szCs w:val="16"/>
              </w:rPr>
              <w:t>(</w:t>
            </w:r>
            <w:r w:rsidR="00C60ABB" w:rsidRPr="00265C60">
              <w:rPr>
                <w:b/>
                <w:bCs/>
                <w:sz w:val="16"/>
                <w:szCs w:val="16"/>
              </w:rPr>
              <w:t>оценка</w:t>
            </w:r>
            <w:r w:rsidR="00CC4E28" w:rsidRPr="00265C60">
              <w:rPr>
                <w:b/>
                <w:bCs/>
                <w:sz w:val="16"/>
                <w:szCs w:val="16"/>
              </w:rPr>
              <w:t>)</w:t>
            </w:r>
            <w:r w:rsidR="001876D0" w:rsidRPr="00265C60">
              <w:rPr>
                <w:b/>
                <w:bCs/>
                <w:sz w:val="16"/>
                <w:szCs w:val="16"/>
              </w:rPr>
              <w:t>**</w:t>
            </w:r>
            <w:r w:rsidR="00CC4E28" w:rsidRPr="00265C60">
              <w:rPr>
                <w:b/>
                <w:bCs/>
                <w:sz w:val="16"/>
                <w:szCs w:val="16"/>
              </w:rPr>
              <w:t xml:space="preserve"> </w:t>
            </w:r>
          </w:p>
        </w:tc>
        <w:tc>
          <w:tcPr>
            <w:tcW w:w="1559" w:type="dxa"/>
            <w:gridSpan w:val="2"/>
            <w:hideMark/>
          </w:tcPr>
          <w:p w:rsidR="00E068E2" w:rsidRPr="00265C60" w:rsidRDefault="00871CD7" w:rsidP="002A5193">
            <w:pPr>
              <w:spacing w:line="240" w:lineRule="auto"/>
              <w:ind w:firstLine="0"/>
              <w:jc w:val="center"/>
              <w:rPr>
                <w:b/>
                <w:bCs/>
                <w:sz w:val="16"/>
                <w:szCs w:val="16"/>
              </w:rPr>
            </w:pPr>
            <w:r w:rsidRPr="00265C60">
              <w:rPr>
                <w:b/>
                <w:bCs/>
                <w:sz w:val="16"/>
                <w:szCs w:val="16"/>
              </w:rPr>
              <w:t>20</w:t>
            </w:r>
            <w:r w:rsidR="006F7C15" w:rsidRPr="00265C60">
              <w:rPr>
                <w:b/>
                <w:bCs/>
                <w:sz w:val="16"/>
                <w:szCs w:val="16"/>
              </w:rPr>
              <w:t>2</w:t>
            </w:r>
            <w:r w:rsidR="00195EEF" w:rsidRPr="00265C60">
              <w:rPr>
                <w:b/>
                <w:bCs/>
                <w:sz w:val="16"/>
                <w:szCs w:val="16"/>
              </w:rPr>
              <w:t>6</w:t>
            </w:r>
            <w:r w:rsidRPr="00265C60">
              <w:rPr>
                <w:b/>
                <w:bCs/>
                <w:sz w:val="16"/>
                <w:szCs w:val="16"/>
              </w:rPr>
              <w:t xml:space="preserve"> год </w:t>
            </w:r>
          </w:p>
          <w:p w:rsidR="00871CD7" w:rsidRPr="00265C60" w:rsidRDefault="00871CD7" w:rsidP="002A5193">
            <w:pPr>
              <w:spacing w:line="240" w:lineRule="auto"/>
              <w:ind w:firstLine="0"/>
              <w:jc w:val="center"/>
              <w:rPr>
                <w:b/>
                <w:bCs/>
                <w:sz w:val="16"/>
                <w:szCs w:val="16"/>
              </w:rPr>
            </w:pPr>
            <w:r w:rsidRPr="00265C60">
              <w:rPr>
                <w:b/>
                <w:bCs/>
                <w:sz w:val="16"/>
                <w:szCs w:val="16"/>
              </w:rPr>
              <w:t>(прогноз)</w:t>
            </w:r>
          </w:p>
        </w:tc>
        <w:tc>
          <w:tcPr>
            <w:tcW w:w="1701" w:type="dxa"/>
            <w:gridSpan w:val="2"/>
          </w:tcPr>
          <w:p w:rsidR="00366C98" w:rsidRPr="00265C60" w:rsidRDefault="00871CD7" w:rsidP="002A5193">
            <w:pPr>
              <w:spacing w:line="240" w:lineRule="auto"/>
              <w:ind w:firstLine="0"/>
              <w:jc w:val="center"/>
              <w:rPr>
                <w:b/>
                <w:bCs/>
                <w:sz w:val="16"/>
                <w:szCs w:val="16"/>
              </w:rPr>
            </w:pPr>
            <w:r w:rsidRPr="00265C60">
              <w:rPr>
                <w:b/>
                <w:bCs/>
                <w:sz w:val="16"/>
                <w:szCs w:val="16"/>
              </w:rPr>
              <w:t>20</w:t>
            </w:r>
            <w:r w:rsidR="00A724B5" w:rsidRPr="00265C60">
              <w:rPr>
                <w:b/>
                <w:bCs/>
                <w:sz w:val="16"/>
                <w:szCs w:val="16"/>
              </w:rPr>
              <w:t>2</w:t>
            </w:r>
            <w:r w:rsidR="00195EEF" w:rsidRPr="00265C60">
              <w:rPr>
                <w:b/>
                <w:bCs/>
                <w:sz w:val="16"/>
                <w:szCs w:val="16"/>
              </w:rPr>
              <w:t>7</w:t>
            </w:r>
            <w:r w:rsidRPr="00265C60">
              <w:rPr>
                <w:b/>
                <w:bCs/>
                <w:sz w:val="16"/>
                <w:szCs w:val="16"/>
              </w:rPr>
              <w:t xml:space="preserve"> год </w:t>
            </w:r>
          </w:p>
          <w:p w:rsidR="00871CD7" w:rsidRPr="00265C60" w:rsidRDefault="00871CD7" w:rsidP="002A5193">
            <w:pPr>
              <w:spacing w:line="240" w:lineRule="auto"/>
              <w:ind w:firstLine="0"/>
              <w:jc w:val="center"/>
              <w:rPr>
                <w:b/>
                <w:bCs/>
                <w:sz w:val="16"/>
                <w:szCs w:val="16"/>
              </w:rPr>
            </w:pPr>
            <w:r w:rsidRPr="00265C60">
              <w:rPr>
                <w:b/>
                <w:bCs/>
                <w:sz w:val="16"/>
                <w:szCs w:val="16"/>
              </w:rPr>
              <w:t>(прогноз)</w:t>
            </w:r>
          </w:p>
        </w:tc>
        <w:tc>
          <w:tcPr>
            <w:tcW w:w="1701" w:type="dxa"/>
            <w:gridSpan w:val="2"/>
          </w:tcPr>
          <w:p w:rsidR="00366C98" w:rsidRPr="00265C60" w:rsidRDefault="00871CD7" w:rsidP="002A5193">
            <w:pPr>
              <w:spacing w:line="240" w:lineRule="auto"/>
              <w:ind w:firstLine="0"/>
              <w:jc w:val="center"/>
              <w:rPr>
                <w:b/>
                <w:bCs/>
                <w:sz w:val="16"/>
                <w:szCs w:val="16"/>
              </w:rPr>
            </w:pPr>
            <w:r w:rsidRPr="00265C60">
              <w:rPr>
                <w:b/>
                <w:bCs/>
                <w:sz w:val="16"/>
                <w:szCs w:val="16"/>
              </w:rPr>
              <w:t>20</w:t>
            </w:r>
            <w:r w:rsidR="009840CD" w:rsidRPr="00265C60">
              <w:rPr>
                <w:b/>
                <w:bCs/>
                <w:sz w:val="16"/>
                <w:szCs w:val="16"/>
              </w:rPr>
              <w:t>2</w:t>
            </w:r>
            <w:r w:rsidR="00195EEF" w:rsidRPr="00265C60">
              <w:rPr>
                <w:b/>
                <w:bCs/>
                <w:sz w:val="16"/>
                <w:szCs w:val="16"/>
              </w:rPr>
              <w:t>8</w:t>
            </w:r>
            <w:r w:rsidR="00E41ED4" w:rsidRPr="00265C60">
              <w:rPr>
                <w:b/>
                <w:bCs/>
                <w:sz w:val="16"/>
                <w:szCs w:val="16"/>
              </w:rPr>
              <w:t xml:space="preserve"> </w:t>
            </w:r>
            <w:r w:rsidRPr="00265C60">
              <w:rPr>
                <w:b/>
                <w:bCs/>
                <w:sz w:val="16"/>
                <w:szCs w:val="16"/>
              </w:rPr>
              <w:t xml:space="preserve">год </w:t>
            </w:r>
          </w:p>
          <w:p w:rsidR="00871CD7" w:rsidRPr="00265C60" w:rsidRDefault="00871CD7" w:rsidP="002A5193">
            <w:pPr>
              <w:spacing w:line="240" w:lineRule="auto"/>
              <w:ind w:firstLine="0"/>
              <w:jc w:val="center"/>
              <w:rPr>
                <w:b/>
                <w:bCs/>
                <w:sz w:val="16"/>
                <w:szCs w:val="16"/>
              </w:rPr>
            </w:pPr>
            <w:r w:rsidRPr="00265C60">
              <w:rPr>
                <w:b/>
                <w:bCs/>
                <w:sz w:val="16"/>
                <w:szCs w:val="16"/>
              </w:rPr>
              <w:t>(прогноз)</w:t>
            </w:r>
          </w:p>
        </w:tc>
      </w:tr>
      <w:tr w:rsidR="00195EEF" w:rsidRPr="00265C60" w:rsidTr="009D32A7">
        <w:trPr>
          <w:trHeight w:val="385"/>
          <w:tblHeader/>
        </w:trPr>
        <w:tc>
          <w:tcPr>
            <w:tcW w:w="2127" w:type="dxa"/>
            <w:vMerge/>
            <w:vAlign w:val="center"/>
            <w:hideMark/>
          </w:tcPr>
          <w:p w:rsidR="00871CD7" w:rsidRPr="00265C60" w:rsidRDefault="00871CD7" w:rsidP="00B95597">
            <w:pPr>
              <w:spacing w:line="240" w:lineRule="auto"/>
              <w:ind w:firstLine="0"/>
              <w:rPr>
                <w:b/>
                <w:bCs/>
                <w:sz w:val="16"/>
                <w:szCs w:val="16"/>
              </w:rPr>
            </w:pPr>
          </w:p>
        </w:tc>
        <w:tc>
          <w:tcPr>
            <w:tcW w:w="709" w:type="dxa"/>
            <w:hideMark/>
          </w:tcPr>
          <w:p w:rsidR="00871CD7" w:rsidRPr="00265C60" w:rsidRDefault="00871CD7" w:rsidP="00BD42C1">
            <w:pPr>
              <w:spacing w:line="240" w:lineRule="auto"/>
              <w:ind w:firstLine="0"/>
              <w:jc w:val="center"/>
              <w:rPr>
                <w:b/>
                <w:bCs/>
                <w:sz w:val="16"/>
                <w:szCs w:val="16"/>
              </w:rPr>
            </w:pPr>
            <w:r w:rsidRPr="00265C60">
              <w:rPr>
                <w:b/>
                <w:bCs/>
                <w:sz w:val="16"/>
                <w:szCs w:val="16"/>
              </w:rPr>
              <w:t>млрд рублей</w:t>
            </w:r>
          </w:p>
        </w:tc>
        <w:tc>
          <w:tcPr>
            <w:tcW w:w="709" w:type="dxa"/>
            <w:hideMark/>
          </w:tcPr>
          <w:p w:rsidR="00871CD7" w:rsidRPr="00265C60" w:rsidRDefault="00871CD7" w:rsidP="002A5193">
            <w:pPr>
              <w:spacing w:line="240" w:lineRule="auto"/>
              <w:ind w:firstLine="0"/>
              <w:jc w:val="center"/>
              <w:rPr>
                <w:b/>
                <w:bCs/>
                <w:sz w:val="16"/>
                <w:szCs w:val="16"/>
              </w:rPr>
            </w:pPr>
            <w:r w:rsidRPr="00265C60">
              <w:rPr>
                <w:b/>
                <w:bCs/>
                <w:sz w:val="16"/>
                <w:szCs w:val="16"/>
              </w:rPr>
              <w:t>доля в ВВП, %</w:t>
            </w:r>
          </w:p>
        </w:tc>
        <w:tc>
          <w:tcPr>
            <w:tcW w:w="850" w:type="dxa"/>
            <w:hideMark/>
          </w:tcPr>
          <w:p w:rsidR="00871CD7" w:rsidRPr="00265C60" w:rsidRDefault="00871CD7" w:rsidP="00BD42C1">
            <w:pPr>
              <w:spacing w:line="240" w:lineRule="auto"/>
              <w:ind w:firstLine="0"/>
              <w:jc w:val="center"/>
              <w:rPr>
                <w:b/>
                <w:bCs/>
                <w:sz w:val="16"/>
                <w:szCs w:val="16"/>
              </w:rPr>
            </w:pPr>
            <w:r w:rsidRPr="00265C60">
              <w:rPr>
                <w:b/>
                <w:bCs/>
                <w:sz w:val="16"/>
                <w:szCs w:val="16"/>
              </w:rPr>
              <w:t>млрд рублей</w:t>
            </w:r>
          </w:p>
        </w:tc>
        <w:tc>
          <w:tcPr>
            <w:tcW w:w="709" w:type="dxa"/>
            <w:hideMark/>
          </w:tcPr>
          <w:p w:rsidR="00871CD7" w:rsidRPr="00265C60" w:rsidRDefault="00871CD7" w:rsidP="002A5193">
            <w:pPr>
              <w:spacing w:line="240" w:lineRule="auto"/>
              <w:ind w:firstLine="0"/>
              <w:jc w:val="center"/>
              <w:rPr>
                <w:b/>
                <w:bCs/>
                <w:sz w:val="16"/>
                <w:szCs w:val="16"/>
              </w:rPr>
            </w:pPr>
            <w:r w:rsidRPr="00265C60">
              <w:rPr>
                <w:b/>
                <w:bCs/>
                <w:sz w:val="16"/>
                <w:szCs w:val="16"/>
              </w:rPr>
              <w:t>доля в ВВП, %</w:t>
            </w:r>
          </w:p>
        </w:tc>
        <w:tc>
          <w:tcPr>
            <w:tcW w:w="851" w:type="dxa"/>
            <w:hideMark/>
          </w:tcPr>
          <w:p w:rsidR="00871CD7" w:rsidRPr="00265C60" w:rsidRDefault="00871CD7" w:rsidP="00BD42C1">
            <w:pPr>
              <w:spacing w:line="240" w:lineRule="auto"/>
              <w:ind w:firstLine="0"/>
              <w:jc w:val="center"/>
              <w:rPr>
                <w:b/>
                <w:bCs/>
                <w:sz w:val="16"/>
                <w:szCs w:val="16"/>
              </w:rPr>
            </w:pPr>
            <w:r w:rsidRPr="00265C60">
              <w:rPr>
                <w:b/>
                <w:bCs/>
                <w:sz w:val="16"/>
                <w:szCs w:val="16"/>
              </w:rPr>
              <w:t>млрд рублей</w:t>
            </w:r>
          </w:p>
        </w:tc>
        <w:tc>
          <w:tcPr>
            <w:tcW w:w="708" w:type="dxa"/>
            <w:hideMark/>
          </w:tcPr>
          <w:p w:rsidR="00871CD7" w:rsidRPr="00265C60" w:rsidRDefault="00871CD7" w:rsidP="002A5193">
            <w:pPr>
              <w:spacing w:line="240" w:lineRule="auto"/>
              <w:ind w:firstLine="0"/>
              <w:jc w:val="center"/>
              <w:rPr>
                <w:b/>
                <w:bCs/>
                <w:sz w:val="16"/>
                <w:szCs w:val="16"/>
              </w:rPr>
            </w:pPr>
            <w:r w:rsidRPr="00265C60">
              <w:rPr>
                <w:b/>
                <w:bCs/>
                <w:sz w:val="16"/>
                <w:szCs w:val="16"/>
              </w:rPr>
              <w:t>доля в ВВП, %</w:t>
            </w:r>
          </w:p>
        </w:tc>
        <w:tc>
          <w:tcPr>
            <w:tcW w:w="851" w:type="dxa"/>
          </w:tcPr>
          <w:p w:rsidR="00871CD7" w:rsidRPr="00265C60" w:rsidRDefault="00871CD7" w:rsidP="00BD42C1">
            <w:pPr>
              <w:spacing w:line="240" w:lineRule="auto"/>
              <w:ind w:firstLine="0"/>
              <w:jc w:val="center"/>
              <w:rPr>
                <w:b/>
                <w:bCs/>
                <w:sz w:val="16"/>
                <w:szCs w:val="16"/>
              </w:rPr>
            </w:pPr>
            <w:r w:rsidRPr="00265C60">
              <w:rPr>
                <w:b/>
                <w:bCs/>
                <w:sz w:val="16"/>
                <w:szCs w:val="16"/>
              </w:rPr>
              <w:t>млрд рублей</w:t>
            </w:r>
          </w:p>
        </w:tc>
        <w:tc>
          <w:tcPr>
            <w:tcW w:w="850" w:type="dxa"/>
          </w:tcPr>
          <w:p w:rsidR="00871CD7" w:rsidRPr="00265C60" w:rsidRDefault="00871CD7" w:rsidP="002A5193">
            <w:pPr>
              <w:spacing w:line="240" w:lineRule="auto"/>
              <w:ind w:firstLine="0"/>
              <w:jc w:val="center"/>
              <w:rPr>
                <w:b/>
                <w:bCs/>
                <w:sz w:val="16"/>
                <w:szCs w:val="16"/>
              </w:rPr>
            </w:pPr>
            <w:r w:rsidRPr="00265C60">
              <w:rPr>
                <w:b/>
                <w:bCs/>
                <w:sz w:val="16"/>
                <w:szCs w:val="16"/>
              </w:rPr>
              <w:t>доля в ВВП, %</w:t>
            </w:r>
          </w:p>
        </w:tc>
        <w:tc>
          <w:tcPr>
            <w:tcW w:w="851" w:type="dxa"/>
          </w:tcPr>
          <w:p w:rsidR="00871CD7" w:rsidRPr="00265C60" w:rsidRDefault="00871CD7" w:rsidP="00BD42C1">
            <w:pPr>
              <w:spacing w:line="240" w:lineRule="auto"/>
              <w:ind w:firstLine="0"/>
              <w:jc w:val="center"/>
              <w:rPr>
                <w:b/>
                <w:bCs/>
                <w:sz w:val="16"/>
                <w:szCs w:val="16"/>
              </w:rPr>
            </w:pPr>
            <w:r w:rsidRPr="00265C60">
              <w:rPr>
                <w:b/>
                <w:bCs/>
                <w:sz w:val="16"/>
                <w:szCs w:val="16"/>
              </w:rPr>
              <w:t>млрд рублей</w:t>
            </w:r>
          </w:p>
        </w:tc>
        <w:tc>
          <w:tcPr>
            <w:tcW w:w="850" w:type="dxa"/>
          </w:tcPr>
          <w:p w:rsidR="00871CD7" w:rsidRPr="00265C60" w:rsidRDefault="00871CD7" w:rsidP="002A5193">
            <w:pPr>
              <w:spacing w:line="240" w:lineRule="auto"/>
              <w:ind w:firstLine="0"/>
              <w:jc w:val="center"/>
              <w:rPr>
                <w:b/>
                <w:bCs/>
                <w:sz w:val="16"/>
                <w:szCs w:val="16"/>
              </w:rPr>
            </w:pPr>
            <w:r w:rsidRPr="00265C60">
              <w:rPr>
                <w:b/>
                <w:bCs/>
                <w:sz w:val="16"/>
                <w:szCs w:val="16"/>
              </w:rPr>
              <w:t>доля в ВВП, %</w:t>
            </w:r>
          </w:p>
        </w:tc>
      </w:tr>
      <w:tr w:rsidR="0021028A" w:rsidRPr="00265C60" w:rsidTr="009D32A7">
        <w:trPr>
          <w:trHeight w:val="20"/>
        </w:trPr>
        <w:tc>
          <w:tcPr>
            <w:tcW w:w="2127" w:type="dxa"/>
            <w:hideMark/>
          </w:tcPr>
          <w:p w:rsidR="0021028A" w:rsidRPr="00265C60" w:rsidRDefault="0021028A" w:rsidP="00C30AC2">
            <w:pPr>
              <w:spacing w:line="240" w:lineRule="auto"/>
              <w:ind w:firstLine="0"/>
              <w:rPr>
                <w:b/>
                <w:bCs/>
                <w:sz w:val="16"/>
                <w:szCs w:val="16"/>
              </w:rPr>
            </w:pPr>
            <w:r w:rsidRPr="00265C60">
              <w:rPr>
                <w:b/>
                <w:bCs/>
                <w:sz w:val="16"/>
                <w:szCs w:val="16"/>
              </w:rPr>
              <w:t>Доходы бюджетной системы*</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69 814,2</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34,7</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73 621,0</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33,9</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79 974,5</w:t>
            </w:r>
          </w:p>
        </w:tc>
        <w:tc>
          <w:tcPr>
            <w:tcW w:w="708"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34,0</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85 748,3</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33,6</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91 801,3</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33,2</w:t>
            </w:r>
          </w:p>
        </w:tc>
      </w:tr>
      <w:tr w:rsidR="0021028A" w:rsidRPr="00265C60" w:rsidTr="009D32A7">
        <w:trPr>
          <w:trHeight w:val="20"/>
        </w:trPr>
        <w:tc>
          <w:tcPr>
            <w:tcW w:w="2127" w:type="dxa"/>
            <w:hideMark/>
          </w:tcPr>
          <w:p w:rsidR="0021028A" w:rsidRPr="00265C60" w:rsidRDefault="0021028A" w:rsidP="00C30AC2">
            <w:pPr>
              <w:spacing w:line="240" w:lineRule="auto"/>
              <w:ind w:firstLine="0"/>
              <w:rPr>
                <w:b/>
                <w:sz w:val="16"/>
                <w:szCs w:val="16"/>
              </w:rPr>
            </w:pPr>
            <w:r w:rsidRPr="00265C60">
              <w:rPr>
                <w:b/>
                <w:sz w:val="16"/>
                <w:szCs w:val="16"/>
              </w:rPr>
              <w:t>Доходы:</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708"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r>
      <w:tr w:rsidR="0021028A" w:rsidRPr="00265C60" w:rsidTr="009D32A7">
        <w:trPr>
          <w:trHeight w:val="20"/>
        </w:trPr>
        <w:tc>
          <w:tcPr>
            <w:tcW w:w="2127" w:type="dxa"/>
            <w:hideMark/>
          </w:tcPr>
          <w:p w:rsidR="0021028A" w:rsidRPr="00265C60" w:rsidRDefault="0021028A" w:rsidP="00C30AC2">
            <w:pPr>
              <w:spacing w:line="240" w:lineRule="auto"/>
              <w:ind w:firstLine="0"/>
              <w:rPr>
                <w:sz w:val="16"/>
                <w:szCs w:val="16"/>
              </w:rPr>
            </w:pPr>
            <w:r w:rsidRPr="00265C60">
              <w:rPr>
                <w:sz w:val="16"/>
                <w:szCs w:val="16"/>
              </w:rPr>
              <w:t xml:space="preserve">федерального бюджета </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36 708,6</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18,2</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37 085,0</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17,1</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40 283,3</w:t>
            </w:r>
          </w:p>
        </w:tc>
        <w:tc>
          <w:tcPr>
            <w:tcW w:w="708"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17,1</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42 910,4</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16,8</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45 869,4</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16,6</w:t>
            </w:r>
          </w:p>
        </w:tc>
      </w:tr>
      <w:tr w:rsidR="0021028A" w:rsidRPr="00265C60" w:rsidTr="009D32A7">
        <w:trPr>
          <w:trHeight w:val="20"/>
        </w:trPr>
        <w:tc>
          <w:tcPr>
            <w:tcW w:w="2127" w:type="dxa"/>
            <w:hideMark/>
          </w:tcPr>
          <w:p w:rsidR="0021028A" w:rsidRPr="00265C60" w:rsidRDefault="0021028A" w:rsidP="00C30AC2">
            <w:pPr>
              <w:spacing w:line="240" w:lineRule="auto"/>
              <w:ind w:firstLine="0"/>
              <w:rPr>
                <w:sz w:val="16"/>
                <w:szCs w:val="16"/>
              </w:rPr>
            </w:pPr>
            <w:r w:rsidRPr="00265C60">
              <w:rPr>
                <w:sz w:val="16"/>
                <w:szCs w:val="16"/>
              </w:rPr>
              <w:t>консолидированных бюджетов субъектов Российской Федерации</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24 621,5</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12,2</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25 760,0</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11,9</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26 597,8</w:t>
            </w:r>
          </w:p>
        </w:tc>
        <w:tc>
          <w:tcPr>
            <w:tcW w:w="708"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11,3</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28 557,8</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11,2</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30 567,1</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11,1</w:t>
            </w:r>
          </w:p>
        </w:tc>
      </w:tr>
      <w:tr w:rsidR="0021028A" w:rsidRPr="00265C60" w:rsidTr="009D32A7">
        <w:trPr>
          <w:trHeight w:val="20"/>
        </w:trPr>
        <w:tc>
          <w:tcPr>
            <w:tcW w:w="2127" w:type="dxa"/>
            <w:hideMark/>
          </w:tcPr>
          <w:p w:rsidR="0021028A" w:rsidRPr="00265C60" w:rsidRDefault="0021028A" w:rsidP="00C30AC2">
            <w:pPr>
              <w:spacing w:line="240" w:lineRule="auto"/>
              <w:ind w:firstLine="0"/>
              <w:rPr>
                <w:sz w:val="16"/>
                <w:szCs w:val="16"/>
              </w:rPr>
            </w:pPr>
            <w:r w:rsidRPr="00265C60">
              <w:rPr>
                <w:sz w:val="16"/>
                <w:szCs w:val="16"/>
              </w:rPr>
              <w:t>бюджетов государственных внебюджетных фондов</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20 620,3</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10,3</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20 609,0</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9,5</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23 659,4</w:t>
            </w:r>
          </w:p>
        </w:tc>
        <w:tc>
          <w:tcPr>
            <w:tcW w:w="708"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10,1</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24 885,5</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9,7</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26 437,5</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9,6</w:t>
            </w:r>
          </w:p>
        </w:tc>
      </w:tr>
      <w:tr w:rsidR="0021028A" w:rsidRPr="00265C60" w:rsidTr="009D32A7">
        <w:trPr>
          <w:trHeight w:val="20"/>
        </w:trPr>
        <w:tc>
          <w:tcPr>
            <w:tcW w:w="2127" w:type="dxa"/>
            <w:hideMark/>
          </w:tcPr>
          <w:p w:rsidR="0021028A" w:rsidRPr="00265C60" w:rsidRDefault="0021028A" w:rsidP="00C30AC2">
            <w:pPr>
              <w:spacing w:line="240" w:lineRule="auto"/>
              <w:ind w:firstLine="0"/>
              <w:rPr>
                <w:sz w:val="16"/>
                <w:szCs w:val="16"/>
              </w:rPr>
            </w:pPr>
            <w:r w:rsidRPr="00265C60">
              <w:rPr>
                <w:sz w:val="16"/>
                <w:szCs w:val="16"/>
              </w:rPr>
              <w:t>бюджетов территориальных фондов обязательного медицинского страхования</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3 461,8</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1,7</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3 639,7</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1,7</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4 002,1</w:t>
            </w:r>
          </w:p>
        </w:tc>
        <w:tc>
          <w:tcPr>
            <w:tcW w:w="708"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1,7</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4 323,8</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1,7</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4 642,0</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1,7</w:t>
            </w:r>
          </w:p>
        </w:tc>
      </w:tr>
      <w:tr w:rsidR="0021028A" w:rsidRPr="00265C60" w:rsidTr="009D32A7">
        <w:trPr>
          <w:trHeight w:val="20"/>
        </w:trPr>
        <w:tc>
          <w:tcPr>
            <w:tcW w:w="2127" w:type="dxa"/>
            <w:hideMark/>
          </w:tcPr>
          <w:p w:rsidR="0021028A" w:rsidRPr="00265C60" w:rsidRDefault="0021028A" w:rsidP="00C30AC2">
            <w:pPr>
              <w:spacing w:line="240" w:lineRule="auto"/>
              <w:ind w:firstLine="0"/>
              <w:rPr>
                <w:b/>
                <w:bCs/>
                <w:sz w:val="16"/>
                <w:szCs w:val="16"/>
              </w:rPr>
            </w:pPr>
            <w:r w:rsidRPr="00265C60">
              <w:rPr>
                <w:b/>
                <w:bCs/>
                <w:sz w:val="16"/>
                <w:szCs w:val="16"/>
              </w:rPr>
              <w:t>Расходы бюджетной системы*</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73 068,5</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36,3</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80 539,0</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37,1</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84 017,4</w:t>
            </w:r>
          </w:p>
        </w:tc>
        <w:tc>
          <w:tcPr>
            <w:tcW w:w="708"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35,7</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89 131,4</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34,9</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95 375,0</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34,5</w:t>
            </w:r>
          </w:p>
        </w:tc>
      </w:tr>
      <w:tr w:rsidR="0021028A" w:rsidRPr="00265C60" w:rsidTr="009D32A7">
        <w:trPr>
          <w:trHeight w:val="20"/>
        </w:trPr>
        <w:tc>
          <w:tcPr>
            <w:tcW w:w="2127" w:type="dxa"/>
            <w:hideMark/>
          </w:tcPr>
          <w:p w:rsidR="0021028A" w:rsidRPr="00265C60" w:rsidRDefault="0021028A" w:rsidP="00C30AC2">
            <w:pPr>
              <w:spacing w:line="240" w:lineRule="auto"/>
              <w:ind w:firstLine="0"/>
              <w:rPr>
                <w:b/>
                <w:sz w:val="16"/>
                <w:szCs w:val="16"/>
              </w:rPr>
            </w:pPr>
            <w:r w:rsidRPr="00265C60">
              <w:rPr>
                <w:b/>
                <w:sz w:val="16"/>
                <w:szCs w:val="16"/>
              </w:rPr>
              <w:t>Расходы:</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708"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r>
      <w:tr w:rsidR="0021028A" w:rsidRPr="00265C60" w:rsidTr="009D32A7">
        <w:trPr>
          <w:trHeight w:val="20"/>
        </w:trPr>
        <w:tc>
          <w:tcPr>
            <w:tcW w:w="2127" w:type="dxa"/>
            <w:hideMark/>
          </w:tcPr>
          <w:p w:rsidR="0021028A" w:rsidRPr="00265C60" w:rsidRDefault="0021028A" w:rsidP="00C30AC2">
            <w:pPr>
              <w:spacing w:line="240" w:lineRule="auto"/>
              <w:ind w:firstLine="0"/>
              <w:rPr>
                <w:sz w:val="16"/>
                <w:szCs w:val="16"/>
              </w:rPr>
            </w:pPr>
            <w:r w:rsidRPr="00265C60">
              <w:rPr>
                <w:sz w:val="16"/>
                <w:szCs w:val="16"/>
              </w:rPr>
              <w:t xml:space="preserve">федерального бюджета </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40 180,5</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20,0</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42 821,0</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19,7</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44 069,7</w:t>
            </w:r>
          </w:p>
        </w:tc>
        <w:tc>
          <w:tcPr>
            <w:tcW w:w="708"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18,7</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46 096,1</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18,0</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49 383,2</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17,9</w:t>
            </w:r>
          </w:p>
        </w:tc>
      </w:tr>
      <w:tr w:rsidR="0021028A" w:rsidRPr="00265C60" w:rsidTr="009D32A7">
        <w:trPr>
          <w:trHeight w:val="20"/>
        </w:trPr>
        <w:tc>
          <w:tcPr>
            <w:tcW w:w="2127" w:type="dxa"/>
            <w:hideMark/>
          </w:tcPr>
          <w:p w:rsidR="0021028A" w:rsidRPr="00265C60" w:rsidRDefault="0021028A" w:rsidP="00C30AC2">
            <w:pPr>
              <w:spacing w:line="240" w:lineRule="auto"/>
              <w:ind w:firstLine="0"/>
              <w:rPr>
                <w:sz w:val="16"/>
                <w:szCs w:val="16"/>
              </w:rPr>
            </w:pPr>
            <w:r w:rsidRPr="00265C60">
              <w:rPr>
                <w:sz w:val="16"/>
                <w:szCs w:val="16"/>
              </w:rPr>
              <w:t>консолидированных бюджетов субъектов Российской Федерации</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24 919,3</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12,4</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26 072,0</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12,0</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26 898,3</w:t>
            </w:r>
          </w:p>
        </w:tc>
        <w:tc>
          <w:tcPr>
            <w:tcW w:w="708"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11,4</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28 802,7</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11,3</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30 743,9</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11,1</w:t>
            </w:r>
          </w:p>
        </w:tc>
      </w:tr>
      <w:tr w:rsidR="0021028A" w:rsidRPr="00265C60" w:rsidTr="009D32A7">
        <w:trPr>
          <w:trHeight w:val="20"/>
        </w:trPr>
        <w:tc>
          <w:tcPr>
            <w:tcW w:w="2127" w:type="dxa"/>
            <w:hideMark/>
          </w:tcPr>
          <w:p w:rsidR="0021028A" w:rsidRPr="00265C60" w:rsidRDefault="0021028A" w:rsidP="00C30AC2">
            <w:pPr>
              <w:spacing w:line="240" w:lineRule="auto"/>
              <w:ind w:firstLine="0"/>
              <w:rPr>
                <w:sz w:val="16"/>
                <w:szCs w:val="16"/>
              </w:rPr>
            </w:pPr>
            <w:r w:rsidRPr="00265C60">
              <w:rPr>
                <w:sz w:val="16"/>
                <w:szCs w:val="16"/>
              </w:rPr>
              <w:t>бюджетов  государственных внебюджетных фондов</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20 113,3</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10,0</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21 478,0</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9,9</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23 615,3</w:t>
            </w:r>
          </w:p>
        </w:tc>
        <w:tc>
          <w:tcPr>
            <w:tcW w:w="708"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10,0</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24 838,0</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9,7</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26 320,6</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9,5</w:t>
            </w:r>
          </w:p>
        </w:tc>
      </w:tr>
      <w:tr w:rsidR="0021028A" w:rsidRPr="00265C60" w:rsidTr="009D32A7">
        <w:trPr>
          <w:trHeight w:val="20"/>
        </w:trPr>
        <w:tc>
          <w:tcPr>
            <w:tcW w:w="2127" w:type="dxa"/>
            <w:hideMark/>
          </w:tcPr>
          <w:p w:rsidR="0021028A" w:rsidRPr="00265C60" w:rsidRDefault="0021028A" w:rsidP="00C30AC2">
            <w:pPr>
              <w:spacing w:line="240" w:lineRule="auto"/>
              <w:ind w:firstLine="0"/>
              <w:rPr>
                <w:sz w:val="16"/>
                <w:szCs w:val="16"/>
              </w:rPr>
            </w:pPr>
            <w:r w:rsidRPr="00265C60">
              <w:rPr>
                <w:sz w:val="16"/>
                <w:szCs w:val="16"/>
              </w:rPr>
              <w:t>бюджетов территориальных фондов обязательного медицинского страхования</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3 453,4</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1,7</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3 639,7</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1,7</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4 002,1</w:t>
            </w:r>
          </w:p>
        </w:tc>
        <w:tc>
          <w:tcPr>
            <w:tcW w:w="708"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1,7</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4 323,8</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1,7</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4 642,0</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1,7</w:t>
            </w:r>
          </w:p>
        </w:tc>
      </w:tr>
      <w:tr w:rsidR="0021028A" w:rsidRPr="00265C60" w:rsidTr="009D32A7">
        <w:trPr>
          <w:trHeight w:val="20"/>
        </w:trPr>
        <w:tc>
          <w:tcPr>
            <w:tcW w:w="2127" w:type="dxa"/>
            <w:hideMark/>
          </w:tcPr>
          <w:p w:rsidR="0021028A" w:rsidRPr="00265C60" w:rsidRDefault="0021028A" w:rsidP="00C30AC2">
            <w:pPr>
              <w:spacing w:line="240" w:lineRule="auto"/>
              <w:ind w:firstLine="0"/>
              <w:rPr>
                <w:b/>
                <w:bCs/>
                <w:sz w:val="16"/>
                <w:szCs w:val="16"/>
              </w:rPr>
            </w:pPr>
            <w:r w:rsidRPr="00265C60">
              <w:rPr>
                <w:b/>
                <w:bCs/>
                <w:sz w:val="16"/>
                <w:szCs w:val="16"/>
              </w:rPr>
              <w:t>Дефицит (профицит) бюджетной системы</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-3 254,3</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-1,6</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-6 918,0</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-3,2</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-4 042,9</w:t>
            </w:r>
          </w:p>
        </w:tc>
        <w:tc>
          <w:tcPr>
            <w:tcW w:w="708"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-1,7</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-3 383,1</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-1,3</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-3 573,7</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-1,3</w:t>
            </w:r>
          </w:p>
        </w:tc>
      </w:tr>
      <w:tr w:rsidR="0021028A" w:rsidRPr="00265C60" w:rsidTr="009D32A7">
        <w:trPr>
          <w:trHeight w:val="20"/>
        </w:trPr>
        <w:tc>
          <w:tcPr>
            <w:tcW w:w="2127" w:type="dxa"/>
            <w:hideMark/>
          </w:tcPr>
          <w:p w:rsidR="0021028A" w:rsidRPr="00265C60" w:rsidRDefault="0021028A" w:rsidP="00C30AC2">
            <w:pPr>
              <w:spacing w:line="240" w:lineRule="auto"/>
              <w:ind w:firstLine="0"/>
              <w:rPr>
                <w:sz w:val="16"/>
                <w:szCs w:val="16"/>
              </w:rPr>
            </w:pPr>
            <w:r w:rsidRPr="00265C60">
              <w:rPr>
                <w:sz w:val="16"/>
                <w:szCs w:val="16"/>
              </w:rPr>
              <w:t>в том числе:</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709"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708"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1"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c>
          <w:tcPr>
            <w:tcW w:w="850" w:type="dxa"/>
            <w:shd w:val="clear" w:color="auto" w:fill="auto"/>
            <w:vAlign w:val="center"/>
          </w:tcPr>
          <w:p w:rsidR="0021028A" w:rsidRPr="00265C60" w:rsidRDefault="0021028A" w:rsidP="0021028A">
            <w:pPr>
              <w:spacing w:line="240" w:lineRule="auto"/>
              <w:ind w:firstLine="0"/>
              <w:jc w:val="center"/>
              <w:rPr>
                <w:b/>
                <w:bCs/>
                <w:sz w:val="16"/>
                <w:szCs w:val="16"/>
              </w:rPr>
            </w:pPr>
            <w:r w:rsidRPr="00265C60">
              <w:rPr>
                <w:b/>
                <w:bCs/>
                <w:sz w:val="16"/>
                <w:szCs w:val="16"/>
              </w:rPr>
              <w:t> </w:t>
            </w:r>
          </w:p>
        </w:tc>
      </w:tr>
      <w:tr w:rsidR="0021028A" w:rsidRPr="00265C60" w:rsidTr="009D32A7">
        <w:trPr>
          <w:trHeight w:val="20"/>
        </w:trPr>
        <w:tc>
          <w:tcPr>
            <w:tcW w:w="2127" w:type="dxa"/>
            <w:hideMark/>
          </w:tcPr>
          <w:p w:rsidR="0021028A" w:rsidRPr="00265C60" w:rsidRDefault="0021028A" w:rsidP="00C30AC2">
            <w:pPr>
              <w:spacing w:line="240" w:lineRule="auto"/>
              <w:ind w:firstLine="0"/>
              <w:rPr>
                <w:sz w:val="16"/>
                <w:szCs w:val="16"/>
              </w:rPr>
            </w:pPr>
            <w:r w:rsidRPr="00265C60">
              <w:rPr>
                <w:sz w:val="16"/>
                <w:szCs w:val="16"/>
              </w:rPr>
              <w:t xml:space="preserve">федерального бюджета </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-3 471,9</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-1,7</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-5 736,0</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-2,6</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-3 786,4</w:t>
            </w:r>
          </w:p>
        </w:tc>
        <w:tc>
          <w:tcPr>
            <w:tcW w:w="708"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-1,6</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-3 185,7</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-1,2</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-3 513,8</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-1,3</w:t>
            </w:r>
          </w:p>
        </w:tc>
      </w:tr>
      <w:tr w:rsidR="0021028A" w:rsidRPr="00265C60" w:rsidTr="009D32A7">
        <w:trPr>
          <w:trHeight w:val="20"/>
        </w:trPr>
        <w:tc>
          <w:tcPr>
            <w:tcW w:w="2127" w:type="dxa"/>
            <w:hideMark/>
          </w:tcPr>
          <w:p w:rsidR="0021028A" w:rsidRPr="00265C60" w:rsidRDefault="0021028A" w:rsidP="00C30AC2">
            <w:pPr>
              <w:spacing w:line="240" w:lineRule="auto"/>
              <w:ind w:firstLine="0"/>
              <w:rPr>
                <w:sz w:val="16"/>
                <w:szCs w:val="16"/>
              </w:rPr>
            </w:pPr>
            <w:r w:rsidRPr="00265C60">
              <w:rPr>
                <w:sz w:val="16"/>
                <w:szCs w:val="16"/>
              </w:rPr>
              <w:t>консолидированных бюджетов субъектов Российской Федерации</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-297,8</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-0,15</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-312,0</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-0,1</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-300,5</w:t>
            </w:r>
          </w:p>
        </w:tc>
        <w:tc>
          <w:tcPr>
            <w:tcW w:w="708"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-0,1</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-244,9</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-0,10</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-176,8</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-0,06</w:t>
            </w:r>
          </w:p>
        </w:tc>
      </w:tr>
      <w:tr w:rsidR="0021028A" w:rsidRPr="00265C60" w:rsidTr="009D32A7">
        <w:trPr>
          <w:trHeight w:val="20"/>
        </w:trPr>
        <w:tc>
          <w:tcPr>
            <w:tcW w:w="2127" w:type="dxa"/>
            <w:hideMark/>
          </w:tcPr>
          <w:p w:rsidR="0021028A" w:rsidRPr="00265C60" w:rsidRDefault="0021028A" w:rsidP="00C30AC2">
            <w:pPr>
              <w:spacing w:line="240" w:lineRule="auto"/>
              <w:ind w:firstLine="0"/>
              <w:rPr>
                <w:sz w:val="16"/>
                <w:szCs w:val="16"/>
              </w:rPr>
            </w:pPr>
            <w:r w:rsidRPr="00265C60">
              <w:rPr>
                <w:sz w:val="16"/>
                <w:szCs w:val="16"/>
              </w:rPr>
              <w:t>бюджетов  государственных внебюджетных фондов</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507,0</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0,3</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-869,0</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-0,4</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44,1</w:t>
            </w:r>
          </w:p>
        </w:tc>
        <w:tc>
          <w:tcPr>
            <w:tcW w:w="708"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0,0</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47,5</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0,02</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116,9</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0,04</w:t>
            </w:r>
          </w:p>
        </w:tc>
      </w:tr>
      <w:tr w:rsidR="0021028A" w:rsidRPr="00265C60" w:rsidTr="009D32A7">
        <w:trPr>
          <w:trHeight w:val="20"/>
        </w:trPr>
        <w:tc>
          <w:tcPr>
            <w:tcW w:w="2127" w:type="dxa"/>
            <w:hideMark/>
          </w:tcPr>
          <w:p w:rsidR="0021028A" w:rsidRPr="00265C60" w:rsidRDefault="0021028A" w:rsidP="00C30AC2">
            <w:pPr>
              <w:spacing w:line="240" w:lineRule="auto"/>
              <w:ind w:firstLine="0"/>
              <w:rPr>
                <w:sz w:val="16"/>
                <w:szCs w:val="16"/>
              </w:rPr>
            </w:pPr>
            <w:r w:rsidRPr="00265C60">
              <w:rPr>
                <w:sz w:val="16"/>
                <w:szCs w:val="16"/>
              </w:rPr>
              <w:t>бюджетов территориальных фондов обязательного медицинского страхования</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8,4</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0,00</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0,0</w:t>
            </w:r>
          </w:p>
        </w:tc>
        <w:tc>
          <w:tcPr>
            <w:tcW w:w="709"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 </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0,0</w:t>
            </w:r>
          </w:p>
        </w:tc>
        <w:tc>
          <w:tcPr>
            <w:tcW w:w="708"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 </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0,0</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 </w:t>
            </w:r>
          </w:p>
        </w:tc>
        <w:tc>
          <w:tcPr>
            <w:tcW w:w="851"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0,0</w:t>
            </w:r>
          </w:p>
        </w:tc>
        <w:tc>
          <w:tcPr>
            <w:tcW w:w="850" w:type="dxa"/>
            <w:shd w:val="clear" w:color="auto" w:fill="auto"/>
            <w:vAlign w:val="center"/>
          </w:tcPr>
          <w:p w:rsidR="0021028A" w:rsidRPr="00265C60" w:rsidRDefault="0021028A" w:rsidP="0021028A">
            <w:pPr>
              <w:spacing w:line="240" w:lineRule="auto"/>
              <w:ind w:firstLine="0"/>
              <w:jc w:val="center"/>
              <w:rPr>
                <w:sz w:val="16"/>
                <w:szCs w:val="16"/>
              </w:rPr>
            </w:pPr>
            <w:r w:rsidRPr="00265C60">
              <w:rPr>
                <w:sz w:val="16"/>
                <w:szCs w:val="16"/>
              </w:rPr>
              <w:t> </w:t>
            </w:r>
          </w:p>
        </w:tc>
      </w:tr>
      <w:tr w:rsidR="0021028A" w:rsidRPr="00265C60" w:rsidTr="009D32A7">
        <w:trPr>
          <w:trHeight w:val="20"/>
        </w:trPr>
        <w:tc>
          <w:tcPr>
            <w:tcW w:w="2127" w:type="dxa"/>
            <w:vAlign w:val="center"/>
          </w:tcPr>
          <w:p w:rsidR="0021028A" w:rsidRPr="00265C60" w:rsidRDefault="0021028A" w:rsidP="00C30AC2">
            <w:pPr>
              <w:spacing w:line="240" w:lineRule="auto"/>
              <w:ind w:firstLine="0"/>
              <w:rPr>
                <w:i/>
                <w:sz w:val="16"/>
                <w:szCs w:val="16"/>
              </w:rPr>
            </w:pPr>
            <w:r w:rsidRPr="00265C60">
              <w:rPr>
                <w:i/>
                <w:sz w:val="16"/>
                <w:szCs w:val="16"/>
              </w:rPr>
              <w:t xml:space="preserve">Справочно: </w:t>
            </w:r>
          </w:p>
          <w:p w:rsidR="0021028A" w:rsidRPr="00265C60" w:rsidRDefault="0021028A" w:rsidP="00BD42C1">
            <w:pPr>
              <w:spacing w:line="240" w:lineRule="auto"/>
              <w:ind w:firstLine="0"/>
              <w:rPr>
                <w:i/>
                <w:sz w:val="16"/>
                <w:szCs w:val="16"/>
              </w:rPr>
            </w:pPr>
            <w:r w:rsidRPr="00265C60">
              <w:rPr>
                <w:i/>
                <w:sz w:val="16"/>
                <w:szCs w:val="16"/>
              </w:rPr>
              <w:t>ВВП, млрд рублей</w:t>
            </w:r>
          </w:p>
        </w:tc>
        <w:tc>
          <w:tcPr>
            <w:tcW w:w="709" w:type="dxa"/>
            <w:shd w:val="clear" w:color="auto" w:fill="auto"/>
            <w:vAlign w:val="center"/>
          </w:tcPr>
          <w:p w:rsidR="0021028A" w:rsidRPr="00265C60" w:rsidRDefault="0021028A" w:rsidP="0021028A">
            <w:pPr>
              <w:spacing w:line="240" w:lineRule="auto"/>
              <w:ind w:firstLine="0"/>
              <w:jc w:val="center"/>
              <w:rPr>
                <w:i/>
                <w:iCs/>
                <w:sz w:val="16"/>
                <w:szCs w:val="16"/>
              </w:rPr>
            </w:pPr>
            <w:r w:rsidRPr="00265C60">
              <w:rPr>
                <w:i/>
                <w:iCs/>
                <w:sz w:val="16"/>
                <w:szCs w:val="16"/>
              </w:rPr>
              <w:t>201 152</w:t>
            </w:r>
          </w:p>
        </w:tc>
        <w:tc>
          <w:tcPr>
            <w:tcW w:w="709" w:type="dxa"/>
            <w:shd w:val="clear" w:color="auto" w:fill="auto"/>
            <w:vAlign w:val="center"/>
          </w:tcPr>
          <w:p w:rsidR="0021028A" w:rsidRPr="00265C60" w:rsidRDefault="0021028A" w:rsidP="0021028A">
            <w:pPr>
              <w:spacing w:line="240" w:lineRule="auto"/>
              <w:ind w:firstLine="0"/>
              <w:jc w:val="center"/>
              <w:rPr>
                <w:i/>
                <w:iCs/>
                <w:sz w:val="16"/>
                <w:szCs w:val="16"/>
              </w:rPr>
            </w:pPr>
            <w:r w:rsidRPr="00265C60">
              <w:rPr>
                <w:i/>
                <w:iCs/>
                <w:sz w:val="16"/>
                <w:szCs w:val="16"/>
              </w:rPr>
              <w:t> </w:t>
            </w:r>
          </w:p>
        </w:tc>
        <w:tc>
          <w:tcPr>
            <w:tcW w:w="850" w:type="dxa"/>
            <w:vAlign w:val="center"/>
          </w:tcPr>
          <w:p w:rsidR="0021028A" w:rsidRPr="00265C60" w:rsidRDefault="0021028A" w:rsidP="0021028A">
            <w:pPr>
              <w:spacing w:line="240" w:lineRule="auto"/>
              <w:ind w:firstLine="0"/>
              <w:jc w:val="center"/>
              <w:rPr>
                <w:i/>
                <w:iCs/>
                <w:sz w:val="16"/>
                <w:szCs w:val="16"/>
              </w:rPr>
            </w:pPr>
            <w:r w:rsidRPr="00265C60">
              <w:rPr>
                <w:i/>
                <w:iCs/>
                <w:sz w:val="16"/>
                <w:szCs w:val="16"/>
              </w:rPr>
              <w:t>217 290</w:t>
            </w:r>
          </w:p>
        </w:tc>
        <w:tc>
          <w:tcPr>
            <w:tcW w:w="709" w:type="dxa"/>
            <w:vAlign w:val="center"/>
          </w:tcPr>
          <w:p w:rsidR="0021028A" w:rsidRPr="00265C60" w:rsidRDefault="0021028A" w:rsidP="0021028A">
            <w:pPr>
              <w:spacing w:line="240" w:lineRule="auto"/>
              <w:ind w:firstLine="0"/>
              <w:jc w:val="center"/>
              <w:rPr>
                <w:i/>
                <w:iCs/>
                <w:sz w:val="16"/>
                <w:szCs w:val="16"/>
              </w:rPr>
            </w:pPr>
            <w:r w:rsidRPr="00265C60">
              <w:rPr>
                <w:i/>
                <w:iCs/>
                <w:sz w:val="16"/>
                <w:szCs w:val="16"/>
              </w:rPr>
              <w:t> </w:t>
            </w:r>
          </w:p>
        </w:tc>
        <w:tc>
          <w:tcPr>
            <w:tcW w:w="851" w:type="dxa"/>
            <w:vAlign w:val="center"/>
          </w:tcPr>
          <w:p w:rsidR="0021028A" w:rsidRPr="00265C60" w:rsidRDefault="0021028A" w:rsidP="0021028A">
            <w:pPr>
              <w:spacing w:line="240" w:lineRule="auto"/>
              <w:ind w:firstLine="0"/>
              <w:jc w:val="center"/>
              <w:rPr>
                <w:i/>
                <w:iCs/>
                <w:sz w:val="16"/>
                <w:szCs w:val="16"/>
              </w:rPr>
            </w:pPr>
            <w:r w:rsidRPr="00265C60">
              <w:rPr>
                <w:i/>
                <w:iCs/>
                <w:sz w:val="16"/>
                <w:szCs w:val="16"/>
              </w:rPr>
              <w:t>235 067</w:t>
            </w:r>
          </w:p>
        </w:tc>
        <w:tc>
          <w:tcPr>
            <w:tcW w:w="708" w:type="dxa"/>
            <w:vAlign w:val="center"/>
          </w:tcPr>
          <w:p w:rsidR="0021028A" w:rsidRPr="00265C60" w:rsidRDefault="0021028A" w:rsidP="0021028A">
            <w:pPr>
              <w:spacing w:line="240" w:lineRule="auto"/>
              <w:ind w:firstLine="0"/>
              <w:jc w:val="center"/>
              <w:rPr>
                <w:i/>
                <w:iCs/>
                <w:sz w:val="16"/>
                <w:szCs w:val="16"/>
              </w:rPr>
            </w:pPr>
            <w:r w:rsidRPr="00265C60">
              <w:rPr>
                <w:i/>
                <w:iCs/>
                <w:sz w:val="16"/>
                <w:szCs w:val="16"/>
              </w:rPr>
              <w:t> </w:t>
            </w:r>
          </w:p>
        </w:tc>
        <w:tc>
          <w:tcPr>
            <w:tcW w:w="851" w:type="dxa"/>
            <w:vAlign w:val="center"/>
          </w:tcPr>
          <w:p w:rsidR="0021028A" w:rsidRPr="00265C60" w:rsidRDefault="0021028A" w:rsidP="0021028A">
            <w:pPr>
              <w:spacing w:line="240" w:lineRule="auto"/>
              <w:ind w:firstLine="0"/>
              <w:jc w:val="center"/>
              <w:rPr>
                <w:i/>
                <w:iCs/>
                <w:sz w:val="16"/>
                <w:szCs w:val="16"/>
              </w:rPr>
            </w:pPr>
            <w:r w:rsidRPr="00265C60">
              <w:rPr>
                <w:i/>
                <w:iCs/>
                <w:sz w:val="16"/>
                <w:szCs w:val="16"/>
              </w:rPr>
              <w:t>255 498</w:t>
            </w:r>
          </w:p>
        </w:tc>
        <w:tc>
          <w:tcPr>
            <w:tcW w:w="850" w:type="dxa"/>
            <w:vAlign w:val="center"/>
          </w:tcPr>
          <w:p w:rsidR="0021028A" w:rsidRPr="00265C60" w:rsidRDefault="0021028A" w:rsidP="0021028A">
            <w:pPr>
              <w:spacing w:line="240" w:lineRule="auto"/>
              <w:ind w:firstLine="0"/>
              <w:jc w:val="center"/>
              <w:rPr>
                <w:i/>
                <w:iCs/>
                <w:sz w:val="16"/>
                <w:szCs w:val="16"/>
              </w:rPr>
            </w:pPr>
            <w:r w:rsidRPr="00265C60">
              <w:rPr>
                <w:i/>
                <w:iCs/>
                <w:sz w:val="16"/>
                <w:szCs w:val="16"/>
              </w:rPr>
              <w:t> </w:t>
            </w:r>
          </w:p>
        </w:tc>
        <w:tc>
          <w:tcPr>
            <w:tcW w:w="851" w:type="dxa"/>
            <w:vAlign w:val="center"/>
          </w:tcPr>
          <w:p w:rsidR="0021028A" w:rsidRPr="00265C60" w:rsidRDefault="0021028A" w:rsidP="0021028A">
            <w:pPr>
              <w:spacing w:line="240" w:lineRule="auto"/>
              <w:ind w:firstLine="0"/>
              <w:jc w:val="center"/>
              <w:rPr>
                <w:i/>
                <w:iCs/>
                <w:sz w:val="16"/>
                <w:szCs w:val="16"/>
              </w:rPr>
            </w:pPr>
            <w:r w:rsidRPr="00265C60">
              <w:rPr>
                <w:i/>
                <w:iCs/>
                <w:sz w:val="16"/>
                <w:szCs w:val="16"/>
              </w:rPr>
              <w:t>276 346</w:t>
            </w:r>
          </w:p>
        </w:tc>
        <w:tc>
          <w:tcPr>
            <w:tcW w:w="850" w:type="dxa"/>
            <w:vAlign w:val="center"/>
          </w:tcPr>
          <w:p w:rsidR="0021028A" w:rsidRPr="00265C60" w:rsidRDefault="0021028A" w:rsidP="0021028A">
            <w:pPr>
              <w:spacing w:line="240" w:lineRule="auto"/>
              <w:ind w:firstLine="0"/>
              <w:jc w:val="center"/>
              <w:rPr>
                <w:i/>
                <w:iCs/>
                <w:sz w:val="16"/>
                <w:szCs w:val="16"/>
              </w:rPr>
            </w:pPr>
            <w:r w:rsidRPr="00265C60">
              <w:rPr>
                <w:i/>
                <w:iCs/>
                <w:sz w:val="16"/>
                <w:szCs w:val="16"/>
              </w:rPr>
              <w:t> </w:t>
            </w:r>
          </w:p>
        </w:tc>
      </w:tr>
    </w:tbl>
    <w:p w:rsidR="00E34B5D" w:rsidRPr="00265C60" w:rsidRDefault="00871CD7" w:rsidP="001C5AD1">
      <w:pPr>
        <w:pStyle w:val="rvps698610"/>
        <w:widowControl w:val="0"/>
        <w:tabs>
          <w:tab w:val="left" w:pos="9355"/>
        </w:tabs>
        <w:spacing w:after="0" w:line="240" w:lineRule="auto"/>
        <w:ind w:right="0"/>
        <w:rPr>
          <w:sz w:val="16"/>
          <w:szCs w:val="16"/>
        </w:rPr>
      </w:pPr>
      <w:r w:rsidRPr="00265C60">
        <w:rPr>
          <w:sz w:val="16"/>
          <w:szCs w:val="16"/>
        </w:rPr>
        <w:t>* Без учета межбюджетных трансфертов</w:t>
      </w:r>
      <w:r w:rsidR="003540C8" w:rsidRPr="00265C60">
        <w:rPr>
          <w:sz w:val="16"/>
          <w:szCs w:val="16"/>
        </w:rPr>
        <w:t xml:space="preserve"> и страховых взносов на неработающее население</w:t>
      </w:r>
      <w:r w:rsidR="00E34B5D" w:rsidRPr="00265C60">
        <w:rPr>
          <w:sz w:val="16"/>
          <w:szCs w:val="16"/>
        </w:rPr>
        <w:t>.</w:t>
      </w:r>
    </w:p>
    <w:p w:rsidR="00FA0021" w:rsidRPr="00265C60" w:rsidRDefault="00FA0021" w:rsidP="001C5AD1">
      <w:pPr>
        <w:pStyle w:val="rvps698610"/>
        <w:widowControl w:val="0"/>
        <w:tabs>
          <w:tab w:val="left" w:pos="9355"/>
        </w:tabs>
        <w:spacing w:after="0" w:line="240" w:lineRule="auto"/>
        <w:ind w:right="0"/>
        <w:rPr>
          <w:sz w:val="16"/>
          <w:szCs w:val="16"/>
        </w:rPr>
      </w:pPr>
      <w:r w:rsidRPr="00265C60">
        <w:rPr>
          <w:sz w:val="16"/>
          <w:szCs w:val="16"/>
        </w:rPr>
        <w:t xml:space="preserve">** </w:t>
      </w:r>
      <w:r w:rsidR="00B10A26">
        <w:rPr>
          <w:sz w:val="16"/>
          <w:szCs w:val="16"/>
        </w:rPr>
        <w:t xml:space="preserve">В соответствии </w:t>
      </w:r>
      <w:r w:rsidR="001876D0" w:rsidRPr="00265C60">
        <w:rPr>
          <w:sz w:val="16"/>
          <w:szCs w:val="16"/>
        </w:rPr>
        <w:t xml:space="preserve">с </w:t>
      </w:r>
      <w:r w:rsidR="006B4D84" w:rsidRPr="00265C60">
        <w:rPr>
          <w:sz w:val="16"/>
          <w:szCs w:val="16"/>
        </w:rPr>
        <w:t>материалами</w:t>
      </w:r>
      <w:r w:rsidR="009506AC" w:rsidRPr="00265C60">
        <w:rPr>
          <w:sz w:val="16"/>
          <w:szCs w:val="16"/>
        </w:rPr>
        <w:t>, представленн</w:t>
      </w:r>
      <w:r w:rsidR="006B4D84" w:rsidRPr="00265C60">
        <w:rPr>
          <w:sz w:val="16"/>
          <w:szCs w:val="16"/>
        </w:rPr>
        <w:t>ыми</w:t>
      </w:r>
      <w:r w:rsidR="009506AC" w:rsidRPr="00265C60">
        <w:rPr>
          <w:sz w:val="16"/>
          <w:szCs w:val="16"/>
        </w:rPr>
        <w:t xml:space="preserve"> одновременно с проектом федерального закона «О федеральном бюджете на 202</w:t>
      </w:r>
      <w:r w:rsidR="00195EEF" w:rsidRPr="00265C60">
        <w:rPr>
          <w:sz w:val="16"/>
          <w:szCs w:val="16"/>
        </w:rPr>
        <w:t>6</w:t>
      </w:r>
      <w:r w:rsidR="009506AC" w:rsidRPr="00265C60">
        <w:rPr>
          <w:sz w:val="16"/>
          <w:szCs w:val="16"/>
        </w:rPr>
        <w:t xml:space="preserve"> год и на плановый период 202</w:t>
      </w:r>
      <w:r w:rsidR="00195EEF" w:rsidRPr="00265C60">
        <w:rPr>
          <w:sz w:val="16"/>
          <w:szCs w:val="16"/>
        </w:rPr>
        <w:t>7</w:t>
      </w:r>
      <w:r w:rsidR="009506AC" w:rsidRPr="00265C60">
        <w:rPr>
          <w:sz w:val="16"/>
          <w:szCs w:val="16"/>
        </w:rPr>
        <w:t xml:space="preserve"> и 202</w:t>
      </w:r>
      <w:r w:rsidR="00195EEF" w:rsidRPr="00265C60">
        <w:rPr>
          <w:sz w:val="16"/>
          <w:szCs w:val="16"/>
        </w:rPr>
        <w:t>8</w:t>
      </w:r>
      <w:r w:rsidR="009506AC" w:rsidRPr="00265C60">
        <w:rPr>
          <w:sz w:val="16"/>
          <w:szCs w:val="16"/>
        </w:rPr>
        <w:t xml:space="preserve"> годов</w:t>
      </w:r>
      <w:r w:rsidR="006B4D84" w:rsidRPr="00265C60">
        <w:rPr>
          <w:sz w:val="16"/>
          <w:szCs w:val="16"/>
        </w:rPr>
        <w:t>».</w:t>
      </w:r>
    </w:p>
    <w:p w:rsidR="004E5C3A" w:rsidRPr="00265C60" w:rsidRDefault="004E5C3A" w:rsidP="00B95597">
      <w:pPr>
        <w:pStyle w:val="rvps698610"/>
        <w:tabs>
          <w:tab w:val="left" w:pos="9355"/>
        </w:tabs>
        <w:spacing w:after="0"/>
        <w:ind w:right="0"/>
        <w:rPr>
          <w:sz w:val="10"/>
        </w:rPr>
      </w:pPr>
    </w:p>
    <w:p w:rsidR="003E7871" w:rsidRPr="00265C60" w:rsidRDefault="0021028A" w:rsidP="00B95597">
      <w:pPr>
        <w:pStyle w:val="rvps698610"/>
        <w:tabs>
          <w:tab w:val="left" w:pos="9355"/>
        </w:tabs>
        <w:spacing w:after="0"/>
        <w:ind w:right="0"/>
      </w:pPr>
      <w:r w:rsidRPr="00265C60">
        <w:t>Д</w:t>
      </w:r>
      <w:r w:rsidR="00C468D5" w:rsidRPr="00265C60">
        <w:t xml:space="preserve">инамика основных параметров бюджетной системы </w:t>
      </w:r>
      <w:r w:rsidRPr="00265C60">
        <w:t xml:space="preserve">в 2025–2028 годах </w:t>
      </w:r>
      <w:r w:rsidR="00C468D5" w:rsidRPr="00265C60">
        <w:t>характеризуется</w:t>
      </w:r>
      <w:r w:rsidRPr="00265C60">
        <w:t xml:space="preserve">: </w:t>
      </w:r>
    </w:p>
    <w:p w:rsidR="003E7871" w:rsidRPr="00265C60" w:rsidRDefault="0021028A" w:rsidP="00B95597">
      <w:pPr>
        <w:pStyle w:val="rvps698610"/>
        <w:tabs>
          <w:tab w:val="left" w:pos="9355"/>
        </w:tabs>
        <w:spacing w:after="0"/>
        <w:ind w:right="0"/>
      </w:pPr>
      <w:r w:rsidRPr="00265C60">
        <w:rPr>
          <w:b/>
        </w:rPr>
        <w:t>по доходам</w:t>
      </w:r>
      <w:r w:rsidRPr="00265C60">
        <w:t xml:space="preserve"> </w:t>
      </w:r>
      <w:r w:rsidRPr="00265C60">
        <w:rPr>
          <w:b/>
        </w:rPr>
        <w:t>сохранением</w:t>
      </w:r>
      <w:r w:rsidRPr="00265C60">
        <w:t xml:space="preserve"> доли в ВВП в 2026 году на уровне 2025 года и дальнейш</w:t>
      </w:r>
      <w:r w:rsidR="003E7871" w:rsidRPr="00265C60">
        <w:t>и</w:t>
      </w:r>
      <w:r w:rsidRPr="00265C60">
        <w:t xml:space="preserve">м </w:t>
      </w:r>
      <w:r w:rsidR="003E7871" w:rsidRPr="00265C60">
        <w:rPr>
          <w:b/>
        </w:rPr>
        <w:t>ежегодным</w:t>
      </w:r>
      <w:r w:rsidRPr="00265C60">
        <w:rPr>
          <w:b/>
        </w:rPr>
        <w:t xml:space="preserve"> снижени</w:t>
      </w:r>
      <w:r w:rsidR="003E7871" w:rsidRPr="00265C60">
        <w:rPr>
          <w:b/>
        </w:rPr>
        <w:t>ем</w:t>
      </w:r>
      <w:r w:rsidRPr="00265C60">
        <w:t xml:space="preserve"> в </w:t>
      </w:r>
      <w:r w:rsidR="003E7871" w:rsidRPr="00265C60">
        <w:t>2027–2028 годах по сравнению с предыдущим годом;</w:t>
      </w:r>
    </w:p>
    <w:p w:rsidR="003E7871" w:rsidRPr="00265C60" w:rsidRDefault="003E7871" w:rsidP="00B95597">
      <w:pPr>
        <w:pStyle w:val="rvps698610"/>
        <w:tabs>
          <w:tab w:val="left" w:pos="9355"/>
        </w:tabs>
        <w:spacing w:after="0"/>
        <w:ind w:right="0"/>
      </w:pPr>
      <w:r w:rsidRPr="00265C60">
        <w:rPr>
          <w:b/>
        </w:rPr>
        <w:t>по расходам</w:t>
      </w:r>
      <w:r w:rsidR="00C468D5" w:rsidRPr="00265C60">
        <w:t xml:space="preserve"> </w:t>
      </w:r>
      <w:r w:rsidRPr="00265C60">
        <w:t xml:space="preserve">ежегодным </w:t>
      </w:r>
      <w:r w:rsidR="0021028A" w:rsidRPr="00265C60">
        <w:rPr>
          <w:b/>
        </w:rPr>
        <w:t>снижением</w:t>
      </w:r>
      <w:r w:rsidR="00C468D5" w:rsidRPr="00265C60">
        <w:rPr>
          <w:b/>
        </w:rPr>
        <w:t xml:space="preserve"> доли </w:t>
      </w:r>
      <w:r w:rsidR="0021028A" w:rsidRPr="00265C60">
        <w:t>в ВВП</w:t>
      </w:r>
      <w:r w:rsidR="0021028A" w:rsidRPr="00265C60">
        <w:rPr>
          <w:b/>
        </w:rPr>
        <w:t xml:space="preserve"> </w:t>
      </w:r>
      <w:r w:rsidR="0021028A" w:rsidRPr="00265C60">
        <w:t>в 202</w:t>
      </w:r>
      <w:r w:rsidRPr="00265C60">
        <w:t>6–2028 годах</w:t>
      </w:r>
      <w:r w:rsidR="0021028A" w:rsidRPr="00265C60">
        <w:t xml:space="preserve"> </w:t>
      </w:r>
      <w:r w:rsidRPr="00265C60">
        <w:t>по сравнению с</w:t>
      </w:r>
      <w:r w:rsidR="00BD42C1">
        <w:t> </w:t>
      </w:r>
      <w:r w:rsidRPr="00265C60">
        <w:t>предыдущим годом.</w:t>
      </w:r>
    </w:p>
    <w:p w:rsidR="00C468D5" w:rsidRPr="00265C60" w:rsidRDefault="00375DB8" w:rsidP="00B95597">
      <w:pPr>
        <w:pStyle w:val="rvps698610"/>
        <w:tabs>
          <w:tab w:val="left" w:pos="9355"/>
        </w:tabs>
        <w:spacing w:after="0"/>
        <w:ind w:right="0"/>
      </w:pPr>
      <w:r w:rsidRPr="00265C60">
        <w:lastRenderedPageBreak/>
        <w:t>Такая динамика обусловлена в</w:t>
      </w:r>
      <w:r w:rsidR="000C0B70" w:rsidRPr="00265C60">
        <w:t> </w:t>
      </w:r>
      <w:r w:rsidRPr="00265C60">
        <w:t xml:space="preserve">основном планируемыми параметрами проекта федерального бюджета и бюджетов государственных внебюджетных фондов Российской Федерации. </w:t>
      </w:r>
    </w:p>
    <w:p w:rsidR="005654C8" w:rsidRPr="00265C60" w:rsidRDefault="000F55BE" w:rsidP="00706FB7">
      <w:pPr>
        <w:pStyle w:val="rvps698610"/>
        <w:widowControl w:val="0"/>
        <w:tabs>
          <w:tab w:val="left" w:pos="9355"/>
        </w:tabs>
        <w:spacing w:after="0"/>
        <w:ind w:right="0"/>
      </w:pPr>
      <w:r w:rsidRPr="00265C60">
        <w:t>Дефицит бюджетов бюджетной системы Российской Федерации планируется</w:t>
      </w:r>
      <w:r w:rsidR="000C0B70" w:rsidRPr="00265C60">
        <w:br/>
      </w:r>
      <w:r w:rsidRPr="00265C60">
        <w:t>в 202</w:t>
      </w:r>
      <w:r w:rsidR="003E7871" w:rsidRPr="00265C60">
        <w:t>6</w:t>
      </w:r>
      <w:r w:rsidRPr="00265C60">
        <w:t xml:space="preserve"> году с</w:t>
      </w:r>
      <w:r w:rsidR="000C275D" w:rsidRPr="00265C60">
        <w:t>о снижением</w:t>
      </w:r>
      <w:r w:rsidRPr="00265C60">
        <w:t xml:space="preserve"> </w:t>
      </w:r>
      <w:r w:rsidR="003E7871" w:rsidRPr="00265C60">
        <w:t>на 42 %</w:t>
      </w:r>
      <w:r w:rsidRPr="00265C60">
        <w:t xml:space="preserve"> по сравнению с 202</w:t>
      </w:r>
      <w:r w:rsidR="003E7871" w:rsidRPr="00265C60">
        <w:t>5</w:t>
      </w:r>
      <w:r w:rsidRPr="00265C60">
        <w:t xml:space="preserve"> год</w:t>
      </w:r>
      <w:r w:rsidR="000C275D" w:rsidRPr="00265C60">
        <w:t>ом</w:t>
      </w:r>
      <w:r w:rsidRPr="00265C60">
        <w:t>, в 202</w:t>
      </w:r>
      <w:r w:rsidR="003E7871" w:rsidRPr="00265C60">
        <w:t>7 году со снижением на</w:t>
      </w:r>
      <w:r w:rsidR="00BD42C1">
        <w:t> </w:t>
      </w:r>
      <w:r w:rsidR="003E7871" w:rsidRPr="00265C60">
        <w:t xml:space="preserve">16 % по сравнению с 2026 годом, в 2028 году </w:t>
      </w:r>
      <w:r w:rsidR="000C275D" w:rsidRPr="00265C60">
        <w:t>с увеличением</w:t>
      </w:r>
      <w:r w:rsidRPr="00265C60">
        <w:t xml:space="preserve"> </w:t>
      </w:r>
      <w:r w:rsidR="003E7871" w:rsidRPr="00265C60">
        <w:t xml:space="preserve">на 6 % </w:t>
      </w:r>
      <w:r w:rsidRPr="00265C60">
        <w:t>по сравнению с</w:t>
      </w:r>
      <w:r w:rsidR="00BD42C1">
        <w:t> </w:t>
      </w:r>
      <w:r w:rsidR="003E7871" w:rsidRPr="00265C60">
        <w:t>2027</w:t>
      </w:r>
      <w:r w:rsidR="00BD42C1">
        <w:t> </w:t>
      </w:r>
      <w:r w:rsidRPr="00265C60">
        <w:t>годом.</w:t>
      </w:r>
    </w:p>
    <w:p w:rsidR="00706FB7" w:rsidRPr="00265C60" w:rsidRDefault="00961CF6" w:rsidP="00706FB7">
      <w:pPr>
        <w:pStyle w:val="rvps698610"/>
        <w:widowControl w:val="0"/>
        <w:tabs>
          <w:tab w:val="left" w:pos="9355"/>
        </w:tabs>
        <w:spacing w:after="0"/>
        <w:ind w:right="0"/>
      </w:pPr>
      <w:r w:rsidRPr="00265C60">
        <w:t xml:space="preserve">Информация о </w:t>
      </w:r>
      <w:r w:rsidR="00443201" w:rsidRPr="00265C60">
        <w:t>структуре</w:t>
      </w:r>
      <w:r w:rsidRPr="00265C60">
        <w:t xml:space="preserve"> </w:t>
      </w:r>
      <w:r w:rsidR="00EB7435" w:rsidRPr="00265C60">
        <w:t>расходов</w:t>
      </w:r>
      <w:r w:rsidR="00706FB7" w:rsidRPr="00265C60">
        <w:t xml:space="preserve"> бюджетов бюджетной системы Российской Федерации по разделам классификации расходов бюджетов</w:t>
      </w:r>
      <w:r w:rsidR="00EB7435" w:rsidRPr="00265C60">
        <w:t>, а также их доли в ВВП</w:t>
      </w:r>
      <w:r w:rsidR="00706FB7" w:rsidRPr="00265C60">
        <w:t xml:space="preserve"> на 20</w:t>
      </w:r>
      <w:r w:rsidR="00830F18" w:rsidRPr="00265C60">
        <w:t>2</w:t>
      </w:r>
      <w:r w:rsidR="00BD68E9" w:rsidRPr="00265C60">
        <w:t>6</w:t>
      </w:r>
      <w:r w:rsidR="00EB7DD6" w:rsidRPr="00265C60">
        <w:t>–</w:t>
      </w:r>
      <w:r w:rsidR="00706FB7" w:rsidRPr="00265C60">
        <w:t>202</w:t>
      </w:r>
      <w:r w:rsidR="00BD68E9" w:rsidRPr="00265C60">
        <w:t>8</w:t>
      </w:r>
      <w:r w:rsidR="00706FB7" w:rsidRPr="00265C60">
        <w:t xml:space="preserve"> годы представлен</w:t>
      </w:r>
      <w:r w:rsidR="001C5AD1" w:rsidRPr="00265C60">
        <w:t>а</w:t>
      </w:r>
      <w:r w:rsidR="00706FB7" w:rsidRPr="00265C60">
        <w:t xml:space="preserve"> в следующей таблице.</w:t>
      </w:r>
    </w:p>
    <w:tbl>
      <w:tblPr>
        <w:tblStyle w:val="aff4"/>
        <w:tblW w:w="10260" w:type="dxa"/>
        <w:jc w:val="center"/>
        <w:tblLook w:val="04A0" w:firstRow="1" w:lastRow="0" w:firstColumn="1" w:lastColumn="0" w:noHBand="0" w:noVBand="1"/>
      </w:tblPr>
      <w:tblGrid>
        <w:gridCol w:w="2530"/>
        <w:gridCol w:w="864"/>
        <w:gridCol w:w="930"/>
        <w:gridCol w:w="744"/>
        <w:gridCol w:w="844"/>
        <w:gridCol w:w="930"/>
        <w:gridCol w:w="783"/>
        <w:gridCol w:w="844"/>
        <w:gridCol w:w="930"/>
        <w:gridCol w:w="861"/>
      </w:tblGrid>
      <w:tr w:rsidR="00BD68E9" w:rsidRPr="00265C60" w:rsidTr="009D32A7">
        <w:trPr>
          <w:trHeight w:val="129"/>
          <w:jc w:val="center"/>
        </w:trPr>
        <w:tc>
          <w:tcPr>
            <w:tcW w:w="2530" w:type="dxa"/>
            <w:vMerge w:val="restart"/>
            <w:hideMark/>
          </w:tcPr>
          <w:p w:rsidR="008F7B69" w:rsidRPr="00265C60" w:rsidRDefault="008F7B69" w:rsidP="008F7B69">
            <w:pPr>
              <w:pStyle w:val="rvps698610"/>
              <w:widowControl w:val="0"/>
              <w:tabs>
                <w:tab w:val="left" w:pos="9355"/>
              </w:tabs>
              <w:spacing w:after="0" w:line="240" w:lineRule="auto"/>
              <w:ind w:right="0" w:firstLine="0"/>
              <w:jc w:val="center"/>
              <w:rPr>
                <w:b/>
                <w:sz w:val="20"/>
                <w:szCs w:val="20"/>
              </w:rPr>
            </w:pPr>
            <w:r w:rsidRPr="00265C60">
              <w:rPr>
                <w:b/>
                <w:sz w:val="20"/>
                <w:szCs w:val="20"/>
              </w:rPr>
              <w:t>Наименование</w:t>
            </w:r>
          </w:p>
        </w:tc>
        <w:tc>
          <w:tcPr>
            <w:tcW w:w="2538" w:type="dxa"/>
            <w:gridSpan w:val="3"/>
            <w:hideMark/>
          </w:tcPr>
          <w:p w:rsidR="008F7B69" w:rsidRPr="00265C60" w:rsidRDefault="008F7B69" w:rsidP="0036535D">
            <w:pPr>
              <w:pStyle w:val="rvps698610"/>
              <w:widowControl w:val="0"/>
              <w:tabs>
                <w:tab w:val="left" w:pos="9355"/>
              </w:tabs>
              <w:spacing w:after="0" w:line="240" w:lineRule="auto"/>
              <w:ind w:right="0" w:firstLine="0"/>
              <w:jc w:val="center"/>
              <w:rPr>
                <w:b/>
                <w:sz w:val="20"/>
                <w:szCs w:val="20"/>
              </w:rPr>
            </w:pPr>
            <w:r w:rsidRPr="00265C60">
              <w:rPr>
                <w:b/>
                <w:sz w:val="20"/>
                <w:szCs w:val="20"/>
              </w:rPr>
              <w:t>202</w:t>
            </w:r>
            <w:r w:rsidR="0036535D">
              <w:rPr>
                <w:b/>
                <w:sz w:val="20"/>
                <w:szCs w:val="20"/>
              </w:rPr>
              <w:t>6</w:t>
            </w:r>
            <w:r w:rsidRPr="00265C60">
              <w:rPr>
                <w:b/>
                <w:sz w:val="20"/>
                <w:szCs w:val="20"/>
              </w:rPr>
              <w:t xml:space="preserve"> год</w:t>
            </w:r>
            <w:r w:rsidR="00F01CC9" w:rsidRPr="00265C60">
              <w:rPr>
                <w:b/>
                <w:sz w:val="20"/>
                <w:szCs w:val="20"/>
              </w:rPr>
              <w:t>*</w:t>
            </w:r>
          </w:p>
        </w:tc>
        <w:tc>
          <w:tcPr>
            <w:tcW w:w="2557" w:type="dxa"/>
            <w:gridSpan w:val="3"/>
            <w:hideMark/>
          </w:tcPr>
          <w:p w:rsidR="008F7B69" w:rsidRPr="00265C60" w:rsidRDefault="008F7B69" w:rsidP="0036535D">
            <w:pPr>
              <w:pStyle w:val="rvps698610"/>
              <w:widowControl w:val="0"/>
              <w:tabs>
                <w:tab w:val="left" w:pos="9355"/>
              </w:tabs>
              <w:spacing w:after="0" w:line="240" w:lineRule="auto"/>
              <w:ind w:right="0" w:firstLine="0"/>
              <w:jc w:val="center"/>
              <w:rPr>
                <w:b/>
                <w:sz w:val="20"/>
                <w:szCs w:val="20"/>
              </w:rPr>
            </w:pPr>
            <w:r w:rsidRPr="00265C60">
              <w:rPr>
                <w:b/>
                <w:sz w:val="20"/>
                <w:szCs w:val="20"/>
              </w:rPr>
              <w:t>202</w:t>
            </w:r>
            <w:r w:rsidR="0036535D">
              <w:rPr>
                <w:b/>
                <w:sz w:val="20"/>
                <w:szCs w:val="20"/>
              </w:rPr>
              <w:t>7</w:t>
            </w:r>
            <w:r w:rsidRPr="00265C60">
              <w:rPr>
                <w:b/>
                <w:sz w:val="20"/>
                <w:szCs w:val="20"/>
              </w:rPr>
              <w:t xml:space="preserve"> год</w:t>
            </w:r>
            <w:r w:rsidR="00F01CC9" w:rsidRPr="00265C60">
              <w:rPr>
                <w:b/>
                <w:sz w:val="20"/>
                <w:szCs w:val="20"/>
              </w:rPr>
              <w:t>*</w:t>
            </w:r>
          </w:p>
        </w:tc>
        <w:tc>
          <w:tcPr>
            <w:tcW w:w="2635" w:type="dxa"/>
            <w:gridSpan w:val="3"/>
            <w:hideMark/>
          </w:tcPr>
          <w:p w:rsidR="008F7B69" w:rsidRPr="00265C60" w:rsidRDefault="008F7B69" w:rsidP="0036535D">
            <w:pPr>
              <w:pStyle w:val="rvps698610"/>
              <w:widowControl w:val="0"/>
              <w:tabs>
                <w:tab w:val="left" w:pos="9355"/>
              </w:tabs>
              <w:spacing w:after="0" w:line="240" w:lineRule="auto"/>
              <w:ind w:right="0" w:firstLine="0"/>
              <w:jc w:val="center"/>
              <w:rPr>
                <w:b/>
                <w:sz w:val="20"/>
                <w:szCs w:val="20"/>
              </w:rPr>
            </w:pPr>
            <w:r w:rsidRPr="00265C60">
              <w:rPr>
                <w:b/>
                <w:sz w:val="20"/>
                <w:szCs w:val="20"/>
              </w:rPr>
              <w:t>202</w:t>
            </w:r>
            <w:r w:rsidR="0036535D">
              <w:rPr>
                <w:b/>
                <w:sz w:val="20"/>
                <w:szCs w:val="20"/>
              </w:rPr>
              <w:t xml:space="preserve">8 </w:t>
            </w:r>
            <w:r w:rsidRPr="00265C60">
              <w:rPr>
                <w:b/>
                <w:sz w:val="20"/>
                <w:szCs w:val="20"/>
              </w:rPr>
              <w:t>год</w:t>
            </w:r>
            <w:r w:rsidR="00F01CC9" w:rsidRPr="00265C60">
              <w:rPr>
                <w:b/>
                <w:sz w:val="20"/>
                <w:szCs w:val="20"/>
              </w:rPr>
              <w:t>*</w:t>
            </w:r>
          </w:p>
        </w:tc>
      </w:tr>
      <w:tr w:rsidR="00BD68E9" w:rsidRPr="00265C60" w:rsidTr="009D32A7">
        <w:trPr>
          <w:trHeight w:val="765"/>
          <w:jc w:val="center"/>
        </w:trPr>
        <w:tc>
          <w:tcPr>
            <w:tcW w:w="2530" w:type="dxa"/>
            <w:vMerge/>
            <w:hideMark/>
          </w:tcPr>
          <w:p w:rsidR="008F7B69" w:rsidRPr="00265C60" w:rsidRDefault="008F7B69" w:rsidP="008F7B69">
            <w:pPr>
              <w:pStyle w:val="rvps698610"/>
              <w:widowControl w:val="0"/>
              <w:tabs>
                <w:tab w:val="left" w:pos="9355"/>
              </w:tabs>
              <w:spacing w:after="0" w:line="240" w:lineRule="auto"/>
              <w:ind w:right="0" w:firstLine="0"/>
              <w:rPr>
                <w:b/>
                <w:sz w:val="20"/>
                <w:szCs w:val="20"/>
              </w:rPr>
            </w:pPr>
          </w:p>
        </w:tc>
        <w:tc>
          <w:tcPr>
            <w:tcW w:w="864" w:type="dxa"/>
            <w:hideMark/>
          </w:tcPr>
          <w:p w:rsidR="008F7B69" w:rsidRPr="00265C60" w:rsidRDefault="00BD42C1" w:rsidP="00685E6E">
            <w:pPr>
              <w:pStyle w:val="rvps698610"/>
              <w:widowControl w:val="0"/>
              <w:tabs>
                <w:tab w:val="left" w:pos="9355"/>
              </w:tabs>
              <w:spacing w:after="0" w:line="240" w:lineRule="auto"/>
              <w:ind w:right="0" w:firstLine="0"/>
              <w:jc w:val="center"/>
              <w:rPr>
                <w:b/>
                <w:sz w:val="20"/>
                <w:szCs w:val="20"/>
              </w:rPr>
            </w:pPr>
            <w:r>
              <w:rPr>
                <w:b/>
                <w:sz w:val="20"/>
                <w:szCs w:val="20"/>
              </w:rPr>
              <w:t>млрд</w:t>
            </w:r>
            <w:r w:rsidR="008F7B69" w:rsidRPr="00265C60">
              <w:rPr>
                <w:b/>
                <w:sz w:val="20"/>
                <w:szCs w:val="20"/>
              </w:rPr>
              <w:t xml:space="preserve"> рублей</w:t>
            </w:r>
          </w:p>
        </w:tc>
        <w:tc>
          <w:tcPr>
            <w:tcW w:w="930" w:type="dxa"/>
            <w:hideMark/>
          </w:tcPr>
          <w:p w:rsidR="008F7B69" w:rsidRPr="00265C60" w:rsidRDefault="008F7B69" w:rsidP="00685E6E">
            <w:pPr>
              <w:pStyle w:val="rvps698610"/>
              <w:widowControl w:val="0"/>
              <w:tabs>
                <w:tab w:val="left" w:pos="9355"/>
              </w:tabs>
              <w:spacing w:after="0" w:line="240" w:lineRule="auto"/>
              <w:ind w:right="0" w:firstLine="0"/>
              <w:jc w:val="center"/>
              <w:rPr>
                <w:b/>
                <w:iCs/>
                <w:sz w:val="20"/>
                <w:szCs w:val="20"/>
              </w:rPr>
            </w:pPr>
            <w:r w:rsidRPr="00265C60">
              <w:rPr>
                <w:b/>
                <w:iCs/>
                <w:sz w:val="20"/>
                <w:szCs w:val="20"/>
              </w:rPr>
              <w:t>в % к общему объему</w:t>
            </w:r>
          </w:p>
        </w:tc>
        <w:tc>
          <w:tcPr>
            <w:tcW w:w="744" w:type="dxa"/>
            <w:hideMark/>
          </w:tcPr>
          <w:p w:rsidR="008F7B69" w:rsidRPr="00265C60" w:rsidRDefault="00F01CC9" w:rsidP="00685E6E">
            <w:pPr>
              <w:pStyle w:val="rvps698610"/>
              <w:widowControl w:val="0"/>
              <w:tabs>
                <w:tab w:val="left" w:pos="9355"/>
              </w:tabs>
              <w:spacing w:after="0" w:line="240" w:lineRule="auto"/>
              <w:ind w:right="0" w:firstLine="0"/>
              <w:jc w:val="center"/>
              <w:rPr>
                <w:b/>
                <w:iCs/>
                <w:sz w:val="20"/>
                <w:szCs w:val="20"/>
              </w:rPr>
            </w:pPr>
            <w:r w:rsidRPr="00265C60">
              <w:rPr>
                <w:b/>
                <w:iCs/>
                <w:sz w:val="20"/>
                <w:szCs w:val="20"/>
              </w:rPr>
              <w:t xml:space="preserve">доля </w:t>
            </w:r>
            <w:r w:rsidR="00685E6E" w:rsidRPr="00265C60">
              <w:rPr>
                <w:b/>
                <w:iCs/>
                <w:sz w:val="20"/>
                <w:szCs w:val="20"/>
              </w:rPr>
              <w:t>в ВВП, %</w:t>
            </w:r>
          </w:p>
        </w:tc>
        <w:tc>
          <w:tcPr>
            <w:tcW w:w="844" w:type="dxa"/>
            <w:hideMark/>
          </w:tcPr>
          <w:p w:rsidR="008F7B69" w:rsidRPr="00265C60" w:rsidRDefault="008F7B69" w:rsidP="00BD42C1">
            <w:pPr>
              <w:pStyle w:val="rvps698610"/>
              <w:widowControl w:val="0"/>
              <w:tabs>
                <w:tab w:val="left" w:pos="9355"/>
              </w:tabs>
              <w:spacing w:after="0" w:line="240" w:lineRule="auto"/>
              <w:ind w:right="0" w:firstLine="0"/>
              <w:jc w:val="center"/>
              <w:rPr>
                <w:b/>
                <w:sz w:val="20"/>
                <w:szCs w:val="20"/>
              </w:rPr>
            </w:pPr>
            <w:r w:rsidRPr="00265C60">
              <w:rPr>
                <w:b/>
                <w:sz w:val="20"/>
                <w:szCs w:val="20"/>
              </w:rPr>
              <w:t>млрд рублей</w:t>
            </w:r>
          </w:p>
        </w:tc>
        <w:tc>
          <w:tcPr>
            <w:tcW w:w="930" w:type="dxa"/>
            <w:hideMark/>
          </w:tcPr>
          <w:p w:rsidR="008F7B69" w:rsidRPr="00265C60" w:rsidRDefault="008F7B69" w:rsidP="00685E6E">
            <w:pPr>
              <w:pStyle w:val="rvps698610"/>
              <w:widowControl w:val="0"/>
              <w:tabs>
                <w:tab w:val="left" w:pos="9355"/>
              </w:tabs>
              <w:spacing w:after="0" w:line="240" w:lineRule="auto"/>
              <w:ind w:right="0" w:firstLine="0"/>
              <w:jc w:val="center"/>
              <w:rPr>
                <w:b/>
                <w:iCs/>
                <w:sz w:val="20"/>
                <w:szCs w:val="20"/>
              </w:rPr>
            </w:pPr>
            <w:r w:rsidRPr="00265C60">
              <w:rPr>
                <w:b/>
                <w:iCs/>
                <w:sz w:val="20"/>
                <w:szCs w:val="20"/>
              </w:rPr>
              <w:t>в % к общему объему</w:t>
            </w:r>
          </w:p>
        </w:tc>
        <w:tc>
          <w:tcPr>
            <w:tcW w:w="783" w:type="dxa"/>
            <w:hideMark/>
          </w:tcPr>
          <w:p w:rsidR="008F7B69" w:rsidRPr="00265C60" w:rsidRDefault="00685E6E" w:rsidP="00685E6E">
            <w:pPr>
              <w:pStyle w:val="rvps698610"/>
              <w:widowControl w:val="0"/>
              <w:tabs>
                <w:tab w:val="left" w:pos="9355"/>
              </w:tabs>
              <w:spacing w:after="0" w:line="240" w:lineRule="auto"/>
              <w:ind w:right="0" w:firstLine="0"/>
              <w:jc w:val="center"/>
              <w:rPr>
                <w:b/>
                <w:iCs/>
                <w:sz w:val="20"/>
                <w:szCs w:val="20"/>
              </w:rPr>
            </w:pPr>
            <w:r w:rsidRPr="00265C60">
              <w:rPr>
                <w:b/>
                <w:iCs/>
                <w:sz w:val="20"/>
                <w:szCs w:val="20"/>
              </w:rPr>
              <w:t>доля в ВВП, %</w:t>
            </w:r>
          </w:p>
        </w:tc>
        <w:tc>
          <w:tcPr>
            <w:tcW w:w="844" w:type="dxa"/>
            <w:hideMark/>
          </w:tcPr>
          <w:p w:rsidR="008F7B69" w:rsidRPr="00265C60" w:rsidRDefault="008F7B69" w:rsidP="00BD42C1">
            <w:pPr>
              <w:pStyle w:val="rvps698610"/>
              <w:widowControl w:val="0"/>
              <w:tabs>
                <w:tab w:val="left" w:pos="9355"/>
              </w:tabs>
              <w:spacing w:after="0" w:line="240" w:lineRule="auto"/>
              <w:ind w:right="0" w:firstLine="0"/>
              <w:jc w:val="center"/>
              <w:rPr>
                <w:b/>
                <w:sz w:val="20"/>
                <w:szCs w:val="20"/>
              </w:rPr>
            </w:pPr>
            <w:r w:rsidRPr="00265C60">
              <w:rPr>
                <w:b/>
                <w:sz w:val="20"/>
                <w:szCs w:val="20"/>
              </w:rPr>
              <w:t>млрд рублей</w:t>
            </w:r>
          </w:p>
        </w:tc>
        <w:tc>
          <w:tcPr>
            <w:tcW w:w="930" w:type="dxa"/>
            <w:hideMark/>
          </w:tcPr>
          <w:p w:rsidR="008F7B69" w:rsidRPr="00265C60" w:rsidRDefault="008F7B69" w:rsidP="00685E6E">
            <w:pPr>
              <w:pStyle w:val="rvps698610"/>
              <w:widowControl w:val="0"/>
              <w:tabs>
                <w:tab w:val="left" w:pos="9355"/>
              </w:tabs>
              <w:spacing w:after="0" w:line="240" w:lineRule="auto"/>
              <w:ind w:right="0" w:firstLine="0"/>
              <w:jc w:val="center"/>
              <w:rPr>
                <w:b/>
                <w:iCs/>
                <w:sz w:val="20"/>
                <w:szCs w:val="20"/>
              </w:rPr>
            </w:pPr>
            <w:r w:rsidRPr="00265C60">
              <w:rPr>
                <w:b/>
                <w:iCs/>
                <w:sz w:val="20"/>
                <w:szCs w:val="20"/>
              </w:rPr>
              <w:t>в % к общему объему</w:t>
            </w:r>
          </w:p>
        </w:tc>
        <w:tc>
          <w:tcPr>
            <w:tcW w:w="861" w:type="dxa"/>
            <w:hideMark/>
          </w:tcPr>
          <w:p w:rsidR="008F7B69" w:rsidRPr="00265C60" w:rsidRDefault="00685E6E" w:rsidP="00685E6E">
            <w:pPr>
              <w:pStyle w:val="rvps698610"/>
              <w:widowControl w:val="0"/>
              <w:tabs>
                <w:tab w:val="left" w:pos="9355"/>
              </w:tabs>
              <w:spacing w:after="0" w:line="240" w:lineRule="auto"/>
              <w:ind w:right="0" w:firstLine="0"/>
              <w:jc w:val="center"/>
              <w:rPr>
                <w:b/>
                <w:iCs/>
                <w:sz w:val="20"/>
                <w:szCs w:val="20"/>
              </w:rPr>
            </w:pPr>
            <w:r w:rsidRPr="00265C60">
              <w:rPr>
                <w:b/>
                <w:iCs/>
                <w:sz w:val="20"/>
                <w:szCs w:val="20"/>
              </w:rPr>
              <w:t>доля в ВВП, %</w:t>
            </w:r>
          </w:p>
        </w:tc>
      </w:tr>
      <w:tr w:rsidR="00BD68E9" w:rsidRPr="00265C60" w:rsidTr="009D32A7">
        <w:trPr>
          <w:trHeight w:val="315"/>
          <w:jc w:val="center"/>
        </w:trPr>
        <w:tc>
          <w:tcPr>
            <w:tcW w:w="2530" w:type="dxa"/>
            <w:hideMark/>
          </w:tcPr>
          <w:p w:rsidR="00BD68E9" w:rsidRPr="00265C60" w:rsidRDefault="00BD68E9" w:rsidP="008F7B69">
            <w:pPr>
              <w:pStyle w:val="rvps698610"/>
              <w:widowControl w:val="0"/>
              <w:tabs>
                <w:tab w:val="left" w:pos="9355"/>
              </w:tabs>
              <w:spacing w:after="0" w:line="240" w:lineRule="auto"/>
              <w:ind w:right="0" w:firstLine="0"/>
              <w:rPr>
                <w:b/>
                <w:sz w:val="20"/>
                <w:szCs w:val="20"/>
              </w:rPr>
            </w:pPr>
            <w:r w:rsidRPr="00265C60">
              <w:rPr>
                <w:b/>
                <w:sz w:val="20"/>
                <w:szCs w:val="20"/>
              </w:rPr>
              <w:t>Расходы, всего</w:t>
            </w:r>
          </w:p>
        </w:tc>
        <w:tc>
          <w:tcPr>
            <w:tcW w:w="864" w:type="dxa"/>
            <w:hideMark/>
          </w:tcPr>
          <w:p w:rsidR="00BD68E9" w:rsidRPr="00265C60" w:rsidRDefault="00BD68E9" w:rsidP="00BD68E9">
            <w:pPr>
              <w:spacing w:line="240" w:lineRule="auto"/>
              <w:ind w:firstLine="0"/>
              <w:jc w:val="center"/>
              <w:rPr>
                <w:b/>
                <w:sz w:val="20"/>
                <w:szCs w:val="20"/>
              </w:rPr>
            </w:pPr>
            <w:r w:rsidRPr="00265C60">
              <w:rPr>
                <w:b/>
                <w:sz w:val="20"/>
                <w:szCs w:val="20"/>
              </w:rPr>
              <w:t>83 814</w:t>
            </w:r>
          </w:p>
        </w:tc>
        <w:tc>
          <w:tcPr>
            <w:tcW w:w="930" w:type="dxa"/>
            <w:hideMark/>
          </w:tcPr>
          <w:p w:rsidR="00BD68E9" w:rsidRPr="00265C60" w:rsidRDefault="00BD68E9" w:rsidP="00BD68E9">
            <w:pPr>
              <w:spacing w:line="240" w:lineRule="auto"/>
              <w:ind w:firstLine="0"/>
              <w:jc w:val="center"/>
              <w:rPr>
                <w:b/>
                <w:sz w:val="20"/>
                <w:szCs w:val="20"/>
              </w:rPr>
            </w:pPr>
            <w:r w:rsidRPr="00265C60">
              <w:rPr>
                <w:b/>
                <w:sz w:val="20"/>
                <w:szCs w:val="20"/>
              </w:rPr>
              <w:t>100,0</w:t>
            </w:r>
          </w:p>
        </w:tc>
        <w:tc>
          <w:tcPr>
            <w:tcW w:w="744" w:type="dxa"/>
            <w:hideMark/>
          </w:tcPr>
          <w:p w:rsidR="00BD68E9" w:rsidRPr="00265C60" w:rsidRDefault="00BD68E9" w:rsidP="00BD68E9">
            <w:pPr>
              <w:spacing w:line="240" w:lineRule="auto"/>
              <w:ind w:firstLine="0"/>
              <w:jc w:val="center"/>
              <w:rPr>
                <w:b/>
                <w:sz w:val="20"/>
                <w:szCs w:val="20"/>
              </w:rPr>
            </w:pPr>
            <w:r w:rsidRPr="00265C60">
              <w:rPr>
                <w:b/>
                <w:sz w:val="20"/>
                <w:szCs w:val="20"/>
              </w:rPr>
              <w:t>35,7</w:t>
            </w:r>
          </w:p>
        </w:tc>
        <w:tc>
          <w:tcPr>
            <w:tcW w:w="844" w:type="dxa"/>
            <w:hideMark/>
          </w:tcPr>
          <w:p w:rsidR="00BD68E9" w:rsidRPr="00265C60" w:rsidRDefault="00BD68E9" w:rsidP="00BD68E9">
            <w:pPr>
              <w:spacing w:line="240" w:lineRule="auto"/>
              <w:ind w:firstLine="0"/>
              <w:jc w:val="center"/>
              <w:rPr>
                <w:b/>
                <w:sz w:val="20"/>
                <w:szCs w:val="20"/>
              </w:rPr>
            </w:pPr>
            <w:r w:rsidRPr="00265C60">
              <w:rPr>
                <w:b/>
                <w:sz w:val="20"/>
                <w:szCs w:val="20"/>
              </w:rPr>
              <w:t>89 016</w:t>
            </w:r>
          </w:p>
        </w:tc>
        <w:tc>
          <w:tcPr>
            <w:tcW w:w="930" w:type="dxa"/>
            <w:hideMark/>
          </w:tcPr>
          <w:p w:rsidR="00BD68E9" w:rsidRPr="00265C60" w:rsidRDefault="00BD68E9" w:rsidP="00BD68E9">
            <w:pPr>
              <w:spacing w:line="240" w:lineRule="auto"/>
              <w:ind w:firstLine="0"/>
              <w:jc w:val="center"/>
              <w:rPr>
                <w:b/>
                <w:sz w:val="20"/>
                <w:szCs w:val="20"/>
              </w:rPr>
            </w:pPr>
            <w:r w:rsidRPr="00265C60">
              <w:rPr>
                <w:b/>
                <w:sz w:val="20"/>
                <w:szCs w:val="20"/>
              </w:rPr>
              <w:t>100,0</w:t>
            </w:r>
          </w:p>
        </w:tc>
        <w:tc>
          <w:tcPr>
            <w:tcW w:w="783" w:type="dxa"/>
            <w:hideMark/>
          </w:tcPr>
          <w:p w:rsidR="00BD68E9" w:rsidRPr="00265C60" w:rsidRDefault="00BD68E9" w:rsidP="00BD68E9">
            <w:pPr>
              <w:spacing w:line="240" w:lineRule="auto"/>
              <w:ind w:firstLine="0"/>
              <w:jc w:val="center"/>
              <w:rPr>
                <w:b/>
                <w:sz w:val="20"/>
                <w:szCs w:val="20"/>
              </w:rPr>
            </w:pPr>
            <w:r w:rsidRPr="00265C60">
              <w:rPr>
                <w:b/>
                <w:sz w:val="20"/>
                <w:szCs w:val="20"/>
              </w:rPr>
              <w:t>34,8</w:t>
            </w:r>
          </w:p>
        </w:tc>
        <w:tc>
          <w:tcPr>
            <w:tcW w:w="844" w:type="dxa"/>
            <w:hideMark/>
          </w:tcPr>
          <w:p w:rsidR="00BD68E9" w:rsidRPr="00265C60" w:rsidRDefault="00BD68E9" w:rsidP="00BD68E9">
            <w:pPr>
              <w:spacing w:line="240" w:lineRule="auto"/>
              <w:ind w:firstLine="0"/>
              <w:jc w:val="center"/>
              <w:rPr>
                <w:b/>
                <w:sz w:val="20"/>
                <w:szCs w:val="20"/>
              </w:rPr>
            </w:pPr>
            <w:r w:rsidRPr="00265C60">
              <w:rPr>
                <w:b/>
                <w:sz w:val="20"/>
                <w:szCs w:val="20"/>
              </w:rPr>
              <w:t>95 261</w:t>
            </w:r>
          </w:p>
        </w:tc>
        <w:tc>
          <w:tcPr>
            <w:tcW w:w="930" w:type="dxa"/>
            <w:hideMark/>
          </w:tcPr>
          <w:p w:rsidR="00BD68E9" w:rsidRPr="00265C60" w:rsidRDefault="00BD68E9" w:rsidP="00BD68E9">
            <w:pPr>
              <w:spacing w:line="240" w:lineRule="auto"/>
              <w:ind w:firstLine="0"/>
              <w:jc w:val="center"/>
              <w:rPr>
                <w:b/>
                <w:sz w:val="20"/>
                <w:szCs w:val="20"/>
              </w:rPr>
            </w:pPr>
            <w:r w:rsidRPr="00265C60">
              <w:rPr>
                <w:b/>
                <w:sz w:val="20"/>
                <w:szCs w:val="20"/>
              </w:rPr>
              <w:t>100,0</w:t>
            </w:r>
          </w:p>
        </w:tc>
        <w:tc>
          <w:tcPr>
            <w:tcW w:w="861" w:type="dxa"/>
            <w:hideMark/>
          </w:tcPr>
          <w:p w:rsidR="00BD68E9" w:rsidRPr="00265C60" w:rsidRDefault="00BD68E9" w:rsidP="00BD68E9">
            <w:pPr>
              <w:spacing w:line="240" w:lineRule="auto"/>
              <w:ind w:firstLine="0"/>
              <w:jc w:val="center"/>
              <w:rPr>
                <w:b/>
                <w:sz w:val="20"/>
                <w:szCs w:val="20"/>
              </w:rPr>
            </w:pPr>
            <w:r w:rsidRPr="00265C60">
              <w:rPr>
                <w:b/>
                <w:sz w:val="20"/>
                <w:szCs w:val="20"/>
              </w:rPr>
              <w:t>34,5</w:t>
            </w:r>
          </w:p>
        </w:tc>
      </w:tr>
      <w:tr w:rsidR="00BD68E9" w:rsidRPr="00265C60" w:rsidTr="009D32A7">
        <w:trPr>
          <w:trHeight w:val="60"/>
          <w:jc w:val="center"/>
        </w:trPr>
        <w:tc>
          <w:tcPr>
            <w:tcW w:w="2530" w:type="dxa"/>
            <w:hideMark/>
          </w:tcPr>
          <w:p w:rsidR="00BD68E9" w:rsidRPr="00265C60" w:rsidRDefault="00BD68E9" w:rsidP="008F7B69">
            <w:pPr>
              <w:pStyle w:val="rvps698610"/>
              <w:widowControl w:val="0"/>
              <w:tabs>
                <w:tab w:val="left" w:pos="9355"/>
              </w:tabs>
              <w:spacing w:after="0" w:line="240" w:lineRule="auto"/>
              <w:ind w:right="0" w:firstLine="0"/>
              <w:rPr>
                <w:sz w:val="20"/>
                <w:szCs w:val="20"/>
              </w:rPr>
            </w:pPr>
            <w:r w:rsidRPr="00265C60">
              <w:rPr>
                <w:sz w:val="20"/>
                <w:szCs w:val="20"/>
              </w:rPr>
              <w:t>в том числе:</w:t>
            </w:r>
          </w:p>
        </w:tc>
        <w:tc>
          <w:tcPr>
            <w:tcW w:w="864" w:type="dxa"/>
            <w:hideMark/>
          </w:tcPr>
          <w:p w:rsidR="00BD68E9" w:rsidRPr="00265C60" w:rsidRDefault="00BD68E9" w:rsidP="00BD68E9">
            <w:pPr>
              <w:spacing w:line="240" w:lineRule="auto"/>
              <w:ind w:firstLine="0"/>
              <w:jc w:val="center"/>
              <w:rPr>
                <w:sz w:val="20"/>
                <w:szCs w:val="20"/>
              </w:rPr>
            </w:pPr>
          </w:p>
        </w:tc>
        <w:tc>
          <w:tcPr>
            <w:tcW w:w="930" w:type="dxa"/>
            <w:hideMark/>
          </w:tcPr>
          <w:p w:rsidR="00BD68E9" w:rsidRPr="00265C60" w:rsidRDefault="00BD68E9" w:rsidP="00BD68E9">
            <w:pPr>
              <w:spacing w:line="240" w:lineRule="auto"/>
              <w:ind w:firstLine="0"/>
              <w:jc w:val="center"/>
              <w:rPr>
                <w:sz w:val="20"/>
                <w:szCs w:val="20"/>
              </w:rPr>
            </w:pPr>
          </w:p>
        </w:tc>
        <w:tc>
          <w:tcPr>
            <w:tcW w:w="744" w:type="dxa"/>
            <w:hideMark/>
          </w:tcPr>
          <w:p w:rsidR="00BD68E9" w:rsidRPr="00265C60" w:rsidRDefault="00BD68E9" w:rsidP="00BD68E9">
            <w:pPr>
              <w:spacing w:line="240" w:lineRule="auto"/>
              <w:ind w:firstLine="0"/>
              <w:jc w:val="center"/>
              <w:rPr>
                <w:sz w:val="20"/>
                <w:szCs w:val="20"/>
              </w:rPr>
            </w:pPr>
          </w:p>
        </w:tc>
        <w:tc>
          <w:tcPr>
            <w:tcW w:w="844" w:type="dxa"/>
            <w:hideMark/>
          </w:tcPr>
          <w:p w:rsidR="00BD68E9" w:rsidRPr="00265C60" w:rsidRDefault="00BD68E9" w:rsidP="00BD68E9">
            <w:pPr>
              <w:spacing w:line="240" w:lineRule="auto"/>
              <w:ind w:firstLine="0"/>
              <w:jc w:val="center"/>
              <w:rPr>
                <w:sz w:val="20"/>
                <w:szCs w:val="20"/>
              </w:rPr>
            </w:pPr>
          </w:p>
        </w:tc>
        <w:tc>
          <w:tcPr>
            <w:tcW w:w="930" w:type="dxa"/>
            <w:hideMark/>
          </w:tcPr>
          <w:p w:rsidR="00BD68E9" w:rsidRPr="00265C60" w:rsidRDefault="00BD68E9" w:rsidP="00BD68E9">
            <w:pPr>
              <w:spacing w:line="240" w:lineRule="auto"/>
              <w:ind w:firstLine="0"/>
              <w:jc w:val="center"/>
              <w:rPr>
                <w:sz w:val="20"/>
                <w:szCs w:val="20"/>
              </w:rPr>
            </w:pPr>
          </w:p>
        </w:tc>
        <w:tc>
          <w:tcPr>
            <w:tcW w:w="783" w:type="dxa"/>
            <w:hideMark/>
          </w:tcPr>
          <w:p w:rsidR="00BD68E9" w:rsidRPr="00265C60" w:rsidRDefault="00BD68E9" w:rsidP="00BD68E9">
            <w:pPr>
              <w:spacing w:line="240" w:lineRule="auto"/>
              <w:ind w:firstLine="0"/>
              <w:jc w:val="center"/>
              <w:rPr>
                <w:sz w:val="20"/>
                <w:szCs w:val="20"/>
              </w:rPr>
            </w:pPr>
          </w:p>
        </w:tc>
        <w:tc>
          <w:tcPr>
            <w:tcW w:w="844" w:type="dxa"/>
            <w:hideMark/>
          </w:tcPr>
          <w:p w:rsidR="00BD68E9" w:rsidRPr="00265C60" w:rsidRDefault="00BD68E9" w:rsidP="00BD68E9">
            <w:pPr>
              <w:spacing w:line="240" w:lineRule="auto"/>
              <w:ind w:firstLine="0"/>
              <w:jc w:val="center"/>
              <w:rPr>
                <w:sz w:val="20"/>
                <w:szCs w:val="20"/>
              </w:rPr>
            </w:pPr>
          </w:p>
        </w:tc>
        <w:tc>
          <w:tcPr>
            <w:tcW w:w="930" w:type="dxa"/>
            <w:hideMark/>
          </w:tcPr>
          <w:p w:rsidR="00BD68E9" w:rsidRPr="00265C60" w:rsidRDefault="00BD68E9" w:rsidP="00BD68E9">
            <w:pPr>
              <w:spacing w:line="240" w:lineRule="auto"/>
              <w:ind w:firstLine="0"/>
              <w:jc w:val="center"/>
              <w:rPr>
                <w:sz w:val="20"/>
                <w:szCs w:val="20"/>
              </w:rPr>
            </w:pPr>
          </w:p>
        </w:tc>
        <w:tc>
          <w:tcPr>
            <w:tcW w:w="861" w:type="dxa"/>
            <w:hideMark/>
          </w:tcPr>
          <w:p w:rsidR="00BD68E9" w:rsidRPr="00265C60" w:rsidRDefault="00BD68E9" w:rsidP="00BD68E9">
            <w:pPr>
              <w:spacing w:line="240" w:lineRule="auto"/>
              <w:ind w:firstLine="0"/>
              <w:jc w:val="center"/>
              <w:rPr>
                <w:sz w:val="20"/>
                <w:szCs w:val="20"/>
              </w:rPr>
            </w:pPr>
          </w:p>
        </w:tc>
      </w:tr>
      <w:tr w:rsidR="00BD68E9" w:rsidRPr="00265C60" w:rsidTr="009D32A7">
        <w:trPr>
          <w:trHeight w:val="315"/>
          <w:jc w:val="center"/>
        </w:trPr>
        <w:tc>
          <w:tcPr>
            <w:tcW w:w="2530" w:type="dxa"/>
            <w:hideMark/>
          </w:tcPr>
          <w:p w:rsidR="00BD68E9" w:rsidRPr="00265C60" w:rsidRDefault="00BD68E9" w:rsidP="008F7B69">
            <w:pPr>
              <w:pStyle w:val="rvps698610"/>
              <w:widowControl w:val="0"/>
              <w:tabs>
                <w:tab w:val="left" w:pos="9355"/>
              </w:tabs>
              <w:spacing w:after="0" w:line="240" w:lineRule="auto"/>
              <w:ind w:right="0" w:firstLine="0"/>
              <w:rPr>
                <w:sz w:val="20"/>
                <w:szCs w:val="20"/>
              </w:rPr>
            </w:pPr>
            <w:r w:rsidRPr="00265C60">
              <w:rPr>
                <w:sz w:val="20"/>
                <w:szCs w:val="20"/>
              </w:rPr>
              <w:t>Общегосударственные вопросы</w:t>
            </w:r>
          </w:p>
        </w:tc>
        <w:tc>
          <w:tcPr>
            <w:tcW w:w="864" w:type="dxa"/>
            <w:hideMark/>
          </w:tcPr>
          <w:p w:rsidR="00BD68E9" w:rsidRPr="00265C60" w:rsidRDefault="00BD68E9" w:rsidP="00BD68E9">
            <w:pPr>
              <w:spacing w:line="240" w:lineRule="auto"/>
              <w:ind w:firstLine="0"/>
              <w:jc w:val="center"/>
              <w:rPr>
                <w:sz w:val="20"/>
                <w:szCs w:val="20"/>
              </w:rPr>
            </w:pPr>
            <w:r w:rsidRPr="00265C60">
              <w:rPr>
                <w:sz w:val="20"/>
                <w:szCs w:val="20"/>
              </w:rPr>
              <w:t>4 547</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5,4</w:t>
            </w:r>
          </w:p>
        </w:tc>
        <w:tc>
          <w:tcPr>
            <w:tcW w:w="744" w:type="dxa"/>
            <w:hideMark/>
          </w:tcPr>
          <w:p w:rsidR="00BD68E9" w:rsidRPr="00265C60" w:rsidRDefault="00BD68E9" w:rsidP="00BD68E9">
            <w:pPr>
              <w:spacing w:line="240" w:lineRule="auto"/>
              <w:ind w:firstLine="0"/>
              <w:jc w:val="center"/>
              <w:rPr>
                <w:sz w:val="20"/>
                <w:szCs w:val="20"/>
              </w:rPr>
            </w:pPr>
            <w:r w:rsidRPr="00265C60">
              <w:rPr>
                <w:sz w:val="20"/>
                <w:szCs w:val="20"/>
              </w:rPr>
              <w:t>1,9</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4 699</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5,3</w:t>
            </w:r>
          </w:p>
        </w:tc>
        <w:tc>
          <w:tcPr>
            <w:tcW w:w="783" w:type="dxa"/>
            <w:hideMark/>
          </w:tcPr>
          <w:p w:rsidR="00BD68E9" w:rsidRPr="00265C60" w:rsidRDefault="00BD68E9" w:rsidP="00BD68E9">
            <w:pPr>
              <w:spacing w:line="240" w:lineRule="auto"/>
              <w:ind w:firstLine="0"/>
              <w:jc w:val="center"/>
              <w:rPr>
                <w:sz w:val="20"/>
                <w:szCs w:val="20"/>
              </w:rPr>
            </w:pPr>
            <w:r w:rsidRPr="00265C60">
              <w:rPr>
                <w:sz w:val="20"/>
                <w:szCs w:val="20"/>
              </w:rPr>
              <w:t>1,8</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4 882</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5,1</w:t>
            </w:r>
          </w:p>
        </w:tc>
        <w:tc>
          <w:tcPr>
            <w:tcW w:w="861" w:type="dxa"/>
            <w:hideMark/>
          </w:tcPr>
          <w:p w:rsidR="00BD68E9" w:rsidRPr="00265C60" w:rsidRDefault="00BD68E9" w:rsidP="00BD68E9">
            <w:pPr>
              <w:spacing w:line="240" w:lineRule="auto"/>
              <w:ind w:firstLine="0"/>
              <w:jc w:val="center"/>
              <w:rPr>
                <w:sz w:val="20"/>
                <w:szCs w:val="20"/>
              </w:rPr>
            </w:pPr>
            <w:r w:rsidRPr="00265C60">
              <w:rPr>
                <w:sz w:val="20"/>
                <w:szCs w:val="20"/>
              </w:rPr>
              <w:t>1,8</w:t>
            </w:r>
          </w:p>
        </w:tc>
      </w:tr>
      <w:tr w:rsidR="00BD68E9" w:rsidRPr="00265C60" w:rsidTr="009D32A7">
        <w:trPr>
          <w:trHeight w:val="315"/>
          <w:jc w:val="center"/>
        </w:trPr>
        <w:tc>
          <w:tcPr>
            <w:tcW w:w="2530" w:type="dxa"/>
            <w:hideMark/>
          </w:tcPr>
          <w:p w:rsidR="00BD68E9" w:rsidRPr="00265C60" w:rsidRDefault="00BD68E9" w:rsidP="008F7B69">
            <w:pPr>
              <w:pStyle w:val="rvps698610"/>
              <w:widowControl w:val="0"/>
              <w:tabs>
                <w:tab w:val="left" w:pos="9355"/>
              </w:tabs>
              <w:spacing w:after="0" w:line="240" w:lineRule="auto"/>
              <w:ind w:right="0" w:firstLine="0"/>
              <w:rPr>
                <w:sz w:val="20"/>
                <w:szCs w:val="20"/>
              </w:rPr>
            </w:pPr>
            <w:r w:rsidRPr="00265C60">
              <w:rPr>
                <w:sz w:val="20"/>
                <w:szCs w:val="20"/>
              </w:rPr>
              <w:t>Национальная оборона</w:t>
            </w:r>
          </w:p>
        </w:tc>
        <w:tc>
          <w:tcPr>
            <w:tcW w:w="864" w:type="dxa"/>
            <w:hideMark/>
          </w:tcPr>
          <w:p w:rsidR="00BD68E9" w:rsidRPr="00265C60" w:rsidRDefault="00BD68E9" w:rsidP="00BD68E9">
            <w:pPr>
              <w:spacing w:line="240" w:lineRule="auto"/>
              <w:ind w:firstLine="0"/>
              <w:jc w:val="center"/>
              <w:rPr>
                <w:sz w:val="20"/>
                <w:szCs w:val="20"/>
              </w:rPr>
            </w:pPr>
            <w:r w:rsidRPr="00265C60">
              <w:rPr>
                <w:sz w:val="20"/>
                <w:szCs w:val="20"/>
              </w:rPr>
              <w:t>12 989</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15,5</w:t>
            </w:r>
          </w:p>
        </w:tc>
        <w:tc>
          <w:tcPr>
            <w:tcW w:w="744" w:type="dxa"/>
            <w:hideMark/>
          </w:tcPr>
          <w:p w:rsidR="00BD68E9" w:rsidRPr="00265C60" w:rsidRDefault="00BD68E9" w:rsidP="00BD68E9">
            <w:pPr>
              <w:spacing w:line="240" w:lineRule="auto"/>
              <w:ind w:firstLine="0"/>
              <w:jc w:val="center"/>
              <w:rPr>
                <w:sz w:val="20"/>
                <w:szCs w:val="20"/>
              </w:rPr>
            </w:pPr>
            <w:r w:rsidRPr="00265C60">
              <w:rPr>
                <w:sz w:val="20"/>
                <w:szCs w:val="20"/>
              </w:rPr>
              <w:t>5,5</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13 626</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15,3</w:t>
            </w:r>
          </w:p>
        </w:tc>
        <w:tc>
          <w:tcPr>
            <w:tcW w:w="783" w:type="dxa"/>
            <w:hideMark/>
          </w:tcPr>
          <w:p w:rsidR="00BD68E9" w:rsidRPr="00265C60" w:rsidRDefault="00BD68E9" w:rsidP="00BD68E9">
            <w:pPr>
              <w:spacing w:line="240" w:lineRule="auto"/>
              <w:ind w:firstLine="0"/>
              <w:jc w:val="center"/>
              <w:rPr>
                <w:sz w:val="20"/>
                <w:szCs w:val="20"/>
              </w:rPr>
            </w:pPr>
            <w:r w:rsidRPr="00265C60">
              <w:rPr>
                <w:sz w:val="20"/>
                <w:szCs w:val="20"/>
              </w:rPr>
              <w:t>5,3</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13 110</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13,8</w:t>
            </w:r>
          </w:p>
        </w:tc>
        <w:tc>
          <w:tcPr>
            <w:tcW w:w="861" w:type="dxa"/>
            <w:hideMark/>
          </w:tcPr>
          <w:p w:rsidR="00BD68E9" w:rsidRPr="00265C60" w:rsidRDefault="00BD68E9" w:rsidP="00BD68E9">
            <w:pPr>
              <w:spacing w:line="240" w:lineRule="auto"/>
              <w:ind w:firstLine="0"/>
              <w:jc w:val="center"/>
              <w:rPr>
                <w:sz w:val="20"/>
                <w:szCs w:val="20"/>
              </w:rPr>
            </w:pPr>
            <w:r w:rsidRPr="00265C60">
              <w:rPr>
                <w:sz w:val="20"/>
                <w:szCs w:val="20"/>
              </w:rPr>
              <w:t>4,7</w:t>
            </w:r>
          </w:p>
        </w:tc>
      </w:tr>
      <w:tr w:rsidR="00BD68E9" w:rsidRPr="00265C60" w:rsidTr="009D32A7">
        <w:trPr>
          <w:trHeight w:val="765"/>
          <w:jc w:val="center"/>
        </w:trPr>
        <w:tc>
          <w:tcPr>
            <w:tcW w:w="2530" w:type="dxa"/>
            <w:hideMark/>
          </w:tcPr>
          <w:p w:rsidR="00BD68E9" w:rsidRPr="00265C60" w:rsidRDefault="00BD68E9" w:rsidP="008F7B69">
            <w:pPr>
              <w:pStyle w:val="rvps698610"/>
              <w:widowControl w:val="0"/>
              <w:tabs>
                <w:tab w:val="left" w:pos="9355"/>
              </w:tabs>
              <w:spacing w:after="0" w:line="240" w:lineRule="auto"/>
              <w:ind w:right="0" w:firstLine="0"/>
              <w:rPr>
                <w:sz w:val="20"/>
                <w:szCs w:val="20"/>
              </w:rPr>
            </w:pPr>
            <w:r w:rsidRPr="00265C60">
              <w:rPr>
                <w:sz w:val="20"/>
                <w:szCs w:val="20"/>
              </w:rPr>
              <w:t>Национальная безопасность и правоохранительная деятельность</w:t>
            </w:r>
          </w:p>
        </w:tc>
        <w:tc>
          <w:tcPr>
            <w:tcW w:w="864" w:type="dxa"/>
            <w:hideMark/>
          </w:tcPr>
          <w:p w:rsidR="00BD68E9" w:rsidRPr="00265C60" w:rsidRDefault="00BD68E9" w:rsidP="00BD68E9">
            <w:pPr>
              <w:spacing w:line="240" w:lineRule="auto"/>
              <w:ind w:firstLine="0"/>
              <w:jc w:val="center"/>
              <w:rPr>
                <w:sz w:val="20"/>
                <w:szCs w:val="20"/>
              </w:rPr>
            </w:pPr>
            <w:r w:rsidRPr="00265C60">
              <w:rPr>
                <w:sz w:val="20"/>
                <w:szCs w:val="20"/>
              </w:rPr>
              <w:t>4 313</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5,1</w:t>
            </w:r>
          </w:p>
        </w:tc>
        <w:tc>
          <w:tcPr>
            <w:tcW w:w="744" w:type="dxa"/>
            <w:hideMark/>
          </w:tcPr>
          <w:p w:rsidR="00BD68E9" w:rsidRPr="00265C60" w:rsidRDefault="00BD68E9" w:rsidP="00BD68E9">
            <w:pPr>
              <w:spacing w:line="240" w:lineRule="auto"/>
              <w:ind w:firstLine="0"/>
              <w:jc w:val="center"/>
              <w:rPr>
                <w:sz w:val="20"/>
                <w:szCs w:val="20"/>
              </w:rPr>
            </w:pPr>
            <w:r w:rsidRPr="00265C60">
              <w:rPr>
                <w:sz w:val="20"/>
                <w:szCs w:val="20"/>
              </w:rPr>
              <w:t>1,8</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4 649</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5,2</w:t>
            </w:r>
          </w:p>
        </w:tc>
        <w:tc>
          <w:tcPr>
            <w:tcW w:w="783" w:type="dxa"/>
            <w:hideMark/>
          </w:tcPr>
          <w:p w:rsidR="00BD68E9" w:rsidRPr="00265C60" w:rsidRDefault="00BD68E9" w:rsidP="00BD68E9">
            <w:pPr>
              <w:spacing w:line="240" w:lineRule="auto"/>
              <w:ind w:firstLine="0"/>
              <w:jc w:val="center"/>
              <w:rPr>
                <w:sz w:val="20"/>
                <w:szCs w:val="20"/>
              </w:rPr>
            </w:pPr>
            <w:r w:rsidRPr="00265C60">
              <w:rPr>
                <w:sz w:val="20"/>
                <w:szCs w:val="20"/>
              </w:rPr>
              <w:t>1,8</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4 850</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5,1</w:t>
            </w:r>
          </w:p>
        </w:tc>
        <w:tc>
          <w:tcPr>
            <w:tcW w:w="861" w:type="dxa"/>
            <w:hideMark/>
          </w:tcPr>
          <w:p w:rsidR="00BD68E9" w:rsidRPr="00265C60" w:rsidRDefault="00BD68E9" w:rsidP="00BD68E9">
            <w:pPr>
              <w:spacing w:line="240" w:lineRule="auto"/>
              <w:ind w:firstLine="0"/>
              <w:jc w:val="center"/>
              <w:rPr>
                <w:sz w:val="20"/>
                <w:szCs w:val="20"/>
              </w:rPr>
            </w:pPr>
            <w:r w:rsidRPr="00265C60">
              <w:rPr>
                <w:sz w:val="20"/>
                <w:szCs w:val="20"/>
              </w:rPr>
              <w:t>1,8</w:t>
            </w:r>
          </w:p>
        </w:tc>
      </w:tr>
      <w:tr w:rsidR="00BD68E9" w:rsidRPr="00265C60" w:rsidTr="009D32A7">
        <w:trPr>
          <w:trHeight w:val="315"/>
          <w:jc w:val="center"/>
        </w:trPr>
        <w:tc>
          <w:tcPr>
            <w:tcW w:w="2530" w:type="dxa"/>
            <w:hideMark/>
          </w:tcPr>
          <w:p w:rsidR="00BD68E9" w:rsidRPr="00265C60" w:rsidRDefault="00BD68E9" w:rsidP="008F7B69">
            <w:pPr>
              <w:pStyle w:val="rvps698610"/>
              <w:widowControl w:val="0"/>
              <w:tabs>
                <w:tab w:val="left" w:pos="9355"/>
              </w:tabs>
              <w:spacing w:after="0" w:line="240" w:lineRule="auto"/>
              <w:ind w:right="0" w:firstLine="0"/>
              <w:rPr>
                <w:sz w:val="20"/>
                <w:szCs w:val="20"/>
              </w:rPr>
            </w:pPr>
            <w:r w:rsidRPr="00265C60">
              <w:rPr>
                <w:sz w:val="20"/>
                <w:szCs w:val="20"/>
              </w:rPr>
              <w:t>Национальная экономика</w:t>
            </w:r>
          </w:p>
        </w:tc>
        <w:tc>
          <w:tcPr>
            <w:tcW w:w="864" w:type="dxa"/>
            <w:hideMark/>
          </w:tcPr>
          <w:p w:rsidR="00BD68E9" w:rsidRPr="00265C60" w:rsidRDefault="00BD68E9" w:rsidP="00BD68E9">
            <w:pPr>
              <w:spacing w:line="240" w:lineRule="auto"/>
              <w:ind w:firstLine="0"/>
              <w:jc w:val="center"/>
              <w:rPr>
                <w:sz w:val="20"/>
                <w:szCs w:val="20"/>
              </w:rPr>
            </w:pPr>
            <w:r w:rsidRPr="00265C60">
              <w:rPr>
                <w:sz w:val="20"/>
                <w:szCs w:val="20"/>
              </w:rPr>
              <w:t>10 834</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12,9</w:t>
            </w:r>
          </w:p>
        </w:tc>
        <w:tc>
          <w:tcPr>
            <w:tcW w:w="744" w:type="dxa"/>
            <w:hideMark/>
          </w:tcPr>
          <w:p w:rsidR="00BD68E9" w:rsidRPr="00265C60" w:rsidRDefault="00BD68E9" w:rsidP="00BD68E9">
            <w:pPr>
              <w:spacing w:line="240" w:lineRule="auto"/>
              <w:ind w:firstLine="0"/>
              <w:jc w:val="center"/>
              <w:rPr>
                <w:sz w:val="20"/>
                <w:szCs w:val="20"/>
              </w:rPr>
            </w:pPr>
            <w:r w:rsidRPr="00265C60">
              <w:rPr>
                <w:sz w:val="20"/>
                <w:szCs w:val="20"/>
              </w:rPr>
              <w:t>4,6</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11 306</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12,7</w:t>
            </w:r>
          </w:p>
        </w:tc>
        <w:tc>
          <w:tcPr>
            <w:tcW w:w="783" w:type="dxa"/>
            <w:hideMark/>
          </w:tcPr>
          <w:p w:rsidR="00BD68E9" w:rsidRPr="00265C60" w:rsidRDefault="00BD68E9" w:rsidP="00BD68E9">
            <w:pPr>
              <w:spacing w:line="240" w:lineRule="auto"/>
              <w:ind w:firstLine="0"/>
              <w:jc w:val="center"/>
              <w:rPr>
                <w:sz w:val="20"/>
                <w:szCs w:val="20"/>
              </w:rPr>
            </w:pPr>
            <w:r w:rsidRPr="00265C60">
              <w:rPr>
                <w:sz w:val="20"/>
                <w:szCs w:val="20"/>
              </w:rPr>
              <w:t>4,4</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11 999</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12,6</w:t>
            </w:r>
          </w:p>
        </w:tc>
        <w:tc>
          <w:tcPr>
            <w:tcW w:w="861" w:type="dxa"/>
            <w:hideMark/>
          </w:tcPr>
          <w:p w:rsidR="00BD68E9" w:rsidRPr="00265C60" w:rsidRDefault="00BD68E9" w:rsidP="00BD68E9">
            <w:pPr>
              <w:spacing w:line="240" w:lineRule="auto"/>
              <w:ind w:firstLine="0"/>
              <w:jc w:val="center"/>
              <w:rPr>
                <w:sz w:val="20"/>
                <w:szCs w:val="20"/>
              </w:rPr>
            </w:pPr>
            <w:r w:rsidRPr="00265C60">
              <w:rPr>
                <w:sz w:val="20"/>
                <w:szCs w:val="20"/>
              </w:rPr>
              <w:t>4,3</w:t>
            </w:r>
          </w:p>
        </w:tc>
      </w:tr>
      <w:tr w:rsidR="00BD68E9" w:rsidRPr="00265C60" w:rsidTr="009D32A7">
        <w:trPr>
          <w:trHeight w:val="510"/>
          <w:jc w:val="center"/>
        </w:trPr>
        <w:tc>
          <w:tcPr>
            <w:tcW w:w="2530" w:type="dxa"/>
            <w:hideMark/>
          </w:tcPr>
          <w:p w:rsidR="00BD68E9" w:rsidRPr="00265C60" w:rsidRDefault="00BD68E9" w:rsidP="008F7B69">
            <w:pPr>
              <w:pStyle w:val="rvps698610"/>
              <w:widowControl w:val="0"/>
              <w:tabs>
                <w:tab w:val="left" w:pos="9355"/>
              </w:tabs>
              <w:spacing w:after="0" w:line="240" w:lineRule="auto"/>
              <w:ind w:right="0" w:firstLine="0"/>
              <w:rPr>
                <w:sz w:val="20"/>
                <w:szCs w:val="20"/>
              </w:rPr>
            </w:pPr>
            <w:r w:rsidRPr="00265C60">
              <w:rPr>
                <w:sz w:val="20"/>
                <w:szCs w:val="20"/>
              </w:rPr>
              <w:t>Жилищно-коммунальное хозяйство</w:t>
            </w:r>
          </w:p>
        </w:tc>
        <w:tc>
          <w:tcPr>
            <w:tcW w:w="864" w:type="dxa"/>
            <w:hideMark/>
          </w:tcPr>
          <w:p w:rsidR="00BD68E9" w:rsidRPr="00265C60" w:rsidRDefault="00BD68E9" w:rsidP="00BD68E9">
            <w:pPr>
              <w:spacing w:line="240" w:lineRule="auto"/>
              <w:ind w:firstLine="0"/>
              <w:jc w:val="center"/>
              <w:rPr>
                <w:sz w:val="20"/>
                <w:szCs w:val="20"/>
              </w:rPr>
            </w:pPr>
            <w:r w:rsidRPr="00265C60">
              <w:rPr>
                <w:sz w:val="20"/>
                <w:szCs w:val="20"/>
              </w:rPr>
              <w:t>4 872</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5,8</w:t>
            </w:r>
          </w:p>
        </w:tc>
        <w:tc>
          <w:tcPr>
            <w:tcW w:w="744" w:type="dxa"/>
            <w:hideMark/>
          </w:tcPr>
          <w:p w:rsidR="00BD68E9" w:rsidRPr="00265C60" w:rsidRDefault="00BD68E9" w:rsidP="00BD68E9">
            <w:pPr>
              <w:spacing w:line="240" w:lineRule="auto"/>
              <w:ind w:firstLine="0"/>
              <w:jc w:val="center"/>
              <w:rPr>
                <w:sz w:val="20"/>
                <w:szCs w:val="20"/>
              </w:rPr>
            </w:pPr>
            <w:r w:rsidRPr="00265C60">
              <w:rPr>
                <w:sz w:val="20"/>
                <w:szCs w:val="20"/>
              </w:rPr>
              <w:t>2,1</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4 321</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4,9</w:t>
            </w:r>
          </w:p>
        </w:tc>
        <w:tc>
          <w:tcPr>
            <w:tcW w:w="783" w:type="dxa"/>
            <w:hideMark/>
          </w:tcPr>
          <w:p w:rsidR="00BD68E9" w:rsidRPr="00265C60" w:rsidRDefault="00BD68E9" w:rsidP="00BD68E9">
            <w:pPr>
              <w:spacing w:line="240" w:lineRule="auto"/>
              <w:ind w:firstLine="0"/>
              <w:jc w:val="center"/>
              <w:rPr>
                <w:sz w:val="20"/>
                <w:szCs w:val="20"/>
              </w:rPr>
            </w:pPr>
            <w:r w:rsidRPr="00265C60">
              <w:rPr>
                <w:sz w:val="20"/>
                <w:szCs w:val="20"/>
              </w:rPr>
              <w:t>1,7</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4 368</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4,6</w:t>
            </w:r>
          </w:p>
        </w:tc>
        <w:tc>
          <w:tcPr>
            <w:tcW w:w="861" w:type="dxa"/>
            <w:hideMark/>
          </w:tcPr>
          <w:p w:rsidR="00BD68E9" w:rsidRPr="00265C60" w:rsidRDefault="00BD68E9" w:rsidP="00BD68E9">
            <w:pPr>
              <w:spacing w:line="240" w:lineRule="auto"/>
              <w:ind w:firstLine="0"/>
              <w:jc w:val="center"/>
              <w:rPr>
                <w:sz w:val="20"/>
                <w:szCs w:val="20"/>
              </w:rPr>
            </w:pPr>
            <w:r w:rsidRPr="00265C60">
              <w:rPr>
                <w:sz w:val="20"/>
                <w:szCs w:val="20"/>
              </w:rPr>
              <w:t>1,6</w:t>
            </w:r>
          </w:p>
        </w:tc>
      </w:tr>
      <w:tr w:rsidR="00BD68E9" w:rsidRPr="00265C60" w:rsidTr="009D32A7">
        <w:trPr>
          <w:trHeight w:val="60"/>
          <w:jc w:val="center"/>
        </w:trPr>
        <w:tc>
          <w:tcPr>
            <w:tcW w:w="2530" w:type="dxa"/>
            <w:hideMark/>
          </w:tcPr>
          <w:p w:rsidR="00BD68E9" w:rsidRPr="00265C60" w:rsidRDefault="00BD68E9" w:rsidP="008F7B69">
            <w:pPr>
              <w:pStyle w:val="rvps698610"/>
              <w:widowControl w:val="0"/>
              <w:tabs>
                <w:tab w:val="left" w:pos="9355"/>
              </w:tabs>
              <w:spacing w:after="0" w:line="240" w:lineRule="auto"/>
              <w:ind w:right="0" w:firstLine="0"/>
              <w:rPr>
                <w:sz w:val="20"/>
                <w:szCs w:val="20"/>
              </w:rPr>
            </w:pPr>
            <w:r w:rsidRPr="00265C60">
              <w:rPr>
                <w:sz w:val="20"/>
                <w:szCs w:val="20"/>
              </w:rPr>
              <w:t>Охрана окружающей среды</w:t>
            </w:r>
          </w:p>
        </w:tc>
        <w:tc>
          <w:tcPr>
            <w:tcW w:w="864" w:type="dxa"/>
            <w:hideMark/>
          </w:tcPr>
          <w:p w:rsidR="00BD68E9" w:rsidRPr="00265C60" w:rsidRDefault="00BD68E9" w:rsidP="00BD68E9">
            <w:pPr>
              <w:spacing w:line="240" w:lineRule="auto"/>
              <w:ind w:firstLine="0"/>
              <w:jc w:val="center"/>
              <w:rPr>
                <w:sz w:val="20"/>
                <w:szCs w:val="20"/>
              </w:rPr>
            </w:pPr>
            <w:r w:rsidRPr="00265C60">
              <w:rPr>
                <w:sz w:val="20"/>
                <w:szCs w:val="20"/>
              </w:rPr>
              <w:t>1 189</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1,4</w:t>
            </w:r>
          </w:p>
        </w:tc>
        <w:tc>
          <w:tcPr>
            <w:tcW w:w="744" w:type="dxa"/>
            <w:hideMark/>
          </w:tcPr>
          <w:p w:rsidR="00BD68E9" w:rsidRPr="00265C60" w:rsidRDefault="00BD68E9" w:rsidP="00BD68E9">
            <w:pPr>
              <w:spacing w:line="240" w:lineRule="auto"/>
              <w:ind w:firstLine="0"/>
              <w:jc w:val="center"/>
              <w:rPr>
                <w:sz w:val="20"/>
                <w:szCs w:val="20"/>
              </w:rPr>
            </w:pPr>
            <w:r w:rsidRPr="00265C60">
              <w:rPr>
                <w:sz w:val="20"/>
                <w:szCs w:val="20"/>
              </w:rPr>
              <w:t>0,5</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1 462</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1,6</w:t>
            </w:r>
          </w:p>
        </w:tc>
        <w:tc>
          <w:tcPr>
            <w:tcW w:w="783" w:type="dxa"/>
            <w:hideMark/>
          </w:tcPr>
          <w:p w:rsidR="00BD68E9" w:rsidRPr="00265C60" w:rsidRDefault="00BD68E9" w:rsidP="00BD68E9">
            <w:pPr>
              <w:spacing w:line="240" w:lineRule="auto"/>
              <w:ind w:firstLine="0"/>
              <w:jc w:val="center"/>
              <w:rPr>
                <w:sz w:val="20"/>
                <w:szCs w:val="20"/>
              </w:rPr>
            </w:pPr>
            <w:r w:rsidRPr="00265C60">
              <w:rPr>
                <w:sz w:val="20"/>
                <w:szCs w:val="20"/>
              </w:rPr>
              <w:t>0,6</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1 720</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1,8</w:t>
            </w:r>
          </w:p>
        </w:tc>
        <w:tc>
          <w:tcPr>
            <w:tcW w:w="861" w:type="dxa"/>
            <w:hideMark/>
          </w:tcPr>
          <w:p w:rsidR="00BD68E9" w:rsidRPr="00265C60" w:rsidRDefault="00BD68E9" w:rsidP="00BD68E9">
            <w:pPr>
              <w:spacing w:line="240" w:lineRule="auto"/>
              <w:ind w:firstLine="0"/>
              <w:jc w:val="center"/>
              <w:rPr>
                <w:sz w:val="20"/>
                <w:szCs w:val="20"/>
              </w:rPr>
            </w:pPr>
            <w:r w:rsidRPr="00265C60">
              <w:rPr>
                <w:sz w:val="20"/>
                <w:szCs w:val="20"/>
              </w:rPr>
              <w:t>0,6</w:t>
            </w:r>
          </w:p>
        </w:tc>
      </w:tr>
      <w:tr w:rsidR="00BD68E9" w:rsidRPr="00265C60" w:rsidTr="009D32A7">
        <w:trPr>
          <w:trHeight w:val="60"/>
          <w:jc w:val="center"/>
        </w:trPr>
        <w:tc>
          <w:tcPr>
            <w:tcW w:w="2530" w:type="dxa"/>
            <w:hideMark/>
          </w:tcPr>
          <w:p w:rsidR="00BD68E9" w:rsidRPr="00265C60" w:rsidRDefault="00BD68E9" w:rsidP="008F7B69">
            <w:pPr>
              <w:pStyle w:val="rvps698610"/>
              <w:widowControl w:val="0"/>
              <w:tabs>
                <w:tab w:val="left" w:pos="9355"/>
              </w:tabs>
              <w:spacing w:after="0" w:line="240" w:lineRule="auto"/>
              <w:ind w:right="0" w:firstLine="0"/>
              <w:rPr>
                <w:sz w:val="20"/>
                <w:szCs w:val="20"/>
              </w:rPr>
            </w:pPr>
            <w:r w:rsidRPr="00265C60">
              <w:rPr>
                <w:sz w:val="20"/>
                <w:szCs w:val="20"/>
              </w:rPr>
              <w:t>Образование</w:t>
            </w:r>
          </w:p>
        </w:tc>
        <w:tc>
          <w:tcPr>
            <w:tcW w:w="864" w:type="dxa"/>
            <w:hideMark/>
          </w:tcPr>
          <w:p w:rsidR="00BD68E9" w:rsidRPr="00265C60" w:rsidRDefault="00BD68E9" w:rsidP="00BD68E9">
            <w:pPr>
              <w:spacing w:line="240" w:lineRule="auto"/>
              <w:ind w:firstLine="0"/>
              <w:jc w:val="center"/>
              <w:rPr>
                <w:sz w:val="20"/>
                <w:szCs w:val="20"/>
              </w:rPr>
            </w:pPr>
            <w:r w:rsidRPr="00265C60">
              <w:rPr>
                <w:sz w:val="20"/>
                <w:szCs w:val="20"/>
              </w:rPr>
              <w:t>7 321</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8,7</w:t>
            </w:r>
          </w:p>
        </w:tc>
        <w:tc>
          <w:tcPr>
            <w:tcW w:w="744" w:type="dxa"/>
            <w:hideMark/>
          </w:tcPr>
          <w:p w:rsidR="00BD68E9" w:rsidRPr="00265C60" w:rsidRDefault="00BD68E9" w:rsidP="00BD68E9">
            <w:pPr>
              <w:spacing w:line="240" w:lineRule="auto"/>
              <w:ind w:firstLine="0"/>
              <w:jc w:val="center"/>
              <w:rPr>
                <w:sz w:val="20"/>
                <w:szCs w:val="20"/>
              </w:rPr>
            </w:pPr>
            <w:r w:rsidRPr="00265C60">
              <w:rPr>
                <w:sz w:val="20"/>
                <w:szCs w:val="20"/>
              </w:rPr>
              <w:t>3,1</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8 144</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9,1</w:t>
            </w:r>
          </w:p>
        </w:tc>
        <w:tc>
          <w:tcPr>
            <w:tcW w:w="783" w:type="dxa"/>
            <w:hideMark/>
          </w:tcPr>
          <w:p w:rsidR="00BD68E9" w:rsidRPr="00265C60" w:rsidRDefault="00BD68E9" w:rsidP="00BD68E9">
            <w:pPr>
              <w:spacing w:line="240" w:lineRule="auto"/>
              <w:ind w:firstLine="0"/>
              <w:jc w:val="center"/>
              <w:rPr>
                <w:sz w:val="20"/>
                <w:szCs w:val="20"/>
              </w:rPr>
            </w:pPr>
            <w:r w:rsidRPr="00265C60">
              <w:rPr>
                <w:sz w:val="20"/>
                <w:szCs w:val="20"/>
              </w:rPr>
              <w:t>3,2</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9 179</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9,6</w:t>
            </w:r>
          </w:p>
        </w:tc>
        <w:tc>
          <w:tcPr>
            <w:tcW w:w="861" w:type="dxa"/>
            <w:hideMark/>
          </w:tcPr>
          <w:p w:rsidR="00BD68E9" w:rsidRPr="00265C60" w:rsidRDefault="00BD68E9" w:rsidP="00BD68E9">
            <w:pPr>
              <w:spacing w:line="240" w:lineRule="auto"/>
              <w:ind w:firstLine="0"/>
              <w:jc w:val="center"/>
              <w:rPr>
                <w:sz w:val="20"/>
                <w:szCs w:val="20"/>
              </w:rPr>
            </w:pPr>
            <w:r w:rsidRPr="00265C60">
              <w:rPr>
                <w:sz w:val="20"/>
                <w:szCs w:val="20"/>
              </w:rPr>
              <w:t>3,3</w:t>
            </w:r>
          </w:p>
        </w:tc>
      </w:tr>
      <w:tr w:rsidR="00BD68E9" w:rsidRPr="00265C60" w:rsidTr="009D32A7">
        <w:trPr>
          <w:trHeight w:val="315"/>
          <w:jc w:val="center"/>
        </w:trPr>
        <w:tc>
          <w:tcPr>
            <w:tcW w:w="2530" w:type="dxa"/>
            <w:hideMark/>
          </w:tcPr>
          <w:p w:rsidR="00BD68E9" w:rsidRPr="00265C60" w:rsidRDefault="00BD68E9" w:rsidP="008F7B69">
            <w:pPr>
              <w:pStyle w:val="rvps698610"/>
              <w:widowControl w:val="0"/>
              <w:tabs>
                <w:tab w:val="left" w:pos="9355"/>
              </w:tabs>
              <w:spacing w:after="0" w:line="240" w:lineRule="auto"/>
              <w:ind w:right="0" w:firstLine="0"/>
              <w:rPr>
                <w:sz w:val="20"/>
                <w:szCs w:val="20"/>
              </w:rPr>
            </w:pPr>
            <w:r w:rsidRPr="00265C60">
              <w:rPr>
                <w:sz w:val="20"/>
                <w:szCs w:val="20"/>
              </w:rPr>
              <w:t>Культура, кинематография</w:t>
            </w:r>
          </w:p>
        </w:tc>
        <w:tc>
          <w:tcPr>
            <w:tcW w:w="864" w:type="dxa"/>
            <w:hideMark/>
          </w:tcPr>
          <w:p w:rsidR="00BD68E9" w:rsidRPr="00265C60" w:rsidRDefault="00BD68E9" w:rsidP="00BD68E9">
            <w:pPr>
              <w:spacing w:line="240" w:lineRule="auto"/>
              <w:ind w:firstLine="0"/>
              <w:jc w:val="center"/>
              <w:rPr>
                <w:sz w:val="20"/>
                <w:szCs w:val="20"/>
              </w:rPr>
            </w:pPr>
            <w:r w:rsidRPr="00265C60">
              <w:rPr>
                <w:sz w:val="20"/>
                <w:szCs w:val="20"/>
              </w:rPr>
              <w:t>1 347</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1,6</w:t>
            </w:r>
          </w:p>
        </w:tc>
        <w:tc>
          <w:tcPr>
            <w:tcW w:w="744" w:type="dxa"/>
            <w:hideMark/>
          </w:tcPr>
          <w:p w:rsidR="00BD68E9" w:rsidRPr="00265C60" w:rsidRDefault="00BD68E9" w:rsidP="00BD68E9">
            <w:pPr>
              <w:spacing w:line="240" w:lineRule="auto"/>
              <w:ind w:firstLine="0"/>
              <w:jc w:val="center"/>
              <w:rPr>
                <w:sz w:val="20"/>
                <w:szCs w:val="20"/>
              </w:rPr>
            </w:pPr>
            <w:r w:rsidRPr="00265C60">
              <w:rPr>
                <w:sz w:val="20"/>
                <w:szCs w:val="20"/>
              </w:rPr>
              <w:t>0,6</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1 506</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1,7</w:t>
            </w:r>
          </w:p>
        </w:tc>
        <w:tc>
          <w:tcPr>
            <w:tcW w:w="783" w:type="dxa"/>
            <w:hideMark/>
          </w:tcPr>
          <w:p w:rsidR="00BD68E9" w:rsidRPr="00265C60" w:rsidRDefault="00BD68E9" w:rsidP="00BD68E9">
            <w:pPr>
              <w:spacing w:line="240" w:lineRule="auto"/>
              <w:ind w:firstLine="0"/>
              <w:jc w:val="center"/>
              <w:rPr>
                <w:sz w:val="20"/>
                <w:szCs w:val="20"/>
              </w:rPr>
            </w:pPr>
            <w:r w:rsidRPr="00265C60">
              <w:rPr>
                <w:sz w:val="20"/>
                <w:szCs w:val="20"/>
              </w:rPr>
              <w:t>0,6</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1 697</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1,8</w:t>
            </w:r>
          </w:p>
        </w:tc>
        <w:tc>
          <w:tcPr>
            <w:tcW w:w="861" w:type="dxa"/>
            <w:hideMark/>
          </w:tcPr>
          <w:p w:rsidR="00BD68E9" w:rsidRPr="00265C60" w:rsidRDefault="00BD68E9" w:rsidP="00BD68E9">
            <w:pPr>
              <w:spacing w:line="240" w:lineRule="auto"/>
              <w:ind w:firstLine="0"/>
              <w:jc w:val="center"/>
              <w:rPr>
                <w:sz w:val="20"/>
                <w:szCs w:val="20"/>
              </w:rPr>
            </w:pPr>
            <w:r w:rsidRPr="00265C60">
              <w:rPr>
                <w:sz w:val="20"/>
                <w:szCs w:val="20"/>
              </w:rPr>
              <w:t>0,6</w:t>
            </w:r>
          </w:p>
        </w:tc>
      </w:tr>
      <w:tr w:rsidR="00BD68E9" w:rsidRPr="00265C60" w:rsidTr="009D32A7">
        <w:trPr>
          <w:trHeight w:val="102"/>
          <w:jc w:val="center"/>
        </w:trPr>
        <w:tc>
          <w:tcPr>
            <w:tcW w:w="2530" w:type="dxa"/>
            <w:hideMark/>
          </w:tcPr>
          <w:p w:rsidR="00BD68E9" w:rsidRPr="00265C60" w:rsidRDefault="00BD68E9" w:rsidP="008F7B69">
            <w:pPr>
              <w:pStyle w:val="rvps698610"/>
              <w:widowControl w:val="0"/>
              <w:tabs>
                <w:tab w:val="left" w:pos="9355"/>
              </w:tabs>
              <w:spacing w:after="0" w:line="240" w:lineRule="auto"/>
              <w:ind w:right="0" w:firstLine="0"/>
              <w:rPr>
                <w:sz w:val="20"/>
                <w:szCs w:val="20"/>
              </w:rPr>
            </w:pPr>
            <w:r w:rsidRPr="00265C60">
              <w:rPr>
                <w:sz w:val="20"/>
                <w:szCs w:val="20"/>
              </w:rPr>
              <w:t>Здравоохранение</w:t>
            </w:r>
          </w:p>
        </w:tc>
        <w:tc>
          <w:tcPr>
            <w:tcW w:w="864" w:type="dxa"/>
            <w:hideMark/>
          </w:tcPr>
          <w:p w:rsidR="00BD68E9" w:rsidRPr="00265C60" w:rsidRDefault="00BD68E9" w:rsidP="00BD68E9">
            <w:pPr>
              <w:spacing w:line="240" w:lineRule="auto"/>
              <w:ind w:firstLine="0"/>
              <w:jc w:val="center"/>
              <w:rPr>
                <w:sz w:val="20"/>
                <w:szCs w:val="20"/>
              </w:rPr>
            </w:pPr>
            <w:r w:rsidRPr="00265C60">
              <w:rPr>
                <w:sz w:val="20"/>
                <w:szCs w:val="20"/>
              </w:rPr>
              <w:t>8 120</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9,7</w:t>
            </w:r>
          </w:p>
        </w:tc>
        <w:tc>
          <w:tcPr>
            <w:tcW w:w="744" w:type="dxa"/>
            <w:hideMark/>
          </w:tcPr>
          <w:p w:rsidR="00BD68E9" w:rsidRPr="00265C60" w:rsidRDefault="00BD68E9" w:rsidP="00BD68E9">
            <w:pPr>
              <w:spacing w:line="240" w:lineRule="auto"/>
              <w:ind w:firstLine="0"/>
              <w:jc w:val="center"/>
              <w:rPr>
                <w:sz w:val="20"/>
                <w:szCs w:val="20"/>
              </w:rPr>
            </w:pPr>
            <w:r w:rsidRPr="00265C60">
              <w:rPr>
                <w:sz w:val="20"/>
                <w:szCs w:val="20"/>
              </w:rPr>
              <w:t>3,5</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8 724</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9,8</w:t>
            </w:r>
          </w:p>
        </w:tc>
        <w:tc>
          <w:tcPr>
            <w:tcW w:w="783" w:type="dxa"/>
            <w:hideMark/>
          </w:tcPr>
          <w:p w:rsidR="00BD68E9" w:rsidRPr="00265C60" w:rsidRDefault="00BD68E9" w:rsidP="00BD68E9">
            <w:pPr>
              <w:spacing w:line="240" w:lineRule="auto"/>
              <w:ind w:firstLine="0"/>
              <w:jc w:val="center"/>
              <w:rPr>
                <w:sz w:val="20"/>
                <w:szCs w:val="20"/>
              </w:rPr>
            </w:pPr>
            <w:r w:rsidRPr="00265C60">
              <w:rPr>
                <w:sz w:val="20"/>
                <w:szCs w:val="20"/>
              </w:rPr>
              <w:t>3,4</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9 512</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10,0</w:t>
            </w:r>
          </w:p>
        </w:tc>
        <w:tc>
          <w:tcPr>
            <w:tcW w:w="861" w:type="dxa"/>
            <w:hideMark/>
          </w:tcPr>
          <w:p w:rsidR="00BD68E9" w:rsidRPr="00265C60" w:rsidRDefault="00BD68E9" w:rsidP="00BD68E9">
            <w:pPr>
              <w:spacing w:line="240" w:lineRule="auto"/>
              <w:ind w:firstLine="0"/>
              <w:jc w:val="center"/>
              <w:rPr>
                <w:sz w:val="20"/>
                <w:szCs w:val="20"/>
              </w:rPr>
            </w:pPr>
            <w:r w:rsidRPr="00265C60">
              <w:rPr>
                <w:sz w:val="20"/>
                <w:szCs w:val="20"/>
              </w:rPr>
              <w:t>3,4</w:t>
            </w:r>
          </w:p>
        </w:tc>
      </w:tr>
      <w:tr w:rsidR="00BD68E9" w:rsidRPr="00265C60" w:rsidTr="009D32A7">
        <w:trPr>
          <w:trHeight w:val="315"/>
          <w:jc w:val="center"/>
        </w:trPr>
        <w:tc>
          <w:tcPr>
            <w:tcW w:w="2530" w:type="dxa"/>
            <w:hideMark/>
          </w:tcPr>
          <w:p w:rsidR="00BD68E9" w:rsidRPr="00265C60" w:rsidRDefault="00BD68E9" w:rsidP="008F7B69">
            <w:pPr>
              <w:pStyle w:val="rvps698610"/>
              <w:widowControl w:val="0"/>
              <w:tabs>
                <w:tab w:val="left" w:pos="9355"/>
              </w:tabs>
              <w:spacing w:after="0" w:line="240" w:lineRule="auto"/>
              <w:ind w:right="0" w:firstLine="0"/>
              <w:rPr>
                <w:b/>
                <w:sz w:val="20"/>
                <w:szCs w:val="20"/>
              </w:rPr>
            </w:pPr>
            <w:r w:rsidRPr="00265C60">
              <w:rPr>
                <w:b/>
                <w:sz w:val="20"/>
                <w:szCs w:val="20"/>
              </w:rPr>
              <w:t>Социальная политика**</w:t>
            </w:r>
          </w:p>
        </w:tc>
        <w:tc>
          <w:tcPr>
            <w:tcW w:w="864" w:type="dxa"/>
            <w:hideMark/>
          </w:tcPr>
          <w:p w:rsidR="00BD68E9" w:rsidRPr="00265C60" w:rsidRDefault="00BD68E9" w:rsidP="00BD68E9">
            <w:pPr>
              <w:spacing w:line="240" w:lineRule="auto"/>
              <w:ind w:firstLine="0"/>
              <w:jc w:val="center"/>
              <w:rPr>
                <w:b/>
                <w:sz w:val="20"/>
                <w:szCs w:val="20"/>
              </w:rPr>
            </w:pPr>
            <w:r w:rsidRPr="00265C60">
              <w:rPr>
                <w:b/>
                <w:sz w:val="20"/>
                <w:szCs w:val="20"/>
              </w:rPr>
              <w:t>23 534</w:t>
            </w:r>
          </w:p>
        </w:tc>
        <w:tc>
          <w:tcPr>
            <w:tcW w:w="930" w:type="dxa"/>
            <w:hideMark/>
          </w:tcPr>
          <w:p w:rsidR="00BD68E9" w:rsidRPr="00265C60" w:rsidRDefault="00BD68E9" w:rsidP="00BD68E9">
            <w:pPr>
              <w:spacing w:line="240" w:lineRule="auto"/>
              <w:ind w:firstLine="0"/>
              <w:jc w:val="center"/>
              <w:rPr>
                <w:b/>
                <w:sz w:val="20"/>
                <w:szCs w:val="20"/>
              </w:rPr>
            </w:pPr>
            <w:r w:rsidRPr="00265C60">
              <w:rPr>
                <w:b/>
                <w:sz w:val="20"/>
                <w:szCs w:val="20"/>
              </w:rPr>
              <w:t>28,1</w:t>
            </w:r>
          </w:p>
        </w:tc>
        <w:tc>
          <w:tcPr>
            <w:tcW w:w="744" w:type="dxa"/>
            <w:hideMark/>
          </w:tcPr>
          <w:p w:rsidR="00BD68E9" w:rsidRPr="00265C60" w:rsidRDefault="00BD68E9" w:rsidP="00BD68E9">
            <w:pPr>
              <w:spacing w:line="240" w:lineRule="auto"/>
              <w:ind w:firstLine="0"/>
              <w:jc w:val="center"/>
              <w:rPr>
                <w:b/>
                <w:sz w:val="20"/>
                <w:szCs w:val="20"/>
              </w:rPr>
            </w:pPr>
            <w:r w:rsidRPr="00265C60">
              <w:rPr>
                <w:b/>
                <w:sz w:val="20"/>
                <w:szCs w:val="20"/>
              </w:rPr>
              <w:t>10,0</w:t>
            </w:r>
          </w:p>
        </w:tc>
        <w:tc>
          <w:tcPr>
            <w:tcW w:w="844" w:type="dxa"/>
            <w:hideMark/>
          </w:tcPr>
          <w:p w:rsidR="00BD68E9" w:rsidRPr="00265C60" w:rsidRDefault="00BD68E9" w:rsidP="00BD68E9">
            <w:pPr>
              <w:spacing w:line="240" w:lineRule="auto"/>
              <w:ind w:firstLine="0"/>
              <w:jc w:val="center"/>
              <w:rPr>
                <w:b/>
                <w:sz w:val="20"/>
                <w:szCs w:val="20"/>
              </w:rPr>
            </w:pPr>
            <w:r w:rsidRPr="00265C60">
              <w:rPr>
                <w:b/>
                <w:sz w:val="20"/>
                <w:szCs w:val="20"/>
              </w:rPr>
              <w:t>24 859</w:t>
            </w:r>
          </w:p>
        </w:tc>
        <w:tc>
          <w:tcPr>
            <w:tcW w:w="930" w:type="dxa"/>
            <w:hideMark/>
          </w:tcPr>
          <w:p w:rsidR="00BD68E9" w:rsidRPr="00265C60" w:rsidRDefault="00BD68E9" w:rsidP="00BD68E9">
            <w:pPr>
              <w:spacing w:line="240" w:lineRule="auto"/>
              <w:ind w:firstLine="0"/>
              <w:jc w:val="center"/>
              <w:rPr>
                <w:b/>
                <w:sz w:val="20"/>
                <w:szCs w:val="20"/>
              </w:rPr>
            </w:pPr>
            <w:r w:rsidRPr="00265C60">
              <w:rPr>
                <w:b/>
                <w:sz w:val="20"/>
                <w:szCs w:val="20"/>
              </w:rPr>
              <w:t>27,9</w:t>
            </w:r>
          </w:p>
        </w:tc>
        <w:tc>
          <w:tcPr>
            <w:tcW w:w="783" w:type="dxa"/>
            <w:hideMark/>
          </w:tcPr>
          <w:p w:rsidR="00BD68E9" w:rsidRPr="00265C60" w:rsidRDefault="00BD68E9" w:rsidP="00BD68E9">
            <w:pPr>
              <w:spacing w:line="240" w:lineRule="auto"/>
              <w:ind w:firstLine="0"/>
              <w:jc w:val="center"/>
              <w:rPr>
                <w:b/>
                <w:sz w:val="20"/>
                <w:szCs w:val="20"/>
              </w:rPr>
            </w:pPr>
            <w:r w:rsidRPr="00265C60">
              <w:rPr>
                <w:b/>
                <w:sz w:val="20"/>
                <w:szCs w:val="20"/>
              </w:rPr>
              <w:t>9,7</w:t>
            </w:r>
          </w:p>
        </w:tc>
        <w:tc>
          <w:tcPr>
            <w:tcW w:w="844" w:type="dxa"/>
            <w:hideMark/>
          </w:tcPr>
          <w:p w:rsidR="00BD68E9" w:rsidRPr="00265C60" w:rsidRDefault="00BD68E9" w:rsidP="00BD68E9">
            <w:pPr>
              <w:spacing w:line="240" w:lineRule="auto"/>
              <w:ind w:firstLine="0"/>
              <w:jc w:val="center"/>
              <w:rPr>
                <w:b/>
                <w:sz w:val="20"/>
                <w:szCs w:val="20"/>
              </w:rPr>
            </w:pPr>
            <w:r w:rsidRPr="00265C60">
              <w:rPr>
                <w:b/>
                <w:sz w:val="20"/>
                <w:szCs w:val="20"/>
              </w:rPr>
              <w:t>26 131</w:t>
            </w:r>
          </w:p>
        </w:tc>
        <w:tc>
          <w:tcPr>
            <w:tcW w:w="930" w:type="dxa"/>
            <w:hideMark/>
          </w:tcPr>
          <w:p w:rsidR="00BD68E9" w:rsidRPr="00265C60" w:rsidRDefault="00BD68E9" w:rsidP="00BD68E9">
            <w:pPr>
              <w:spacing w:line="240" w:lineRule="auto"/>
              <w:ind w:firstLine="0"/>
              <w:jc w:val="center"/>
              <w:rPr>
                <w:b/>
                <w:sz w:val="20"/>
                <w:szCs w:val="20"/>
              </w:rPr>
            </w:pPr>
            <w:r w:rsidRPr="00265C60">
              <w:rPr>
                <w:b/>
                <w:sz w:val="20"/>
                <w:szCs w:val="20"/>
              </w:rPr>
              <w:t>27,4</w:t>
            </w:r>
          </w:p>
        </w:tc>
        <w:tc>
          <w:tcPr>
            <w:tcW w:w="861" w:type="dxa"/>
            <w:hideMark/>
          </w:tcPr>
          <w:p w:rsidR="00BD68E9" w:rsidRPr="00265C60" w:rsidRDefault="00BD68E9" w:rsidP="00BD68E9">
            <w:pPr>
              <w:spacing w:line="240" w:lineRule="auto"/>
              <w:ind w:firstLine="0"/>
              <w:jc w:val="center"/>
              <w:rPr>
                <w:b/>
                <w:sz w:val="20"/>
                <w:szCs w:val="20"/>
              </w:rPr>
            </w:pPr>
            <w:r w:rsidRPr="00265C60">
              <w:rPr>
                <w:b/>
                <w:sz w:val="20"/>
                <w:szCs w:val="20"/>
              </w:rPr>
              <w:t>9,5</w:t>
            </w:r>
          </w:p>
        </w:tc>
      </w:tr>
      <w:tr w:rsidR="00BD68E9" w:rsidRPr="00265C60" w:rsidTr="009D32A7">
        <w:trPr>
          <w:trHeight w:val="315"/>
          <w:jc w:val="center"/>
        </w:trPr>
        <w:tc>
          <w:tcPr>
            <w:tcW w:w="2530" w:type="dxa"/>
            <w:hideMark/>
          </w:tcPr>
          <w:p w:rsidR="00BD68E9" w:rsidRPr="00265C60" w:rsidRDefault="00BD68E9" w:rsidP="008F7B69">
            <w:pPr>
              <w:pStyle w:val="rvps698610"/>
              <w:widowControl w:val="0"/>
              <w:tabs>
                <w:tab w:val="left" w:pos="9355"/>
              </w:tabs>
              <w:spacing w:after="0" w:line="240" w:lineRule="auto"/>
              <w:ind w:right="0" w:firstLine="0"/>
              <w:rPr>
                <w:sz w:val="20"/>
                <w:szCs w:val="20"/>
              </w:rPr>
            </w:pPr>
            <w:r w:rsidRPr="00265C60">
              <w:rPr>
                <w:sz w:val="20"/>
                <w:szCs w:val="20"/>
              </w:rPr>
              <w:t>Физическая культура и спорт</w:t>
            </w:r>
          </w:p>
        </w:tc>
        <w:tc>
          <w:tcPr>
            <w:tcW w:w="864" w:type="dxa"/>
            <w:hideMark/>
          </w:tcPr>
          <w:p w:rsidR="00BD68E9" w:rsidRPr="00265C60" w:rsidRDefault="00BD68E9" w:rsidP="00BD68E9">
            <w:pPr>
              <w:spacing w:line="240" w:lineRule="auto"/>
              <w:ind w:firstLine="0"/>
              <w:jc w:val="center"/>
              <w:rPr>
                <w:sz w:val="20"/>
                <w:szCs w:val="20"/>
              </w:rPr>
            </w:pPr>
            <w:r w:rsidRPr="00265C60">
              <w:rPr>
                <w:sz w:val="20"/>
                <w:szCs w:val="20"/>
              </w:rPr>
              <w:t>547</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0,7</w:t>
            </w:r>
          </w:p>
        </w:tc>
        <w:tc>
          <w:tcPr>
            <w:tcW w:w="744" w:type="dxa"/>
            <w:hideMark/>
          </w:tcPr>
          <w:p w:rsidR="00BD68E9" w:rsidRPr="00265C60" w:rsidRDefault="00BD68E9" w:rsidP="00BD68E9">
            <w:pPr>
              <w:spacing w:line="240" w:lineRule="auto"/>
              <w:ind w:firstLine="0"/>
              <w:jc w:val="center"/>
              <w:rPr>
                <w:sz w:val="20"/>
                <w:szCs w:val="20"/>
              </w:rPr>
            </w:pPr>
            <w:r w:rsidRPr="00265C60">
              <w:rPr>
                <w:sz w:val="20"/>
                <w:szCs w:val="20"/>
              </w:rPr>
              <w:t>0,2</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553</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0,6</w:t>
            </w:r>
          </w:p>
        </w:tc>
        <w:tc>
          <w:tcPr>
            <w:tcW w:w="783" w:type="dxa"/>
            <w:hideMark/>
          </w:tcPr>
          <w:p w:rsidR="00BD68E9" w:rsidRPr="00265C60" w:rsidRDefault="00BD68E9" w:rsidP="00BD68E9">
            <w:pPr>
              <w:spacing w:line="240" w:lineRule="auto"/>
              <w:ind w:firstLine="0"/>
              <w:jc w:val="center"/>
              <w:rPr>
                <w:sz w:val="20"/>
                <w:szCs w:val="20"/>
              </w:rPr>
            </w:pPr>
            <w:r w:rsidRPr="00265C60">
              <w:rPr>
                <w:sz w:val="20"/>
                <w:szCs w:val="20"/>
              </w:rPr>
              <w:t>0,2</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562</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0,6</w:t>
            </w:r>
          </w:p>
        </w:tc>
        <w:tc>
          <w:tcPr>
            <w:tcW w:w="861" w:type="dxa"/>
            <w:hideMark/>
          </w:tcPr>
          <w:p w:rsidR="00BD68E9" w:rsidRPr="00265C60" w:rsidRDefault="00BD68E9" w:rsidP="00BD68E9">
            <w:pPr>
              <w:spacing w:line="240" w:lineRule="auto"/>
              <w:ind w:firstLine="0"/>
              <w:jc w:val="center"/>
              <w:rPr>
                <w:sz w:val="20"/>
                <w:szCs w:val="20"/>
              </w:rPr>
            </w:pPr>
            <w:r w:rsidRPr="00265C60">
              <w:rPr>
                <w:sz w:val="20"/>
                <w:szCs w:val="20"/>
              </w:rPr>
              <w:t>0,2</w:t>
            </w:r>
          </w:p>
        </w:tc>
      </w:tr>
      <w:tr w:rsidR="00BD68E9" w:rsidRPr="00265C60" w:rsidTr="009D32A7">
        <w:trPr>
          <w:trHeight w:val="315"/>
          <w:jc w:val="center"/>
        </w:trPr>
        <w:tc>
          <w:tcPr>
            <w:tcW w:w="2530" w:type="dxa"/>
            <w:hideMark/>
          </w:tcPr>
          <w:p w:rsidR="00BD68E9" w:rsidRPr="00265C60" w:rsidRDefault="00BD68E9" w:rsidP="008F7B69">
            <w:pPr>
              <w:pStyle w:val="rvps698610"/>
              <w:widowControl w:val="0"/>
              <w:tabs>
                <w:tab w:val="left" w:pos="9355"/>
              </w:tabs>
              <w:spacing w:after="0" w:line="240" w:lineRule="auto"/>
              <w:ind w:right="0" w:firstLine="0"/>
              <w:rPr>
                <w:sz w:val="20"/>
                <w:szCs w:val="20"/>
              </w:rPr>
            </w:pPr>
            <w:r w:rsidRPr="00265C60">
              <w:rPr>
                <w:sz w:val="20"/>
                <w:szCs w:val="20"/>
              </w:rPr>
              <w:t>Средства массовой информации</w:t>
            </w:r>
          </w:p>
        </w:tc>
        <w:tc>
          <w:tcPr>
            <w:tcW w:w="864" w:type="dxa"/>
            <w:hideMark/>
          </w:tcPr>
          <w:p w:rsidR="00BD68E9" w:rsidRPr="00265C60" w:rsidRDefault="00BD68E9" w:rsidP="00BD68E9">
            <w:pPr>
              <w:spacing w:line="240" w:lineRule="auto"/>
              <w:ind w:firstLine="0"/>
              <w:jc w:val="center"/>
              <w:rPr>
                <w:sz w:val="20"/>
                <w:szCs w:val="20"/>
              </w:rPr>
            </w:pPr>
            <w:r w:rsidRPr="00265C60">
              <w:rPr>
                <w:sz w:val="20"/>
                <w:szCs w:val="20"/>
              </w:rPr>
              <w:t>220</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0,3</w:t>
            </w:r>
          </w:p>
        </w:tc>
        <w:tc>
          <w:tcPr>
            <w:tcW w:w="744" w:type="dxa"/>
            <w:hideMark/>
          </w:tcPr>
          <w:p w:rsidR="00BD68E9" w:rsidRPr="00265C60" w:rsidRDefault="00BD68E9" w:rsidP="00BD68E9">
            <w:pPr>
              <w:spacing w:line="240" w:lineRule="auto"/>
              <w:ind w:firstLine="0"/>
              <w:jc w:val="center"/>
              <w:rPr>
                <w:sz w:val="20"/>
                <w:szCs w:val="20"/>
              </w:rPr>
            </w:pPr>
            <w:r w:rsidRPr="00265C60">
              <w:rPr>
                <w:sz w:val="20"/>
                <w:szCs w:val="20"/>
              </w:rPr>
              <w:t>0,1</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174</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0,2</w:t>
            </w:r>
          </w:p>
        </w:tc>
        <w:tc>
          <w:tcPr>
            <w:tcW w:w="783" w:type="dxa"/>
            <w:hideMark/>
          </w:tcPr>
          <w:p w:rsidR="00BD68E9" w:rsidRPr="00265C60" w:rsidRDefault="00BD68E9" w:rsidP="00BD68E9">
            <w:pPr>
              <w:spacing w:line="240" w:lineRule="auto"/>
              <w:ind w:firstLine="0"/>
              <w:jc w:val="center"/>
              <w:rPr>
                <w:sz w:val="20"/>
                <w:szCs w:val="20"/>
              </w:rPr>
            </w:pPr>
            <w:r w:rsidRPr="00265C60">
              <w:rPr>
                <w:sz w:val="20"/>
                <w:szCs w:val="20"/>
              </w:rPr>
              <w:t>0,1</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173</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0,2</w:t>
            </w:r>
          </w:p>
        </w:tc>
        <w:tc>
          <w:tcPr>
            <w:tcW w:w="861" w:type="dxa"/>
            <w:hideMark/>
          </w:tcPr>
          <w:p w:rsidR="00BD68E9" w:rsidRPr="00265C60" w:rsidRDefault="00BD68E9" w:rsidP="00BD68E9">
            <w:pPr>
              <w:spacing w:line="240" w:lineRule="auto"/>
              <w:ind w:firstLine="0"/>
              <w:jc w:val="center"/>
              <w:rPr>
                <w:sz w:val="20"/>
                <w:szCs w:val="20"/>
              </w:rPr>
            </w:pPr>
            <w:r w:rsidRPr="00265C60">
              <w:rPr>
                <w:sz w:val="20"/>
                <w:szCs w:val="20"/>
              </w:rPr>
              <w:t>0,1</w:t>
            </w:r>
          </w:p>
        </w:tc>
      </w:tr>
      <w:tr w:rsidR="00BD68E9" w:rsidRPr="00265C60" w:rsidTr="009D32A7">
        <w:trPr>
          <w:trHeight w:val="353"/>
          <w:jc w:val="center"/>
        </w:trPr>
        <w:tc>
          <w:tcPr>
            <w:tcW w:w="2530" w:type="dxa"/>
            <w:hideMark/>
          </w:tcPr>
          <w:p w:rsidR="00BD68E9" w:rsidRPr="00265C60" w:rsidRDefault="00BD68E9" w:rsidP="008F7B69">
            <w:pPr>
              <w:pStyle w:val="rvps698610"/>
              <w:widowControl w:val="0"/>
              <w:tabs>
                <w:tab w:val="left" w:pos="9355"/>
              </w:tabs>
              <w:spacing w:after="0" w:line="240" w:lineRule="auto"/>
              <w:ind w:right="0" w:firstLine="0"/>
              <w:rPr>
                <w:sz w:val="20"/>
                <w:szCs w:val="20"/>
              </w:rPr>
            </w:pPr>
            <w:r w:rsidRPr="00265C60">
              <w:rPr>
                <w:sz w:val="20"/>
                <w:szCs w:val="20"/>
              </w:rPr>
              <w:t>Обслуживание государственного и муниципального долга</w:t>
            </w:r>
          </w:p>
        </w:tc>
        <w:tc>
          <w:tcPr>
            <w:tcW w:w="864" w:type="dxa"/>
            <w:hideMark/>
          </w:tcPr>
          <w:p w:rsidR="00BD68E9" w:rsidRPr="00265C60" w:rsidRDefault="00BD68E9" w:rsidP="00BD68E9">
            <w:pPr>
              <w:spacing w:line="240" w:lineRule="auto"/>
              <w:ind w:firstLine="0"/>
              <w:jc w:val="center"/>
              <w:rPr>
                <w:sz w:val="20"/>
                <w:szCs w:val="20"/>
              </w:rPr>
            </w:pPr>
            <w:r w:rsidRPr="00265C60">
              <w:rPr>
                <w:sz w:val="20"/>
                <w:szCs w:val="20"/>
              </w:rPr>
              <w:t>3 981</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4,7</w:t>
            </w:r>
          </w:p>
        </w:tc>
        <w:tc>
          <w:tcPr>
            <w:tcW w:w="744" w:type="dxa"/>
            <w:hideMark/>
          </w:tcPr>
          <w:p w:rsidR="00BD68E9" w:rsidRPr="00265C60" w:rsidRDefault="00BD68E9" w:rsidP="00BD68E9">
            <w:pPr>
              <w:spacing w:line="240" w:lineRule="auto"/>
              <w:ind w:firstLine="0"/>
              <w:jc w:val="center"/>
              <w:rPr>
                <w:sz w:val="20"/>
                <w:szCs w:val="20"/>
              </w:rPr>
            </w:pPr>
            <w:r w:rsidRPr="00265C60">
              <w:rPr>
                <w:sz w:val="20"/>
                <w:szCs w:val="20"/>
              </w:rPr>
              <w:t>1,7</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3 841</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4,3</w:t>
            </w:r>
          </w:p>
        </w:tc>
        <w:tc>
          <w:tcPr>
            <w:tcW w:w="783" w:type="dxa"/>
            <w:hideMark/>
          </w:tcPr>
          <w:p w:rsidR="00BD68E9" w:rsidRPr="00265C60" w:rsidRDefault="00BD68E9" w:rsidP="00BD68E9">
            <w:pPr>
              <w:spacing w:line="240" w:lineRule="auto"/>
              <w:ind w:firstLine="0"/>
              <w:jc w:val="center"/>
              <w:rPr>
                <w:sz w:val="20"/>
                <w:szCs w:val="20"/>
              </w:rPr>
            </w:pPr>
            <w:r w:rsidRPr="00265C60">
              <w:rPr>
                <w:sz w:val="20"/>
                <w:szCs w:val="20"/>
              </w:rPr>
              <w:t>1,5</w:t>
            </w:r>
          </w:p>
        </w:tc>
        <w:tc>
          <w:tcPr>
            <w:tcW w:w="844" w:type="dxa"/>
            <w:hideMark/>
          </w:tcPr>
          <w:p w:rsidR="00BD68E9" w:rsidRPr="00265C60" w:rsidRDefault="00BD68E9" w:rsidP="00BD68E9">
            <w:pPr>
              <w:spacing w:line="240" w:lineRule="auto"/>
              <w:ind w:firstLine="0"/>
              <w:jc w:val="center"/>
              <w:rPr>
                <w:sz w:val="20"/>
                <w:szCs w:val="20"/>
              </w:rPr>
            </w:pPr>
            <w:r w:rsidRPr="00265C60">
              <w:rPr>
                <w:sz w:val="20"/>
                <w:szCs w:val="20"/>
              </w:rPr>
              <w:t>4 609</w:t>
            </w:r>
          </w:p>
        </w:tc>
        <w:tc>
          <w:tcPr>
            <w:tcW w:w="930" w:type="dxa"/>
            <w:hideMark/>
          </w:tcPr>
          <w:p w:rsidR="00BD68E9" w:rsidRPr="00265C60" w:rsidRDefault="00BD68E9" w:rsidP="00BD68E9">
            <w:pPr>
              <w:spacing w:line="240" w:lineRule="auto"/>
              <w:ind w:firstLine="0"/>
              <w:jc w:val="center"/>
              <w:rPr>
                <w:sz w:val="20"/>
                <w:szCs w:val="20"/>
              </w:rPr>
            </w:pPr>
            <w:r w:rsidRPr="00265C60">
              <w:rPr>
                <w:sz w:val="20"/>
                <w:szCs w:val="20"/>
              </w:rPr>
              <w:t>4,8</w:t>
            </w:r>
          </w:p>
        </w:tc>
        <w:tc>
          <w:tcPr>
            <w:tcW w:w="861" w:type="dxa"/>
            <w:hideMark/>
          </w:tcPr>
          <w:p w:rsidR="00BD68E9" w:rsidRPr="00265C60" w:rsidRDefault="00BD68E9" w:rsidP="00BD68E9">
            <w:pPr>
              <w:spacing w:line="240" w:lineRule="auto"/>
              <w:ind w:firstLine="0"/>
              <w:jc w:val="center"/>
              <w:rPr>
                <w:sz w:val="20"/>
                <w:szCs w:val="20"/>
              </w:rPr>
            </w:pPr>
            <w:r w:rsidRPr="00265C60">
              <w:rPr>
                <w:sz w:val="20"/>
                <w:szCs w:val="20"/>
              </w:rPr>
              <w:t>1,7</w:t>
            </w:r>
          </w:p>
        </w:tc>
      </w:tr>
      <w:tr w:rsidR="00BD68E9" w:rsidRPr="00265C60" w:rsidTr="009D32A7">
        <w:trPr>
          <w:trHeight w:val="279"/>
          <w:jc w:val="center"/>
        </w:trPr>
        <w:tc>
          <w:tcPr>
            <w:tcW w:w="2530" w:type="dxa"/>
            <w:hideMark/>
          </w:tcPr>
          <w:p w:rsidR="00BD68E9" w:rsidRPr="00265C60" w:rsidRDefault="00BD68E9" w:rsidP="00D07A8B">
            <w:pPr>
              <w:pStyle w:val="rvps698610"/>
              <w:widowControl w:val="0"/>
              <w:tabs>
                <w:tab w:val="left" w:pos="9355"/>
              </w:tabs>
              <w:spacing w:after="0" w:line="240" w:lineRule="auto"/>
              <w:ind w:right="0" w:firstLine="0"/>
              <w:rPr>
                <w:i/>
                <w:iCs/>
                <w:sz w:val="20"/>
                <w:szCs w:val="20"/>
              </w:rPr>
            </w:pPr>
            <w:r w:rsidRPr="00265C60">
              <w:rPr>
                <w:i/>
                <w:iCs/>
                <w:sz w:val="20"/>
                <w:szCs w:val="20"/>
              </w:rPr>
              <w:t>Условно утвержденные расходы, млрд рублей</w:t>
            </w:r>
          </w:p>
        </w:tc>
        <w:tc>
          <w:tcPr>
            <w:tcW w:w="864" w:type="dxa"/>
            <w:hideMark/>
          </w:tcPr>
          <w:p w:rsidR="00BD68E9" w:rsidRPr="00265C60" w:rsidRDefault="00BD68E9" w:rsidP="00BD68E9">
            <w:pPr>
              <w:spacing w:line="240" w:lineRule="auto"/>
              <w:ind w:firstLine="0"/>
              <w:jc w:val="center"/>
              <w:rPr>
                <w:i/>
                <w:sz w:val="20"/>
                <w:szCs w:val="20"/>
              </w:rPr>
            </w:pPr>
          </w:p>
        </w:tc>
        <w:tc>
          <w:tcPr>
            <w:tcW w:w="930" w:type="dxa"/>
            <w:hideMark/>
          </w:tcPr>
          <w:p w:rsidR="00BD68E9" w:rsidRPr="00265C60" w:rsidRDefault="00BD68E9" w:rsidP="00BD68E9">
            <w:pPr>
              <w:spacing w:line="240" w:lineRule="auto"/>
              <w:ind w:firstLine="0"/>
              <w:jc w:val="center"/>
              <w:rPr>
                <w:i/>
                <w:sz w:val="20"/>
                <w:szCs w:val="20"/>
              </w:rPr>
            </w:pPr>
          </w:p>
        </w:tc>
        <w:tc>
          <w:tcPr>
            <w:tcW w:w="744" w:type="dxa"/>
            <w:hideMark/>
          </w:tcPr>
          <w:p w:rsidR="00BD68E9" w:rsidRPr="00265C60" w:rsidRDefault="00BD68E9" w:rsidP="00BD68E9">
            <w:pPr>
              <w:spacing w:line="240" w:lineRule="auto"/>
              <w:ind w:firstLine="0"/>
              <w:jc w:val="center"/>
              <w:rPr>
                <w:i/>
                <w:sz w:val="20"/>
                <w:szCs w:val="20"/>
              </w:rPr>
            </w:pPr>
          </w:p>
        </w:tc>
        <w:tc>
          <w:tcPr>
            <w:tcW w:w="844" w:type="dxa"/>
            <w:hideMark/>
          </w:tcPr>
          <w:p w:rsidR="00BD68E9" w:rsidRPr="00265C60" w:rsidRDefault="00BD68E9" w:rsidP="00BD68E9">
            <w:pPr>
              <w:spacing w:line="240" w:lineRule="auto"/>
              <w:ind w:firstLine="0"/>
              <w:jc w:val="center"/>
              <w:rPr>
                <w:i/>
                <w:sz w:val="20"/>
                <w:szCs w:val="20"/>
              </w:rPr>
            </w:pPr>
            <w:r w:rsidRPr="00265C60">
              <w:rPr>
                <w:i/>
                <w:sz w:val="20"/>
                <w:szCs w:val="20"/>
              </w:rPr>
              <w:t>1 152</w:t>
            </w:r>
          </w:p>
        </w:tc>
        <w:tc>
          <w:tcPr>
            <w:tcW w:w="930" w:type="dxa"/>
            <w:hideMark/>
          </w:tcPr>
          <w:p w:rsidR="00BD68E9" w:rsidRPr="00265C60" w:rsidRDefault="00BD68E9" w:rsidP="00BD68E9">
            <w:pPr>
              <w:spacing w:line="240" w:lineRule="auto"/>
              <w:ind w:firstLine="0"/>
              <w:jc w:val="center"/>
              <w:rPr>
                <w:i/>
                <w:sz w:val="20"/>
                <w:szCs w:val="20"/>
              </w:rPr>
            </w:pPr>
            <w:r w:rsidRPr="00265C60">
              <w:rPr>
                <w:i/>
                <w:sz w:val="20"/>
                <w:szCs w:val="20"/>
              </w:rPr>
              <w:t>1,3</w:t>
            </w:r>
          </w:p>
        </w:tc>
        <w:tc>
          <w:tcPr>
            <w:tcW w:w="783" w:type="dxa"/>
            <w:hideMark/>
          </w:tcPr>
          <w:p w:rsidR="00BD68E9" w:rsidRPr="00265C60" w:rsidRDefault="00BD68E9" w:rsidP="00BD68E9">
            <w:pPr>
              <w:spacing w:line="240" w:lineRule="auto"/>
              <w:ind w:firstLine="0"/>
              <w:jc w:val="center"/>
              <w:rPr>
                <w:i/>
                <w:sz w:val="20"/>
                <w:szCs w:val="20"/>
              </w:rPr>
            </w:pPr>
            <w:r w:rsidRPr="00265C60">
              <w:rPr>
                <w:i/>
                <w:sz w:val="20"/>
                <w:szCs w:val="20"/>
              </w:rPr>
              <w:t>0,5</w:t>
            </w:r>
          </w:p>
        </w:tc>
        <w:tc>
          <w:tcPr>
            <w:tcW w:w="844" w:type="dxa"/>
            <w:hideMark/>
          </w:tcPr>
          <w:p w:rsidR="00BD68E9" w:rsidRPr="00265C60" w:rsidRDefault="00BD68E9" w:rsidP="00BD68E9">
            <w:pPr>
              <w:spacing w:line="240" w:lineRule="auto"/>
              <w:ind w:firstLine="0"/>
              <w:jc w:val="center"/>
              <w:rPr>
                <w:i/>
                <w:sz w:val="20"/>
                <w:szCs w:val="20"/>
              </w:rPr>
            </w:pPr>
            <w:r w:rsidRPr="00265C60">
              <w:rPr>
                <w:i/>
                <w:sz w:val="20"/>
                <w:szCs w:val="20"/>
              </w:rPr>
              <w:t>2 469</w:t>
            </w:r>
          </w:p>
        </w:tc>
        <w:tc>
          <w:tcPr>
            <w:tcW w:w="930" w:type="dxa"/>
            <w:hideMark/>
          </w:tcPr>
          <w:p w:rsidR="00BD68E9" w:rsidRPr="00265C60" w:rsidRDefault="00BD68E9" w:rsidP="00BD68E9">
            <w:pPr>
              <w:spacing w:line="240" w:lineRule="auto"/>
              <w:ind w:firstLine="0"/>
              <w:jc w:val="center"/>
              <w:rPr>
                <w:i/>
                <w:sz w:val="20"/>
                <w:szCs w:val="20"/>
              </w:rPr>
            </w:pPr>
            <w:r w:rsidRPr="00265C60">
              <w:rPr>
                <w:i/>
                <w:sz w:val="20"/>
                <w:szCs w:val="20"/>
              </w:rPr>
              <w:t>2,6</w:t>
            </w:r>
          </w:p>
        </w:tc>
        <w:tc>
          <w:tcPr>
            <w:tcW w:w="861" w:type="dxa"/>
            <w:hideMark/>
          </w:tcPr>
          <w:p w:rsidR="00BD68E9" w:rsidRPr="00265C60" w:rsidRDefault="00BD68E9" w:rsidP="00BD68E9">
            <w:pPr>
              <w:spacing w:line="240" w:lineRule="auto"/>
              <w:ind w:firstLine="0"/>
              <w:jc w:val="center"/>
              <w:rPr>
                <w:i/>
                <w:sz w:val="20"/>
                <w:szCs w:val="20"/>
              </w:rPr>
            </w:pPr>
            <w:r w:rsidRPr="00265C60">
              <w:rPr>
                <w:i/>
                <w:sz w:val="20"/>
                <w:szCs w:val="20"/>
              </w:rPr>
              <w:t>0,9</w:t>
            </w:r>
          </w:p>
        </w:tc>
      </w:tr>
      <w:tr w:rsidR="00BD68E9" w:rsidRPr="00265C60" w:rsidTr="009D32A7">
        <w:trPr>
          <w:trHeight w:val="255"/>
          <w:jc w:val="center"/>
        </w:trPr>
        <w:tc>
          <w:tcPr>
            <w:tcW w:w="2530" w:type="dxa"/>
            <w:hideMark/>
          </w:tcPr>
          <w:p w:rsidR="00BD68E9" w:rsidRPr="00265C60" w:rsidRDefault="00BD42C1" w:rsidP="00BD42C1">
            <w:pPr>
              <w:pStyle w:val="rvps698610"/>
              <w:widowControl w:val="0"/>
              <w:tabs>
                <w:tab w:val="left" w:pos="9355"/>
              </w:tabs>
              <w:spacing w:after="0" w:line="240" w:lineRule="auto"/>
              <w:ind w:right="0" w:firstLine="0"/>
              <w:rPr>
                <w:i/>
                <w:iCs/>
                <w:sz w:val="16"/>
                <w:szCs w:val="16"/>
              </w:rPr>
            </w:pPr>
            <w:r>
              <w:rPr>
                <w:i/>
                <w:iCs/>
                <w:sz w:val="16"/>
                <w:szCs w:val="16"/>
              </w:rPr>
              <w:t>Справочно: ВВП млрд</w:t>
            </w:r>
            <w:r w:rsidR="00BD68E9" w:rsidRPr="00265C60">
              <w:rPr>
                <w:i/>
                <w:iCs/>
                <w:sz w:val="16"/>
                <w:szCs w:val="16"/>
              </w:rPr>
              <w:t xml:space="preserve"> рублей*</w:t>
            </w:r>
          </w:p>
        </w:tc>
        <w:tc>
          <w:tcPr>
            <w:tcW w:w="864" w:type="dxa"/>
            <w:hideMark/>
          </w:tcPr>
          <w:p w:rsidR="00BD68E9" w:rsidRPr="00265C60" w:rsidRDefault="00BD68E9" w:rsidP="00BD68E9">
            <w:pPr>
              <w:spacing w:line="240" w:lineRule="auto"/>
              <w:ind w:firstLine="0"/>
              <w:rPr>
                <w:i/>
                <w:sz w:val="16"/>
                <w:szCs w:val="16"/>
              </w:rPr>
            </w:pPr>
          </w:p>
        </w:tc>
        <w:tc>
          <w:tcPr>
            <w:tcW w:w="930" w:type="dxa"/>
            <w:hideMark/>
          </w:tcPr>
          <w:p w:rsidR="00BD68E9" w:rsidRPr="00265C60" w:rsidRDefault="00BD68E9" w:rsidP="00BD68E9">
            <w:pPr>
              <w:spacing w:line="240" w:lineRule="auto"/>
              <w:ind w:firstLine="0"/>
              <w:rPr>
                <w:i/>
                <w:sz w:val="16"/>
                <w:szCs w:val="16"/>
              </w:rPr>
            </w:pPr>
          </w:p>
        </w:tc>
        <w:tc>
          <w:tcPr>
            <w:tcW w:w="744" w:type="dxa"/>
            <w:hideMark/>
          </w:tcPr>
          <w:p w:rsidR="00BD68E9" w:rsidRPr="00265C60" w:rsidRDefault="00BD68E9" w:rsidP="00BD68E9">
            <w:pPr>
              <w:spacing w:line="240" w:lineRule="auto"/>
              <w:ind w:firstLine="0"/>
              <w:rPr>
                <w:i/>
                <w:sz w:val="16"/>
                <w:szCs w:val="16"/>
              </w:rPr>
            </w:pPr>
            <w:r w:rsidRPr="00265C60">
              <w:rPr>
                <w:i/>
                <w:sz w:val="16"/>
                <w:szCs w:val="16"/>
              </w:rPr>
              <w:t>235 067</w:t>
            </w:r>
          </w:p>
        </w:tc>
        <w:tc>
          <w:tcPr>
            <w:tcW w:w="844" w:type="dxa"/>
            <w:hideMark/>
          </w:tcPr>
          <w:p w:rsidR="00BD68E9" w:rsidRPr="00265C60" w:rsidRDefault="00BD68E9" w:rsidP="00BD68E9">
            <w:pPr>
              <w:spacing w:line="240" w:lineRule="auto"/>
              <w:ind w:firstLine="0"/>
              <w:rPr>
                <w:i/>
                <w:sz w:val="16"/>
                <w:szCs w:val="16"/>
              </w:rPr>
            </w:pPr>
          </w:p>
        </w:tc>
        <w:tc>
          <w:tcPr>
            <w:tcW w:w="930" w:type="dxa"/>
            <w:hideMark/>
          </w:tcPr>
          <w:p w:rsidR="00BD68E9" w:rsidRPr="00265C60" w:rsidRDefault="00BD68E9" w:rsidP="00BD68E9">
            <w:pPr>
              <w:spacing w:line="240" w:lineRule="auto"/>
              <w:ind w:firstLine="0"/>
              <w:rPr>
                <w:i/>
                <w:sz w:val="16"/>
                <w:szCs w:val="16"/>
              </w:rPr>
            </w:pPr>
          </w:p>
        </w:tc>
        <w:tc>
          <w:tcPr>
            <w:tcW w:w="783" w:type="dxa"/>
            <w:hideMark/>
          </w:tcPr>
          <w:p w:rsidR="00BD68E9" w:rsidRPr="00265C60" w:rsidRDefault="00BD68E9" w:rsidP="00BD68E9">
            <w:pPr>
              <w:spacing w:line="240" w:lineRule="auto"/>
              <w:ind w:firstLine="0"/>
              <w:rPr>
                <w:i/>
                <w:sz w:val="16"/>
                <w:szCs w:val="16"/>
              </w:rPr>
            </w:pPr>
            <w:r w:rsidRPr="00265C60">
              <w:rPr>
                <w:i/>
                <w:sz w:val="16"/>
                <w:szCs w:val="16"/>
              </w:rPr>
              <w:t>255 498</w:t>
            </w:r>
          </w:p>
        </w:tc>
        <w:tc>
          <w:tcPr>
            <w:tcW w:w="844" w:type="dxa"/>
            <w:hideMark/>
          </w:tcPr>
          <w:p w:rsidR="00BD68E9" w:rsidRPr="00265C60" w:rsidRDefault="00BD68E9" w:rsidP="00BD68E9">
            <w:pPr>
              <w:spacing w:line="240" w:lineRule="auto"/>
              <w:ind w:firstLine="0"/>
              <w:rPr>
                <w:i/>
                <w:sz w:val="16"/>
                <w:szCs w:val="16"/>
              </w:rPr>
            </w:pPr>
          </w:p>
        </w:tc>
        <w:tc>
          <w:tcPr>
            <w:tcW w:w="930" w:type="dxa"/>
            <w:hideMark/>
          </w:tcPr>
          <w:p w:rsidR="00BD68E9" w:rsidRPr="00265C60" w:rsidRDefault="00BD68E9" w:rsidP="00BD68E9">
            <w:pPr>
              <w:spacing w:line="240" w:lineRule="auto"/>
              <w:ind w:firstLine="0"/>
              <w:rPr>
                <w:i/>
                <w:sz w:val="16"/>
                <w:szCs w:val="16"/>
              </w:rPr>
            </w:pPr>
          </w:p>
        </w:tc>
        <w:tc>
          <w:tcPr>
            <w:tcW w:w="861" w:type="dxa"/>
            <w:hideMark/>
          </w:tcPr>
          <w:p w:rsidR="00BD68E9" w:rsidRPr="00265C60" w:rsidRDefault="00BD68E9" w:rsidP="00BD68E9">
            <w:pPr>
              <w:spacing w:line="240" w:lineRule="auto"/>
              <w:ind w:firstLine="0"/>
              <w:rPr>
                <w:i/>
                <w:sz w:val="16"/>
                <w:szCs w:val="16"/>
              </w:rPr>
            </w:pPr>
            <w:r w:rsidRPr="00265C60">
              <w:rPr>
                <w:i/>
                <w:sz w:val="16"/>
                <w:szCs w:val="16"/>
              </w:rPr>
              <w:t>276 346</w:t>
            </w:r>
          </w:p>
        </w:tc>
      </w:tr>
    </w:tbl>
    <w:p w:rsidR="00706FB7" w:rsidRPr="00265C60" w:rsidRDefault="00706FB7" w:rsidP="00706FB7">
      <w:pPr>
        <w:pStyle w:val="rvps698610"/>
        <w:widowControl w:val="0"/>
        <w:tabs>
          <w:tab w:val="left" w:pos="9355"/>
        </w:tabs>
        <w:spacing w:after="0" w:line="240" w:lineRule="auto"/>
        <w:ind w:right="0"/>
        <w:rPr>
          <w:sz w:val="16"/>
          <w:szCs w:val="16"/>
        </w:rPr>
      </w:pPr>
      <w:r w:rsidRPr="00265C60">
        <w:rPr>
          <w:sz w:val="16"/>
          <w:szCs w:val="16"/>
        </w:rPr>
        <w:t xml:space="preserve">* </w:t>
      </w:r>
      <w:r w:rsidR="00B44BC6" w:rsidRPr="00265C60">
        <w:rPr>
          <w:sz w:val="16"/>
          <w:szCs w:val="16"/>
        </w:rPr>
        <w:t xml:space="preserve">В соответствии  с </w:t>
      </w:r>
      <w:r w:rsidR="00AC1B81" w:rsidRPr="00265C60">
        <w:rPr>
          <w:sz w:val="16"/>
          <w:szCs w:val="16"/>
        </w:rPr>
        <w:t>материалами</w:t>
      </w:r>
      <w:r w:rsidR="00B44BC6" w:rsidRPr="00265C60">
        <w:rPr>
          <w:sz w:val="16"/>
          <w:szCs w:val="16"/>
        </w:rPr>
        <w:t>, представленн</w:t>
      </w:r>
      <w:r w:rsidR="00AC1B81" w:rsidRPr="00265C60">
        <w:rPr>
          <w:sz w:val="16"/>
          <w:szCs w:val="16"/>
        </w:rPr>
        <w:t>ыми</w:t>
      </w:r>
      <w:r w:rsidR="00B44BC6" w:rsidRPr="00265C60">
        <w:rPr>
          <w:sz w:val="16"/>
          <w:szCs w:val="16"/>
        </w:rPr>
        <w:t xml:space="preserve"> одновременно с проектом федерального закона «О федеральном бюджете на </w:t>
      </w:r>
      <w:r w:rsidR="00EB7DD6" w:rsidRPr="00265C60">
        <w:rPr>
          <w:sz w:val="16"/>
          <w:szCs w:val="16"/>
        </w:rPr>
        <w:br/>
      </w:r>
      <w:r w:rsidR="00B44BC6" w:rsidRPr="00265C60">
        <w:rPr>
          <w:sz w:val="16"/>
          <w:szCs w:val="16"/>
        </w:rPr>
        <w:t>202</w:t>
      </w:r>
      <w:r w:rsidR="00BD68E9" w:rsidRPr="00265C60">
        <w:rPr>
          <w:sz w:val="16"/>
          <w:szCs w:val="16"/>
        </w:rPr>
        <w:t>6</w:t>
      </w:r>
      <w:r w:rsidR="00B44BC6" w:rsidRPr="00265C60">
        <w:rPr>
          <w:sz w:val="16"/>
          <w:szCs w:val="16"/>
        </w:rPr>
        <w:t xml:space="preserve"> год и на плановый период 202</w:t>
      </w:r>
      <w:r w:rsidR="00BD68E9" w:rsidRPr="00265C60">
        <w:rPr>
          <w:sz w:val="16"/>
          <w:szCs w:val="16"/>
        </w:rPr>
        <w:t>7</w:t>
      </w:r>
      <w:r w:rsidR="00B44BC6" w:rsidRPr="00265C60">
        <w:rPr>
          <w:sz w:val="16"/>
          <w:szCs w:val="16"/>
        </w:rPr>
        <w:t xml:space="preserve"> и 202</w:t>
      </w:r>
      <w:r w:rsidR="00BD68E9" w:rsidRPr="00265C60">
        <w:rPr>
          <w:sz w:val="16"/>
          <w:szCs w:val="16"/>
        </w:rPr>
        <w:t>8</w:t>
      </w:r>
      <w:r w:rsidR="00B44BC6" w:rsidRPr="00265C60">
        <w:rPr>
          <w:sz w:val="16"/>
          <w:szCs w:val="16"/>
        </w:rPr>
        <w:t xml:space="preserve"> годов</w:t>
      </w:r>
      <w:r w:rsidR="006B4D84" w:rsidRPr="00265C60">
        <w:rPr>
          <w:sz w:val="16"/>
          <w:szCs w:val="16"/>
        </w:rPr>
        <w:t>»</w:t>
      </w:r>
      <w:r w:rsidR="00585971" w:rsidRPr="00265C60">
        <w:rPr>
          <w:sz w:val="16"/>
          <w:szCs w:val="16"/>
        </w:rPr>
        <w:t>.</w:t>
      </w:r>
    </w:p>
    <w:p w:rsidR="00706FB7" w:rsidRPr="00265C60" w:rsidRDefault="00706FB7" w:rsidP="00706FB7">
      <w:pPr>
        <w:pStyle w:val="rvps698610"/>
        <w:widowControl w:val="0"/>
        <w:tabs>
          <w:tab w:val="left" w:pos="9355"/>
        </w:tabs>
        <w:spacing w:after="0" w:line="240" w:lineRule="auto"/>
        <w:ind w:right="0"/>
        <w:rPr>
          <w:sz w:val="16"/>
          <w:szCs w:val="16"/>
        </w:rPr>
      </w:pPr>
      <w:r w:rsidRPr="00265C60">
        <w:rPr>
          <w:sz w:val="16"/>
          <w:szCs w:val="16"/>
        </w:rPr>
        <w:t>** Без учета страховых взносов на неработающее население.</w:t>
      </w:r>
    </w:p>
    <w:p w:rsidR="00706FB7" w:rsidRPr="00265C60" w:rsidRDefault="00706FB7" w:rsidP="00706FB7">
      <w:pPr>
        <w:pStyle w:val="rvps698610"/>
        <w:widowControl w:val="0"/>
        <w:tabs>
          <w:tab w:val="left" w:pos="9355"/>
        </w:tabs>
        <w:spacing w:after="0"/>
        <w:ind w:right="0"/>
        <w:rPr>
          <w:sz w:val="4"/>
        </w:rPr>
      </w:pPr>
    </w:p>
    <w:p w:rsidR="00FF6F07" w:rsidRPr="00265C60" w:rsidRDefault="00706FB7" w:rsidP="00706FB7">
      <w:pPr>
        <w:pStyle w:val="rvps698610"/>
        <w:widowControl w:val="0"/>
        <w:tabs>
          <w:tab w:val="left" w:pos="9355"/>
        </w:tabs>
        <w:spacing w:after="0"/>
        <w:ind w:right="0"/>
      </w:pPr>
      <w:r w:rsidRPr="00265C60">
        <w:t>В структуре расходов бюджетов бюджетной системы Российской Федерации по</w:t>
      </w:r>
      <w:r w:rsidR="00CF368F">
        <w:t> </w:t>
      </w:r>
      <w:r w:rsidRPr="00265C60">
        <w:t>разделам классификации расходов бюджетов в 202</w:t>
      </w:r>
      <w:r w:rsidR="00BD68E9" w:rsidRPr="00265C60">
        <w:t>6</w:t>
      </w:r>
      <w:r w:rsidR="00EB7DD6" w:rsidRPr="00265C60">
        <w:t>–</w:t>
      </w:r>
      <w:r w:rsidRPr="00265C60">
        <w:t>202</w:t>
      </w:r>
      <w:r w:rsidR="00BD68E9" w:rsidRPr="00265C60">
        <w:t>8</w:t>
      </w:r>
      <w:r w:rsidRPr="00265C60">
        <w:t xml:space="preserve"> год</w:t>
      </w:r>
      <w:r w:rsidR="00C3776B" w:rsidRPr="00265C60">
        <w:t>ах</w:t>
      </w:r>
      <w:r w:rsidRPr="00265C60">
        <w:t xml:space="preserve"> </w:t>
      </w:r>
      <w:r w:rsidRPr="00265C60">
        <w:rPr>
          <w:b/>
        </w:rPr>
        <w:t>наибольший объем</w:t>
      </w:r>
      <w:r w:rsidRPr="00265C60">
        <w:t xml:space="preserve"> расходов, как и в предыдущие годы, </w:t>
      </w:r>
      <w:r w:rsidR="00D755D1" w:rsidRPr="00265C60">
        <w:t>составят</w:t>
      </w:r>
      <w:r w:rsidRPr="00265C60">
        <w:t xml:space="preserve"> расходы на социальную политику</w:t>
      </w:r>
      <w:r w:rsidR="008B7BF5" w:rsidRPr="00265C60">
        <w:t xml:space="preserve">. </w:t>
      </w:r>
    </w:p>
    <w:p w:rsidR="00706FB7" w:rsidRPr="00265C60" w:rsidRDefault="008B7BF5" w:rsidP="00706FB7">
      <w:pPr>
        <w:pStyle w:val="rvps698610"/>
        <w:widowControl w:val="0"/>
        <w:tabs>
          <w:tab w:val="left" w:pos="9355"/>
        </w:tabs>
        <w:spacing w:after="0"/>
        <w:ind w:right="0"/>
      </w:pPr>
      <w:r w:rsidRPr="00265C60">
        <w:t xml:space="preserve">При росте </w:t>
      </w:r>
      <w:r w:rsidR="00D755D1" w:rsidRPr="00265C60">
        <w:t xml:space="preserve">расходов </w:t>
      </w:r>
      <w:r w:rsidRPr="00265C60">
        <w:t>в абсолютном выражении</w:t>
      </w:r>
      <w:r w:rsidR="00D755D1" w:rsidRPr="00265C60">
        <w:t xml:space="preserve"> </w:t>
      </w:r>
      <w:r w:rsidRPr="00265C60">
        <w:t xml:space="preserve">доля </w:t>
      </w:r>
      <w:r w:rsidR="006619AF" w:rsidRPr="00265C60">
        <w:t xml:space="preserve">в ВВП </w:t>
      </w:r>
      <w:r w:rsidRPr="00265C60">
        <w:t xml:space="preserve">расходов </w:t>
      </w:r>
      <w:r w:rsidRPr="00265C60">
        <w:lastRenderedPageBreak/>
        <w:t>на</w:t>
      </w:r>
      <w:r w:rsidR="00CF368F">
        <w:t> </w:t>
      </w:r>
      <w:r w:rsidR="006619AF" w:rsidRPr="00265C60">
        <w:t xml:space="preserve">общегосударственные вопросы, </w:t>
      </w:r>
      <w:r w:rsidR="002D732B" w:rsidRPr="00265C60">
        <w:t>охрану окружающей среды,</w:t>
      </w:r>
      <w:r w:rsidR="006619AF" w:rsidRPr="00265C60">
        <w:t xml:space="preserve"> культуру и кинематографию, здравоохранение, физическую культуру и спорт </w:t>
      </w:r>
      <w:r w:rsidR="00D755D1" w:rsidRPr="00265C60">
        <w:t xml:space="preserve">в </w:t>
      </w:r>
      <w:r w:rsidR="006619AF" w:rsidRPr="00265C60">
        <w:t>202</w:t>
      </w:r>
      <w:r w:rsidR="002D732B" w:rsidRPr="00265C60">
        <w:t>6</w:t>
      </w:r>
      <w:r w:rsidR="00F6628F" w:rsidRPr="00265C60">
        <w:t>–</w:t>
      </w:r>
      <w:r w:rsidR="006619AF" w:rsidRPr="00265C60">
        <w:t>202</w:t>
      </w:r>
      <w:r w:rsidR="002D732B" w:rsidRPr="00265C60">
        <w:t>8</w:t>
      </w:r>
      <w:r w:rsidR="006619AF" w:rsidRPr="00265C60">
        <w:t xml:space="preserve"> годах сохраняется</w:t>
      </w:r>
      <w:r w:rsidR="002E4BE3" w:rsidRPr="00265C60">
        <w:t xml:space="preserve"> практически на одном уровне</w:t>
      </w:r>
      <w:r w:rsidR="00706FB7" w:rsidRPr="00265C60">
        <w:t>.</w:t>
      </w:r>
    </w:p>
    <w:p w:rsidR="002E4BE3" w:rsidRPr="00265C60" w:rsidRDefault="00DF1ED2" w:rsidP="00DF1ED2">
      <w:r w:rsidRPr="00265C60">
        <w:t>Дол</w:t>
      </w:r>
      <w:r w:rsidR="00842204" w:rsidRPr="00265C60">
        <w:t>я</w:t>
      </w:r>
      <w:r w:rsidRPr="00265C60">
        <w:t xml:space="preserve"> расходов </w:t>
      </w:r>
      <w:r w:rsidR="009465FA" w:rsidRPr="00265C60">
        <w:t>на</w:t>
      </w:r>
      <w:r w:rsidR="00EB7435" w:rsidRPr="00265C60">
        <w:t xml:space="preserve"> </w:t>
      </w:r>
      <w:r w:rsidR="00452513" w:rsidRPr="00265C60">
        <w:t>образование</w:t>
      </w:r>
      <w:r w:rsidR="002B277C" w:rsidRPr="00265C60">
        <w:t xml:space="preserve"> </w:t>
      </w:r>
      <w:r w:rsidR="00CF3BB7" w:rsidRPr="00265C60">
        <w:t xml:space="preserve">в ВВП </w:t>
      </w:r>
      <w:r w:rsidR="006619AF" w:rsidRPr="00265C60">
        <w:t>в 202</w:t>
      </w:r>
      <w:r w:rsidR="00452513" w:rsidRPr="00265C60">
        <w:t>6</w:t>
      </w:r>
      <w:r w:rsidR="006619AF" w:rsidRPr="00265C60">
        <w:t>–202</w:t>
      </w:r>
      <w:r w:rsidR="00452513" w:rsidRPr="00265C60">
        <w:t>8</w:t>
      </w:r>
      <w:r w:rsidR="006619AF" w:rsidRPr="00265C60">
        <w:t xml:space="preserve"> годах ежегодно </w:t>
      </w:r>
      <w:r w:rsidR="009465FA" w:rsidRPr="00265C60">
        <w:t xml:space="preserve">увеличивается </w:t>
      </w:r>
      <w:r w:rsidR="00452513" w:rsidRPr="00265C60">
        <w:br/>
      </w:r>
      <w:r w:rsidR="009465FA" w:rsidRPr="00265C60">
        <w:t xml:space="preserve">(с </w:t>
      </w:r>
      <w:r w:rsidR="00452513" w:rsidRPr="00265C60">
        <w:t>3</w:t>
      </w:r>
      <w:r w:rsidR="006619AF" w:rsidRPr="00265C60">
        <w:t>,</w:t>
      </w:r>
      <w:r w:rsidR="00452513" w:rsidRPr="00265C60">
        <w:t>1</w:t>
      </w:r>
      <w:r w:rsidR="009465FA" w:rsidRPr="00265C60">
        <w:t xml:space="preserve"> % ВВП</w:t>
      </w:r>
      <w:r w:rsidR="002E4BE3" w:rsidRPr="00265C60">
        <w:t xml:space="preserve"> в 202</w:t>
      </w:r>
      <w:r w:rsidR="00452513" w:rsidRPr="00265C60">
        <w:t>6</w:t>
      </w:r>
      <w:r w:rsidR="002E4BE3" w:rsidRPr="00265C60">
        <w:t xml:space="preserve"> году</w:t>
      </w:r>
      <w:r w:rsidR="009465FA" w:rsidRPr="00265C60">
        <w:t xml:space="preserve"> до </w:t>
      </w:r>
      <w:r w:rsidR="00452513" w:rsidRPr="00265C60">
        <w:t>3</w:t>
      </w:r>
      <w:r w:rsidR="002E4BE3" w:rsidRPr="00265C60">
        <w:t>,</w:t>
      </w:r>
      <w:r w:rsidR="00452513" w:rsidRPr="00265C60">
        <w:t>3</w:t>
      </w:r>
      <w:r w:rsidR="009465FA" w:rsidRPr="00265C60">
        <w:t xml:space="preserve"> % ВВП</w:t>
      </w:r>
      <w:r w:rsidR="002E4BE3" w:rsidRPr="00265C60">
        <w:t xml:space="preserve"> в 202</w:t>
      </w:r>
      <w:r w:rsidR="00452513" w:rsidRPr="00265C60">
        <w:t xml:space="preserve">8 </w:t>
      </w:r>
      <w:r w:rsidR="002E4BE3" w:rsidRPr="00265C60">
        <w:t>году</w:t>
      </w:r>
      <w:r w:rsidR="009465FA" w:rsidRPr="00265C60">
        <w:t>).</w:t>
      </w:r>
    </w:p>
    <w:p w:rsidR="002E4BE3" w:rsidRPr="00265C60" w:rsidRDefault="002E4BE3" w:rsidP="00DF1ED2">
      <w:r w:rsidRPr="00265C60">
        <w:t>При росте расходов в абсолютном выражении доля в ВВП расходов на национальную экономику</w:t>
      </w:r>
      <w:r w:rsidR="00452513" w:rsidRPr="00265C60">
        <w:t xml:space="preserve">, </w:t>
      </w:r>
      <w:r w:rsidR="00A831E5">
        <w:t xml:space="preserve">жилищно-коммунальное хозяйство </w:t>
      </w:r>
      <w:r w:rsidR="00452513" w:rsidRPr="00265C60">
        <w:t>ежегодно</w:t>
      </w:r>
      <w:r w:rsidRPr="00265C60">
        <w:t xml:space="preserve"> снижается.</w:t>
      </w:r>
    </w:p>
    <w:p w:rsidR="00452513" w:rsidRPr="00265C60" w:rsidRDefault="00452513" w:rsidP="00DF1ED2">
      <w:r w:rsidRPr="00265C60">
        <w:t>Доля расходов на обслуживание государственного и муниципального долга в ВВП снижается в 2027 году и увеличивается в 2028 году до уровня 2026 года.</w:t>
      </w:r>
    </w:p>
    <w:p w:rsidR="00DF1ED2" w:rsidRPr="00265C60" w:rsidRDefault="00DF1ED2" w:rsidP="00DF1ED2">
      <w:r w:rsidRPr="00265C60">
        <w:t xml:space="preserve">Суммарная доля расходов на национальную оборону, национальную безопасность и правоохранительную деятельность </w:t>
      </w:r>
      <w:r w:rsidR="00D755D1" w:rsidRPr="00265C60">
        <w:t xml:space="preserve">составит </w:t>
      </w:r>
      <w:r w:rsidR="0020699C" w:rsidRPr="00265C60">
        <w:t>7</w:t>
      </w:r>
      <w:r w:rsidR="002707AB" w:rsidRPr="00265C60">
        <w:t xml:space="preserve"> </w:t>
      </w:r>
      <w:r w:rsidR="00D755D1" w:rsidRPr="00265C60">
        <w:t>% ВВП в среднем на 202</w:t>
      </w:r>
      <w:r w:rsidR="002707AB" w:rsidRPr="00265C60">
        <w:t>6</w:t>
      </w:r>
      <w:r w:rsidR="00EB7DD6" w:rsidRPr="00265C60">
        <w:t>–</w:t>
      </w:r>
      <w:r w:rsidR="00D755D1" w:rsidRPr="00265C60">
        <w:t>202</w:t>
      </w:r>
      <w:r w:rsidR="002707AB" w:rsidRPr="00265C60">
        <w:t>8</w:t>
      </w:r>
      <w:r w:rsidR="00D755D1" w:rsidRPr="00265C60">
        <w:t xml:space="preserve"> годы</w:t>
      </w:r>
      <w:r w:rsidRPr="00265C60">
        <w:t>.</w:t>
      </w:r>
    </w:p>
    <w:p w:rsidR="007D2EA2" w:rsidRPr="00265C60" w:rsidRDefault="007D2EA2" w:rsidP="00235D39">
      <w:pPr>
        <w:widowControl w:val="0"/>
        <w:tabs>
          <w:tab w:val="left" w:pos="0"/>
        </w:tabs>
        <w:rPr>
          <w:b/>
        </w:rPr>
      </w:pPr>
      <w:r w:rsidRPr="00265C60">
        <w:rPr>
          <w:b/>
        </w:rPr>
        <w:t>3.</w:t>
      </w:r>
      <w:r w:rsidR="00996EB0" w:rsidRPr="00265C60">
        <w:rPr>
          <w:b/>
        </w:rPr>
        <w:t>2</w:t>
      </w:r>
      <w:r w:rsidRPr="00265C60">
        <w:rPr>
          <w:b/>
        </w:rPr>
        <w:t xml:space="preserve">. </w:t>
      </w:r>
      <w:r w:rsidR="00704B47" w:rsidRPr="00265C60">
        <w:rPr>
          <w:b/>
        </w:rPr>
        <w:t>Анализ основных характеристик и показателей проекта федерального бюджета на 20</w:t>
      </w:r>
      <w:r w:rsidR="00614AFC" w:rsidRPr="00265C60">
        <w:rPr>
          <w:b/>
        </w:rPr>
        <w:t>2</w:t>
      </w:r>
      <w:r w:rsidR="00F21CB7" w:rsidRPr="00265C60">
        <w:rPr>
          <w:b/>
        </w:rPr>
        <w:t>6</w:t>
      </w:r>
      <w:r w:rsidR="00704B47" w:rsidRPr="00265C60">
        <w:rPr>
          <w:b/>
        </w:rPr>
        <w:t xml:space="preserve"> год и на плановый период 20</w:t>
      </w:r>
      <w:r w:rsidR="003600A2" w:rsidRPr="00265C60">
        <w:rPr>
          <w:b/>
        </w:rPr>
        <w:t>2</w:t>
      </w:r>
      <w:r w:rsidR="00F21CB7" w:rsidRPr="00265C60">
        <w:rPr>
          <w:b/>
        </w:rPr>
        <w:t>7</w:t>
      </w:r>
      <w:r w:rsidR="00704B47" w:rsidRPr="00265C60">
        <w:rPr>
          <w:b/>
        </w:rPr>
        <w:t xml:space="preserve"> и 20</w:t>
      </w:r>
      <w:r w:rsidR="00C86504" w:rsidRPr="00265C60">
        <w:rPr>
          <w:b/>
        </w:rPr>
        <w:t>2</w:t>
      </w:r>
      <w:r w:rsidR="00F21CB7" w:rsidRPr="00265C60">
        <w:rPr>
          <w:b/>
        </w:rPr>
        <w:t>8</w:t>
      </w:r>
      <w:r w:rsidR="00704B47" w:rsidRPr="00265C60">
        <w:rPr>
          <w:b/>
        </w:rPr>
        <w:t xml:space="preserve"> годов</w:t>
      </w:r>
    </w:p>
    <w:p w:rsidR="008C4F13" w:rsidRPr="00265C60" w:rsidRDefault="007D2EA2" w:rsidP="0090527B">
      <w:pPr>
        <w:autoSpaceDE w:val="0"/>
        <w:autoSpaceDN w:val="0"/>
        <w:adjustRightInd w:val="0"/>
        <w:spacing w:line="348" w:lineRule="auto"/>
      </w:pPr>
      <w:r w:rsidRPr="00265C60">
        <w:rPr>
          <w:b/>
        </w:rPr>
        <w:t>3.</w:t>
      </w:r>
      <w:r w:rsidR="00996EB0" w:rsidRPr="00265C60">
        <w:rPr>
          <w:b/>
        </w:rPr>
        <w:t>2</w:t>
      </w:r>
      <w:r w:rsidRPr="00265C60">
        <w:rPr>
          <w:b/>
        </w:rPr>
        <w:t>.1.</w:t>
      </w:r>
      <w:r w:rsidRPr="00265C60">
        <w:t xml:space="preserve"> </w:t>
      </w:r>
      <w:r w:rsidR="006B054B" w:rsidRPr="00265C60">
        <w:t xml:space="preserve">Законопроект сформирован </w:t>
      </w:r>
      <w:r w:rsidR="005A0293" w:rsidRPr="00265C60">
        <w:t>на основе базового варианта прогноза социально-экономического развития Российской Федерации на 202</w:t>
      </w:r>
      <w:r w:rsidR="00696C17" w:rsidRPr="00265C60">
        <w:t>6</w:t>
      </w:r>
      <w:r w:rsidR="005A0293" w:rsidRPr="00265C60">
        <w:t xml:space="preserve"> год и на плановый период 202</w:t>
      </w:r>
      <w:r w:rsidR="00696C17" w:rsidRPr="00265C60">
        <w:t>7</w:t>
      </w:r>
      <w:r w:rsidR="005A0293" w:rsidRPr="00265C60">
        <w:t xml:space="preserve"> и 202</w:t>
      </w:r>
      <w:r w:rsidR="00696C17" w:rsidRPr="00265C60">
        <w:t>8</w:t>
      </w:r>
      <w:r w:rsidR="005A0293" w:rsidRPr="00265C60">
        <w:t xml:space="preserve"> годов</w:t>
      </w:r>
      <w:r w:rsidR="00E13774">
        <w:t xml:space="preserve"> (далее – прогноз)</w:t>
      </w:r>
      <w:r w:rsidR="006B054B" w:rsidRPr="00265C60">
        <w:t xml:space="preserve">, </w:t>
      </w:r>
      <w:r w:rsidR="007877F1" w:rsidRPr="00265C60">
        <w:t>предусматривающего</w:t>
      </w:r>
      <w:r w:rsidR="005E54DD" w:rsidRPr="00265C60">
        <w:t xml:space="preserve"> </w:t>
      </w:r>
      <w:r w:rsidR="00EC121B" w:rsidRPr="00265C60">
        <w:t>увеличение темпов роста ВВП в</w:t>
      </w:r>
      <w:r w:rsidR="00CF368F">
        <w:t> </w:t>
      </w:r>
      <w:r w:rsidR="00EC121B" w:rsidRPr="00265C60">
        <w:t>2026</w:t>
      </w:r>
      <w:r w:rsidR="00CF368F">
        <w:t> </w:t>
      </w:r>
      <w:r w:rsidR="00EC121B" w:rsidRPr="00265C60">
        <w:t>году по сравнению с 2025 годом (с 1 % в 2025 году до 2,5 % в 2028 году), ослабление курса рубля с 86,1 рубля за доллар США в 2025 году до 100,1 рубля за доллар США в</w:t>
      </w:r>
      <w:r w:rsidR="00CF368F">
        <w:t> </w:t>
      </w:r>
      <w:r w:rsidR="00EC121B" w:rsidRPr="00265C60">
        <w:t>2028</w:t>
      </w:r>
      <w:r w:rsidR="00CF368F">
        <w:t> </w:t>
      </w:r>
      <w:r w:rsidR="00EC121B" w:rsidRPr="00265C60">
        <w:t>году, увеличение экспортной цены на российскую нефть с 58 долларов США за</w:t>
      </w:r>
      <w:r w:rsidR="00CF368F">
        <w:t> </w:t>
      </w:r>
      <w:r w:rsidR="00EC121B" w:rsidRPr="00265C60">
        <w:t>баррель в</w:t>
      </w:r>
      <w:r w:rsidR="00CF368F">
        <w:t> </w:t>
      </w:r>
      <w:r w:rsidR="00EC121B" w:rsidRPr="00265C60">
        <w:t>2025 году до 65 долларов США за баррель в 2028 году</w:t>
      </w:r>
      <w:r w:rsidR="00B75F8C" w:rsidRPr="00265C60">
        <w:t xml:space="preserve">, </w:t>
      </w:r>
      <w:r w:rsidR="005E54DD" w:rsidRPr="00265C60">
        <w:t>возвращение</w:t>
      </w:r>
      <w:r w:rsidR="006B054B" w:rsidRPr="00265C60">
        <w:t xml:space="preserve"> </w:t>
      </w:r>
      <w:r w:rsidR="00807BC3" w:rsidRPr="00265C60">
        <w:t>уровня инфляции</w:t>
      </w:r>
      <w:r w:rsidR="006B054B" w:rsidRPr="00265C60">
        <w:t xml:space="preserve"> </w:t>
      </w:r>
      <w:r w:rsidR="005E54DD" w:rsidRPr="00265C60">
        <w:t>к</w:t>
      </w:r>
      <w:r w:rsidR="00CF368F">
        <w:t> </w:t>
      </w:r>
      <w:r w:rsidR="005E54DD" w:rsidRPr="00265C60">
        <w:t>целевому ориентиру (</w:t>
      </w:r>
      <w:r w:rsidR="00CC4A18" w:rsidRPr="00265C60">
        <w:t>6,8</w:t>
      </w:r>
      <w:r w:rsidR="004D084B" w:rsidRPr="00265C60">
        <w:t xml:space="preserve"> % в 202</w:t>
      </w:r>
      <w:r w:rsidR="00685E6E" w:rsidRPr="00265C60">
        <w:t>5</w:t>
      </w:r>
      <w:r w:rsidR="004D084B" w:rsidRPr="00265C60">
        <w:t xml:space="preserve"> году и</w:t>
      </w:r>
      <w:r w:rsidR="006B054B" w:rsidRPr="00265C60">
        <w:t xml:space="preserve"> 4 %</w:t>
      </w:r>
      <w:r w:rsidR="00347D1D" w:rsidRPr="00265C60">
        <w:t xml:space="preserve"> </w:t>
      </w:r>
      <w:r w:rsidR="002E34EE" w:rsidRPr="00265C60">
        <w:t>в 202</w:t>
      </w:r>
      <w:r w:rsidR="00685E6E" w:rsidRPr="00265C60">
        <w:t>6</w:t>
      </w:r>
      <w:r w:rsidR="00EB7DD6" w:rsidRPr="00265C60">
        <w:t>–</w:t>
      </w:r>
      <w:r w:rsidR="0090527B" w:rsidRPr="00265C60">
        <w:t>202</w:t>
      </w:r>
      <w:r w:rsidR="00CC4A18" w:rsidRPr="00265C60">
        <w:t>8</w:t>
      </w:r>
      <w:r w:rsidR="0090527B" w:rsidRPr="00265C60">
        <w:t xml:space="preserve"> годах</w:t>
      </w:r>
      <w:r w:rsidR="005E54DD" w:rsidRPr="00265C60">
        <w:t>)</w:t>
      </w:r>
      <w:r w:rsidR="006B054B" w:rsidRPr="00265C60">
        <w:t>.</w:t>
      </w:r>
    </w:p>
    <w:p w:rsidR="00DF7BB0" w:rsidRPr="00265C60" w:rsidRDefault="00DF7BB0" w:rsidP="0090527B">
      <w:pPr>
        <w:autoSpaceDE w:val="0"/>
        <w:autoSpaceDN w:val="0"/>
        <w:adjustRightInd w:val="0"/>
        <w:spacing w:line="348" w:lineRule="auto"/>
      </w:pPr>
      <w:r w:rsidRPr="00265C60">
        <w:t>Анализ прогноза социально-экономического развития Российской Федерации на</w:t>
      </w:r>
      <w:r w:rsidR="00CF368F">
        <w:t> </w:t>
      </w:r>
      <w:r w:rsidRPr="00265C60">
        <w:t>202</w:t>
      </w:r>
      <w:r w:rsidR="00685E6E" w:rsidRPr="00265C60">
        <w:t>5</w:t>
      </w:r>
      <w:r w:rsidR="00CF368F">
        <w:t> </w:t>
      </w:r>
      <w:r w:rsidRPr="00265C60">
        <w:t>год и на плановый период 202</w:t>
      </w:r>
      <w:r w:rsidR="00685E6E" w:rsidRPr="00265C60">
        <w:t>6</w:t>
      </w:r>
      <w:r w:rsidRPr="00265C60">
        <w:t xml:space="preserve"> и 202</w:t>
      </w:r>
      <w:r w:rsidR="00685E6E" w:rsidRPr="00265C60">
        <w:t>7</w:t>
      </w:r>
      <w:r w:rsidRPr="00265C60">
        <w:t xml:space="preserve"> годов представлен в разделе 2 Заключения.</w:t>
      </w:r>
    </w:p>
    <w:p w:rsidR="00603FDF" w:rsidRPr="00265C60" w:rsidRDefault="00603FDF" w:rsidP="00603FDF">
      <w:pPr>
        <w:autoSpaceDE w:val="0"/>
        <w:autoSpaceDN w:val="0"/>
        <w:adjustRightInd w:val="0"/>
        <w:spacing w:line="348" w:lineRule="auto"/>
      </w:pPr>
      <w:r w:rsidRPr="00265C60">
        <w:rPr>
          <w:b/>
        </w:rPr>
        <w:t>3.2.2. Формирование основных характеристик</w:t>
      </w:r>
      <w:r w:rsidRPr="00265C60">
        <w:t xml:space="preserve"> федерального бюджета</w:t>
      </w:r>
      <w:r w:rsidRPr="00265C60">
        <w:br/>
      </w:r>
      <w:r w:rsidRPr="00265C60">
        <w:rPr>
          <w:b/>
        </w:rPr>
        <w:t>на 202</w:t>
      </w:r>
      <w:r w:rsidR="001D0871" w:rsidRPr="00265C60">
        <w:rPr>
          <w:b/>
        </w:rPr>
        <w:t>6</w:t>
      </w:r>
      <w:r w:rsidRPr="00265C60">
        <w:rPr>
          <w:b/>
        </w:rPr>
        <w:t>–202</w:t>
      </w:r>
      <w:r w:rsidR="001D0871" w:rsidRPr="00265C60">
        <w:rPr>
          <w:b/>
        </w:rPr>
        <w:t>8</w:t>
      </w:r>
      <w:r w:rsidRPr="00265C60">
        <w:rPr>
          <w:b/>
        </w:rPr>
        <w:t xml:space="preserve"> годы</w:t>
      </w:r>
      <w:r w:rsidRPr="00265C60">
        <w:t xml:space="preserve"> осуществлялось </w:t>
      </w:r>
      <w:r w:rsidRPr="00265C60">
        <w:rPr>
          <w:b/>
        </w:rPr>
        <w:t xml:space="preserve">с учетом </w:t>
      </w:r>
      <w:r w:rsidRPr="00265C60">
        <w:t xml:space="preserve">положений </w:t>
      </w:r>
      <w:r w:rsidRPr="00265C60">
        <w:rPr>
          <w:b/>
        </w:rPr>
        <w:t>проекта федерального закона</w:t>
      </w:r>
      <w:r w:rsidRPr="00265C60">
        <w:t xml:space="preserve"> </w:t>
      </w:r>
      <w:r w:rsidRPr="00265C60">
        <w:br/>
      </w:r>
      <w:r w:rsidRPr="00265C60">
        <w:rPr>
          <w:b/>
        </w:rPr>
        <w:t xml:space="preserve">№ </w:t>
      </w:r>
      <w:r w:rsidR="00E86D46" w:rsidRPr="00265C60">
        <w:rPr>
          <w:b/>
        </w:rPr>
        <w:t>1026188</w:t>
      </w:r>
      <w:r w:rsidRPr="00265C60">
        <w:rPr>
          <w:b/>
        </w:rPr>
        <w:t>-8</w:t>
      </w:r>
      <w:r w:rsidRPr="00265C60">
        <w:t xml:space="preserve"> «О </w:t>
      </w:r>
      <w:r w:rsidR="00E86D46" w:rsidRPr="00265C60">
        <w:t xml:space="preserve">приостановлении действия отдельных положений законодательных актов Российской Федерации, </w:t>
      </w:r>
      <w:r w:rsidRPr="00265C60">
        <w:t>внесении изменений в отдельные законодательные акты Российской Федерации</w:t>
      </w:r>
      <w:r w:rsidR="00E86D46" w:rsidRPr="00265C60">
        <w:t xml:space="preserve"> </w:t>
      </w:r>
      <w:r w:rsidRPr="00265C60">
        <w:t>и об установлении особенностей исполнения бюджетов бюджетной системы Российской Федерации в 202</w:t>
      </w:r>
      <w:r w:rsidR="00E86D46" w:rsidRPr="00265C60">
        <w:t>6</w:t>
      </w:r>
      <w:r w:rsidRPr="00265C60">
        <w:t xml:space="preserve"> году»</w:t>
      </w:r>
      <w:r w:rsidR="000C7E66">
        <w:t xml:space="preserve"> (далее – законопроект № 1026188-8)</w:t>
      </w:r>
      <w:r w:rsidRPr="00265C60">
        <w:t xml:space="preserve">, внесенного одновременно с законопроектом, о </w:t>
      </w:r>
      <w:r w:rsidRPr="00265C60">
        <w:rPr>
          <w:b/>
          <w:bCs/>
        </w:rPr>
        <w:t>приостановлении до 1 января 202</w:t>
      </w:r>
      <w:r w:rsidR="00E86D46" w:rsidRPr="00265C60">
        <w:rPr>
          <w:b/>
          <w:bCs/>
        </w:rPr>
        <w:t>6</w:t>
      </w:r>
      <w:r w:rsidRPr="00265C60">
        <w:rPr>
          <w:b/>
          <w:bCs/>
        </w:rPr>
        <w:t xml:space="preserve"> года </w:t>
      </w:r>
      <w:r w:rsidRPr="00265C60">
        <w:rPr>
          <w:bCs/>
        </w:rPr>
        <w:t xml:space="preserve">действия </w:t>
      </w:r>
      <w:r w:rsidRPr="00265C60">
        <w:t>статьи 174</w:t>
      </w:r>
      <w:r w:rsidRPr="00265C60">
        <w:rPr>
          <w:vertAlign w:val="superscript"/>
        </w:rPr>
        <w:t>1</w:t>
      </w:r>
      <w:r w:rsidRPr="00265C60">
        <w:t xml:space="preserve"> Бюджетного кодекса Российской Федерации</w:t>
      </w:r>
      <w:r w:rsidR="00D73D54" w:rsidRPr="00265C60">
        <w:t xml:space="preserve"> (за исключением положения о</w:t>
      </w:r>
      <w:r w:rsidR="00CF368F">
        <w:t> </w:t>
      </w:r>
      <w:r w:rsidR="00D73D54" w:rsidRPr="00265C60">
        <w:t>прогнозировании доходов бюджета на основе прогноза социально-экономического развития территории, действующего на день внесения проекта закона (решения) о бюджете в</w:t>
      </w:r>
      <w:r w:rsidR="00CF368F">
        <w:t> </w:t>
      </w:r>
      <w:r w:rsidR="00D73D54" w:rsidRPr="00265C60">
        <w:t>законодательный (представительный) орган)</w:t>
      </w:r>
      <w:r w:rsidRPr="00265C60">
        <w:t>.</w:t>
      </w:r>
    </w:p>
    <w:p w:rsidR="00603FDF" w:rsidRPr="00265C60" w:rsidRDefault="00603FDF" w:rsidP="00603FDF">
      <w:pPr>
        <w:autoSpaceDE w:val="0"/>
        <w:autoSpaceDN w:val="0"/>
        <w:adjustRightInd w:val="0"/>
        <w:spacing w:line="348" w:lineRule="auto"/>
      </w:pPr>
      <w:r w:rsidRPr="00265C60">
        <w:t>Согласно статье 174</w:t>
      </w:r>
      <w:r w:rsidRPr="00265C60">
        <w:rPr>
          <w:vertAlign w:val="superscript"/>
        </w:rPr>
        <w:t>1</w:t>
      </w:r>
      <w:r w:rsidRPr="00265C60">
        <w:t xml:space="preserve"> Бюджетного кодекса Российской Федерации  </w:t>
      </w:r>
      <w:r w:rsidRPr="00265C60">
        <w:rPr>
          <w:b/>
          <w:bCs/>
        </w:rPr>
        <w:t>доходы бюджета прогнозируются</w:t>
      </w:r>
      <w:r w:rsidRPr="00265C60">
        <w:t xml:space="preserve"> на основе прогноза социально-экономического развития территории </w:t>
      </w:r>
      <w:r w:rsidRPr="00265C60">
        <w:rPr>
          <w:bCs/>
        </w:rPr>
        <w:t>в</w:t>
      </w:r>
      <w:r w:rsidR="00CF368F">
        <w:rPr>
          <w:bCs/>
        </w:rPr>
        <w:t> </w:t>
      </w:r>
      <w:r w:rsidRPr="00265C60">
        <w:rPr>
          <w:bCs/>
        </w:rPr>
        <w:t>условиях действующего на день внесения проекта закона (решения) о бюджете в</w:t>
      </w:r>
      <w:r w:rsidR="00CF368F">
        <w:rPr>
          <w:bCs/>
        </w:rPr>
        <w:t> </w:t>
      </w:r>
      <w:r w:rsidRPr="00265C60">
        <w:rPr>
          <w:bCs/>
        </w:rPr>
        <w:t>законодательный (представительный) орган</w:t>
      </w:r>
      <w:r w:rsidRPr="00265C60">
        <w:rPr>
          <w:b/>
          <w:bCs/>
        </w:rPr>
        <w:t xml:space="preserve">, </w:t>
      </w:r>
      <w:r w:rsidRPr="00265C60">
        <w:t xml:space="preserve">а также </w:t>
      </w:r>
      <w:r w:rsidRPr="00265C60">
        <w:rPr>
          <w:b/>
          <w:bCs/>
        </w:rPr>
        <w:t xml:space="preserve">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w:t>
      </w:r>
      <w:r w:rsidRPr="00265C60">
        <w:t xml:space="preserve">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 </w:t>
      </w:r>
    </w:p>
    <w:p w:rsidR="00C12D42" w:rsidRPr="00265C60" w:rsidRDefault="00C12D42" w:rsidP="00603FDF">
      <w:pPr>
        <w:autoSpaceDE w:val="0"/>
        <w:autoSpaceDN w:val="0"/>
        <w:adjustRightInd w:val="0"/>
        <w:spacing w:line="348" w:lineRule="auto"/>
      </w:pPr>
      <w:r w:rsidRPr="00265C60">
        <w:t xml:space="preserve">Также указанной статьей установлено, что </w:t>
      </w:r>
      <w:r w:rsidRPr="00265C60">
        <w:rPr>
          <w:b/>
        </w:rPr>
        <w:t>положения федеральных законов,</w:t>
      </w:r>
      <w:r w:rsidRPr="00265C60">
        <w:t xml:space="preserve"> законов субъектов Российской Федерации, муниципальных правовых актов представительных органов муниципальных образований, </w:t>
      </w:r>
      <w:r w:rsidRPr="00265C60">
        <w:rPr>
          <w:b/>
        </w:rPr>
        <w:t>приводящих к изменению общего объема доходов</w:t>
      </w:r>
      <w:r w:rsidRPr="00265C60">
        <w:t xml:space="preserve"> соответствующего бюджета и принятых после внесения проекта закона (решения) о бюджете на рассмотрение в законодательный (представительный) орган, </w:t>
      </w:r>
      <w:r w:rsidRPr="00265C60">
        <w:rPr>
          <w:b/>
        </w:rPr>
        <w:t>учитываются в очередном финансовом году при внесении изменений в бюджет</w:t>
      </w:r>
      <w:r w:rsidRPr="00265C60">
        <w:t xml:space="preserve"> на</w:t>
      </w:r>
      <w:r w:rsidR="00CF368F">
        <w:t> </w:t>
      </w:r>
      <w:r w:rsidRPr="00265C60">
        <w:t>текущий финансовый год и плановый период в части показателей текущего финансового года.</w:t>
      </w:r>
    </w:p>
    <w:p w:rsidR="00603FDF" w:rsidRPr="00265C60" w:rsidRDefault="00603FDF" w:rsidP="00603FDF">
      <w:pPr>
        <w:autoSpaceDE w:val="0"/>
        <w:autoSpaceDN w:val="0"/>
        <w:adjustRightInd w:val="0"/>
        <w:spacing w:line="348" w:lineRule="auto"/>
      </w:pPr>
      <w:r w:rsidRPr="00265C60">
        <w:t xml:space="preserve">Следует отметить, что </w:t>
      </w:r>
      <w:r w:rsidRPr="00265C60">
        <w:rPr>
          <w:b/>
          <w:bCs/>
        </w:rPr>
        <w:t>действие положения</w:t>
      </w:r>
      <w:r w:rsidR="002E0705" w:rsidRPr="00265C60">
        <w:rPr>
          <w:bCs/>
        </w:rPr>
        <w:t xml:space="preserve"> статьи 174</w:t>
      </w:r>
      <w:r w:rsidR="002E0705" w:rsidRPr="00265C60">
        <w:rPr>
          <w:bCs/>
          <w:vertAlign w:val="superscript"/>
        </w:rPr>
        <w:t>1</w:t>
      </w:r>
      <w:r w:rsidR="002E0705" w:rsidRPr="00265C60">
        <w:rPr>
          <w:bCs/>
        </w:rPr>
        <w:t xml:space="preserve"> Бюджетного кодекса Российской Федерации</w:t>
      </w:r>
      <w:r w:rsidRPr="00265C60">
        <w:t xml:space="preserve">, </w:t>
      </w:r>
      <w:r w:rsidR="00027CFF" w:rsidRPr="00265C60">
        <w:t>регламентирующего вопросы прогнозирования доходов при</w:t>
      </w:r>
      <w:r w:rsidR="00C13D28">
        <w:t> </w:t>
      </w:r>
      <w:r w:rsidR="00027CFF" w:rsidRPr="00265C60">
        <w:t>формировании проекта закона (решения) о бюджете</w:t>
      </w:r>
      <w:r w:rsidR="00F6628F" w:rsidRPr="00265C60">
        <w:t>,</w:t>
      </w:r>
      <w:r w:rsidRPr="00265C60">
        <w:t xml:space="preserve"> </w:t>
      </w:r>
      <w:r w:rsidRPr="00265C60">
        <w:rPr>
          <w:b/>
          <w:bCs/>
        </w:rPr>
        <w:t>приостанавливалось 1</w:t>
      </w:r>
      <w:r w:rsidR="001D0871" w:rsidRPr="00265C60">
        <w:rPr>
          <w:b/>
          <w:bCs/>
        </w:rPr>
        <w:t>6</w:t>
      </w:r>
      <w:r w:rsidRPr="00265C60">
        <w:rPr>
          <w:b/>
          <w:bCs/>
        </w:rPr>
        <w:t xml:space="preserve"> раз </w:t>
      </w:r>
      <w:r w:rsidRPr="00265C60">
        <w:t>с</w:t>
      </w:r>
      <w:r w:rsidR="00C13D28">
        <w:t> </w:t>
      </w:r>
      <w:r w:rsidRPr="00265C60">
        <w:t>учетом измененной редакции (4 раза с 2009 по 2012 год,</w:t>
      </w:r>
      <w:r w:rsidR="002E0705" w:rsidRPr="00265C60">
        <w:t xml:space="preserve"> </w:t>
      </w:r>
      <w:r w:rsidRPr="00265C60">
        <w:t>1</w:t>
      </w:r>
      <w:r w:rsidR="00E86D46" w:rsidRPr="00265C60">
        <w:t>2</w:t>
      </w:r>
      <w:r w:rsidRPr="00265C60">
        <w:t xml:space="preserve"> раз подряд с 2014 по 202</w:t>
      </w:r>
      <w:r w:rsidR="00E86D46" w:rsidRPr="00265C60">
        <w:t>5</w:t>
      </w:r>
      <w:r w:rsidRPr="00265C60">
        <w:t xml:space="preserve"> год), на что Счетная палата неоднократно обращала внимание в заключениях на проекты федеральных законов о федеральном бюджете на очередной финансовый год и на плановый период. Таким образом, данная норма, по сути, является недействующей.</w:t>
      </w:r>
    </w:p>
    <w:p w:rsidR="00EB5AC6" w:rsidRPr="00265C60" w:rsidRDefault="00FD38C1" w:rsidP="00EB5AC6">
      <w:pPr>
        <w:ind w:right="-5"/>
        <w:rPr>
          <w:shd w:val="clear" w:color="auto" w:fill="FFFFFF"/>
        </w:rPr>
      </w:pPr>
      <w:r w:rsidRPr="00265C60">
        <w:rPr>
          <w:b/>
        </w:rPr>
        <w:t>3.2.3.</w:t>
      </w:r>
      <w:r w:rsidRPr="00265C60">
        <w:t> </w:t>
      </w:r>
      <w:r w:rsidR="00EB5AC6" w:rsidRPr="00265C60">
        <w:t xml:space="preserve">При установлении бюджетного правила в 2016 году базовая цена на нефть была определена в размере </w:t>
      </w:r>
      <w:r w:rsidR="00EB5AC6" w:rsidRPr="00265C60">
        <w:rPr>
          <w:b/>
        </w:rPr>
        <w:t>40 долларов США за баррель</w:t>
      </w:r>
      <w:r w:rsidR="00EB5AC6" w:rsidRPr="00265C60">
        <w:t xml:space="preserve"> начиная с 2017 года, подлежащая ежегодной индексации на 2 % начиная с 2018 года. </w:t>
      </w:r>
      <w:r w:rsidR="00EB5AC6" w:rsidRPr="00265C60">
        <w:rPr>
          <w:shd w:val="clear" w:color="auto" w:fill="FFFFFF"/>
        </w:rPr>
        <w:t xml:space="preserve">При этом </w:t>
      </w:r>
      <w:r w:rsidR="00EB5AC6" w:rsidRPr="00265C60">
        <w:rPr>
          <w:b/>
          <w:shd w:val="clear" w:color="auto" w:fill="FFFFFF"/>
        </w:rPr>
        <w:t>среднее фактическое</w:t>
      </w:r>
      <w:r w:rsidR="00EB5AC6" w:rsidRPr="00265C60">
        <w:rPr>
          <w:shd w:val="clear" w:color="auto" w:fill="FFFFFF"/>
        </w:rPr>
        <w:t xml:space="preserve"> </w:t>
      </w:r>
      <w:r w:rsidR="00EB5AC6" w:rsidRPr="00265C60">
        <w:rPr>
          <w:b/>
          <w:shd w:val="clear" w:color="auto" w:fill="FFFFFF"/>
        </w:rPr>
        <w:t>значение цены на нефть</w:t>
      </w:r>
      <w:r w:rsidR="00EB5AC6" w:rsidRPr="00265C60">
        <w:rPr>
          <w:shd w:val="clear" w:color="auto" w:fill="FFFFFF"/>
        </w:rPr>
        <w:t xml:space="preserve"> марки «Юралс» </w:t>
      </w:r>
      <w:r w:rsidR="00EB5AC6" w:rsidRPr="00265C60">
        <w:rPr>
          <w:b/>
          <w:shd w:val="clear" w:color="auto" w:fill="FFFFFF"/>
        </w:rPr>
        <w:t>за 10 лет</w:t>
      </w:r>
      <w:r w:rsidR="00EB5AC6" w:rsidRPr="00265C60">
        <w:rPr>
          <w:shd w:val="clear" w:color="auto" w:fill="FFFFFF"/>
        </w:rPr>
        <w:t xml:space="preserve"> </w:t>
      </w:r>
      <w:r w:rsidR="00EB5AC6" w:rsidRPr="00265C60">
        <w:rPr>
          <w:b/>
          <w:shd w:val="clear" w:color="auto" w:fill="FFFFFF"/>
        </w:rPr>
        <w:t xml:space="preserve">(с 2007 по 2016 </w:t>
      </w:r>
      <w:r w:rsidR="00D07A8B">
        <w:rPr>
          <w:b/>
          <w:shd w:val="clear" w:color="auto" w:fill="FFFFFF"/>
        </w:rPr>
        <w:t>годы</w:t>
      </w:r>
      <w:r w:rsidR="00EB5AC6" w:rsidRPr="00265C60">
        <w:rPr>
          <w:b/>
          <w:shd w:val="clear" w:color="auto" w:fill="FFFFFF"/>
        </w:rPr>
        <w:t>)</w:t>
      </w:r>
      <w:r w:rsidR="00EB5AC6" w:rsidRPr="00265C60">
        <w:rPr>
          <w:shd w:val="clear" w:color="auto" w:fill="FFFFFF"/>
        </w:rPr>
        <w:t xml:space="preserve"> составляло </w:t>
      </w:r>
      <w:r w:rsidR="00EB5AC6" w:rsidRPr="00265C60">
        <w:rPr>
          <w:b/>
          <w:shd w:val="clear" w:color="auto" w:fill="FFFFFF"/>
        </w:rPr>
        <w:t>82</w:t>
      </w:r>
      <w:r w:rsidR="00CF368F">
        <w:rPr>
          <w:b/>
          <w:shd w:val="clear" w:color="auto" w:fill="FFFFFF"/>
        </w:rPr>
        <w:t> </w:t>
      </w:r>
      <w:r w:rsidR="00EB5AC6" w:rsidRPr="00265C60">
        <w:rPr>
          <w:shd w:val="clear" w:color="auto" w:fill="FFFFFF"/>
        </w:rPr>
        <w:t>доллара США за баррель</w:t>
      </w:r>
      <w:r w:rsidR="00B10A26">
        <w:rPr>
          <w:shd w:val="clear" w:color="auto" w:fill="FFFFFF"/>
        </w:rPr>
        <w:t>,</w:t>
      </w:r>
      <w:r w:rsidR="00EB5AC6" w:rsidRPr="00265C60">
        <w:rPr>
          <w:shd w:val="clear" w:color="auto" w:fill="FFFFFF"/>
        </w:rPr>
        <w:t xml:space="preserve"> и разница между указанным средним фактическим значением цены на нефть марки «Юралс» за 10 лет и базовой ценой на нефть в 2017 году составила </w:t>
      </w:r>
      <w:r w:rsidR="00EB5AC6" w:rsidRPr="00265C60">
        <w:rPr>
          <w:b/>
          <w:shd w:val="clear" w:color="auto" w:fill="FFFFFF"/>
        </w:rPr>
        <w:t>42</w:t>
      </w:r>
      <w:r w:rsidR="00CF368F">
        <w:rPr>
          <w:shd w:val="clear" w:color="auto" w:fill="FFFFFF"/>
        </w:rPr>
        <w:t> </w:t>
      </w:r>
      <w:r w:rsidR="00EB5AC6" w:rsidRPr="00265C60">
        <w:rPr>
          <w:shd w:val="clear" w:color="auto" w:fill="FFFFFF"/>
        </w:rPr>
        <w:t>доллара США за баррель.</w:t>
      </w:r>
    </w:p>
    <w:p w:rsidR="00EB5AC6" w:rsidRPr="00265C60" w:rsidRDefault="00EB5AC6" w:rsidP="00EB5AC6">
      <w:pPr>
        <w:ind w:right="-5"/>
      </w:pPr>
      <w:r w:rsidRPr="00265C60">
        <w:t xml:space="preserve">При формировании проекта бюджета на 2023–2025 годы была применена иная конструкция бюджетного правила, согласно которой базовые нефтегазовые доходы определялись в абсолютном выражении в размере </w:t>
      </w:r>
      <w:r w:rsidR="007A0E51">
        <w:rPr>
          <w:b/>
        </w:rPr>
        <w:t>8 трлн</w:t>
      </w:r>
      <w:r w:rsidRPr="00265C60">
        <w:rPr>
          <w:b/>
        </w:rPr>
        <w:t xml:space="preserve"> рублей</w:t>
      </w:r>
      <w:r w:rsidRPr="00265C60">
        <w:t>. При этом в материалах, представленных к проекту федерального бюджета на 2023–2025 годы, обоснования указанной нормы отсутствовали, было только отмечено, что такой размер базовых нефтегазовых доходов в целом соответствует умеренно-консервативным оценкам внешних условий при стабильном обменном курсе рубля в диапазоне 65–75 рублей за доллар США без указания цены на нефть марки «Юралс».</w:t>
      </w:r>
    </w:p>
    <w:p w:rsidR="00EB5AC6" w:rsidRPr="00265C60" w:rsidRDefault="00EB5AC6" w:rsidP="00EB5AC6">
      <w:pPr>
        <w:ind w:right="-5"/>
        <w:rPr>
          <w:shd w:val="clear" w:color="auto" w:fill="FFFFFF"/>
        </w:rPr>
      </w:pPr>
      <w:r w:rsidRPr="00265C60">
        <w:t xml:space="preserve">При формировании проекта бюджета на 2024–2026 годы </w:t>
      </w:r>
      <w:r w:rsidRPr="00265C60">
        <w:rPr>
          <w:shd w:val="clear" w:color="auto" w:fill="FFFFFF"/>
        </w:rPr>
        <w:t>с 2024 года базовая цена на</w:t>
      </w:r>
      <w:r w:rsidR="007A0E51">
        <w:rPr>
          <w:shd w:val="clear" w:color="auto" w:fill="FFFFFF"/>
        </w:rPr>
        <w:t> </w:t>
      </w:r>
      <w:r w:rsidRPr="00265C60">
        <w:rPr>
          <w:shd w:val="clear" w:color="auto" w:fill="FFFFFF"/>
        </w:rPr>
        <w:t>нефть определена</w:t>
      </w:r>
      <w:r w:rsidRPr="00265C60">
        <w:rPr>
          <w:b/>
          <w:shd w:val="clear" w:color="auto" w:fill="FFFFFF"/>
        </w:rPr>
        <w:t xml:space="preserve"> </w:t>
      </w:r>
      <w:r w:rsidRPr="00265C60">
        <w:rPr>
          <w:shd w:val="clear" w:color="auto" w:fill="FFFFFF"/>
        </w:rPr>
        <w:t>на уровне</w:t>
      </w:r>
      <w:r w:rsidRPr="00265C60">
        <w:rPr>
          <w:b/>
          <w:shd w:val="clear" w:color="auto" w:fill="FFFFFF"/>
        </w:rPr>
        <w:t xml:space="preserve"> 60 долларов США за баррель</w:t>
      </w:r>
      <w:r w:rsidRPr="00265C60">
        <w:rPr>
          <w:shd w:val="clear" w:color="auto" w:fill="FFFFFF"/>
        </w:rPr>
        <w:t xml:space="preserve"> и </w:t>
      </w:r>
      <w:r w:rsidRPr="00265C60">
        <w:rPr>
          <w:b/>
          <w:shd w:val="clear" w:color="auto" w:fill="FFFFFF"/>
        </w:rPr>
        <w:t>среднее фактическое значение цены на нефть</w:t>
      </w:r>
      <w:r w:rsidRPr="00265C60">
        <w:rPr>
          <w:shd w:val="clear" w:color="auto" w:fill="FFFFFF"/>
        </w:rPr>
        <w:t xml:space="preserve"> марки «Юралс» </w:t>
      </w:r>
      <w:r w:rsidRPr="00265C60">
        <w:rPr>
          <w:b/>
          <w:shd w:val="clear" w:color="auto" w:fill="FFFFFF"/>
        </w:rPr>
        <w:t>за 10 лет</w:t>
      </w:r>
      <w:r w:rsidRPr="00265C60">
        <w:rPr>
          <w:shd w:val="clear" w:color="auto" w:fill="FFFFFF"/>
        </w:rPr>
        <w:t xml:space="preserve"> </w:t>
      </w:r>
      <w:r w:rsidRPr="00265C60">
        <w:rPr>
          <w:b/>
          <w:shd w:val="clear" w:color="auto" w:fill="FFFFFF"/>
        </w:rPr>
        <w:t>(с 2014 по 2023 г</w:t>
      </w:r>
      <w:r w:rsidR="007A0E51">
        <w:rPr>
          <w:b/>
          <w:shd w:val="clear" w:color="auto" w:fill="FFFFFF"/>
        </w:rPr>
        <w:t>оды</w:t>
      </w:r>
      <w:r w:rsidRPr="00265C60">
        <w:rPr>
          <w:b/>
          <w:shd w:val="clear" w:color="auto" w:fill="FFFFFF"/>
        </w:rPr>
        <w:t>)</w:t>
      </w:r>
      <w:r w:rsidRPr="00265C60">
        <w:rPr>
          <w:shd w:val="clear" w:color="auto" w:fill="FFFFFF"/>
        </w:rPr>
        <w:t xml:space="preserve"> составляло </w:t>
      </w:r>
      <w:r w:rsidRPr="00265C60">
        <w:rPr>
          <w:b/>
          <w:shd w:val="clear" w:color="auto" w:fill="FFFFFF"/>
        </w:rPr>
        <w:t>62,8</w:t>
      </w:r>
      <w:r w:rsidR="007A0E51">
        <w:rPr>
          <w:shd w:val="clear" w:color="auto" w:fill="FFFFFF"/>
        </w:rPr>
        <w:t> </w:t>
      </w:r>
      <w:r w:rsidRPr="00265C60">
        <w:rPr>
          <w:shd w:val="clear" w:color="auto" w:fill="FFFFFF"/>
        </w:rPr>
        <w:t xml:space="preserve">доллара США за баррель. Разница между указанным средним фактическим значением цены на нефть марки «Юралс» за 10 лет и базовой ценой на нефть в 2024 году составила </w:t>
      </w:r>
      <w:r w:rsidRPr="00265C60">
        <w:rPr>
          <w:b/>
          <w:shd w:val="clear" w:color="auto" w:fill="FFFFFF"/>
        </w:rPr>
        <w:t>2,8</w:t>
      </w:r>
      <w:r w:rsidR="007A0E51">
        <w:rPr>
          <w:shd w:val="clear" w:color="auto" w:fill="FFFFFF"/>
        </w:rPr>
        <w:t> </w:t>
      </w:r>
      <w:r w:rsidRPr="00265C60">
        <w:rPr>
          <w:shd w:val="clear" w:color="auto" w:fill="FFFFFF"/>
        </w:rPr>
        <w:t>доллара США за баррель.</w:t>
      </w:r>
    </w:p>
    <w:p w:rsidR="00EB5AC6" w:rsidRPr="00265C60" w:rsidRDefault="00EB5AC6" w:rsidP="00EB5AC6">
      <w:pPr>
        <w:overflowPunct w:val="0"/>
        <w:autoSpaceDE w:val="0"/>
        <w:autoSpaceDN w:val="0"/>
        <w:adjustRightInd w:val="0"/>
        <w:ind w:right="-5"/>
        <w:textAlignment w:val="baseline"/>
        <w:rPr>
          <w:shd w:val="clear" w:color="auto" w:fill="FFFFFF"/>
        </w:rPr>
      </w:pPr>
      <w:r w:rsidRPr="00265C60">
        <w:t>Проект федерального бюджета на 2025–2027 годы был сформирован на основе бюджетного правила, впервые предусмотренного при формировании проекта бюджета на</w:t>
      </w:r>
      <w:r w:rsidR="007A0E51">
        <w:t> </w:t>
      </w:r>
      <w:r w:rsidRPr="00265C60">
        <w:t>2024–2026 годы, в соответствии с которым базовые нефтегазовые доходы определялись в</w:t>
      </w:r>
      <w:r w:rsidR="007A0E51">
        <w:t> </w:t>
      </w:r>
      <w:r w:rsidRPr="00265C60">
        <w:t xml:space="preserve"> зависимости от </w:t>
      </w:r>
      <w:r w:rsidRPr="00265C60">
        <w:rPr>
          <w:b/>
        </w:rPr>
        <w:t>базовых цен на нефть</w:t>
      </w:r>
      <w:r w:rsidRPr="00265C60">
        <w:t xml:space="preserve"> (</w:t>
      </w:r>
      <w:r w:rsidRPr="00265C60">
        <w:rPr>
          <w:b/>
        </w:rPr>
        <w:t>на уровне</w:t>
      </w:r>
      <w:r w:rsidRPr="00265C60">
        <w:t xml:space="preserve"> </w:t>
      </w:r>
      <w:r w:rsidRPr="00265C60">
        <w:rPr>
          <w:b/>
        </w:rPr>
        <w:t>среднегодовой цены на нефть</w:t>
      </w:r>
      <w:r w:rsidRPr="00265C60">
        <w:t xml:space="preserve"> </w:t>
      </w:r>
      <w:r w:rsidRPr="00265C60">
        <w:rPr>
          <w:b/>
        </w:rPr>
        <w:t>60</w:t>
      </w:r>
      <w:r w:rsidR="007A0E51">
        <w:rPr>
          <w:b/>
        </w:rPr>
        <w:t> </w:t>
      </w:r>
      <w:r w:rsidRPr="00265C60">
        <w:rPr>
          <w:b/>
        </w:rPr>
        <w:t>долларов США</w:t>
      </w:r>
      <w:r w:rsidRPr="00265C60">
        <w:t xml:space="preserve"> за баррель и ежегодной индексации на 2 % начиная с 2027 года), </w:t>
      </w:r>
      <w:r w:rsidRPr="00265C60">
        <w:rPr>
          <w:b/>
        </w:rPr>
        <w:t>базовых экспортных цен на газ природный</w:t>
      </w:r>
      <w:r w:rsidRPr="00265C60">
        <w:t xml:space="preserve"> (на уровне среднегодовой экспортной цены на</w:t>
      </w:r>
      <w:r w:rsidR="007A0E51">
        <w:t> </w:t>
      </w:r>
      <w:r w:rsidRPr="00265C60">
        <w:t xml:space="preserve">газ природный </w:t>
      </w:r>
      <w:r w:rsidRPr="00265C60">
        <w:rPr>
          <w:b/>
        </w:rPr>
        <w:t>250</w:t>
      </w:r>
      <w:r w:rsidRPr="00265C60">
        <w:t xml:space="preserve"> </w:t>
      </w:r>
      <w:r w:rsidRPr="00265C60">
        <w:rPr>
          <w:b/>
        </w:rPr>
        <w:t>долларов США за тысячу метров кубических</w:t>
      </w:r>
      <w:r w:rsidRPr="00265C60">
        <w:t xml:space="preserve"> и ежегодной индексации на 2 % начиная с 2027 года), базовых цен экспортной альтернативы для автомобильного бензина АИ-92 класса 5 и дизельного топлива класса 5. </w:t>
      </w:r>
      <w:r w:rsidRPr="00265C60">
        <w:rPr>
          <w:shd w:val="clear" w:color="auto" w:fill="FFFFFF"/>
        </w:rPr>
        <w:t xml:space="preserve">При этом </w:t>
      </w:r>
      <w:r w:rsidRPr="00265C60">
        <w:rPr>
          <w:b/>
          <w:shd w:val="clear" w:color="auto" w:fill="FFFFFF"/>
        </w:rPr>
        <w:t>среднее фактическое</w:t>
      </w:r>
      <w:r w:rsidRPr="00265C60">
        <w:rPr>
          <w:shd w:val="clear" w:color="auto" w:fill="FFFFFF"/>
        </w:rPr>
        <w:t xml:space="preserve"> </w:t>
      </w:r>
      <w:r w:rsidRPr="00265C60">
        <w:rPr>
          <w:b/>
          <w:shd w:val="clear" w:color="auto" w:fill="FFFFFF"/>
        </w:rPr>
        <w:t>значение цены на нефть</w:t>
      </w:r>
      <w:r w:rsidRPr="00265C60">
        <w:rPr>
          <w:shd w:val="clear" w:color="auto" w:fill="FFFFFF"/>
        </w:rPr>
        <w:t xml:space="preserve"> марки «Юралс» </w:t>
      </w:r>
      <w:r w:rsidRPr="00265C60">
        <w:rPr>
          <w:b/>
          <w:shd w:val="clear" w:color="auto" w:fill="FFFFFF"/>
        </w:rPr>
        <w:t>за 10 лет</w:t>
      </w:r>
      <w:r w:rsidRPr="00265C60">
        <w:rPr>
          <w:shd w:val="clear" w:color="auto" w:fill="FFFFFF"/>
        </w:rPr>
        <w:t xml:space="preserve"> </w:t>
      </w:r>
      <w:r w:rsidRPr="00265C60">
        <w:rPr>
          <w:b/>
          <w:shd w:val="clear" w:color="auto" w:fill="FFFFFF"/>
        </w:rPr>
        <w:t>(с 2015 по 2024 г</w:t>
      </w:r>
      <w:r w:rsidR="007A0E51">
        <w:rPr>
          <w:b/>
          <w:shd w:val="clear" w:color="auto" w:fill="FFFFFF"/>
        </w:rPr>
        <w:t>оды</w:t>
      </w:r>
      <w:r w:rsidRPr="00265C60">
        <w:rPr>
          <w:b/>
          <w:shd w:val="clear" w:color="auto" w:fill="FFFFFF"/>
        </w:rPr>
        <w:t>)</w:t>
      </w:r>
      <w:r w:rsidRPr="00265C60">
        <w:rPr>
          <w:shd w:val="clear" w:color="auto" w:fill="FFFFFF"/>
        </w:rPr>
        <w:t xml:space="preserve"> составляло </w:t>
      </w:r>
      <w:r w:rsidRPr="00265C60">
        <w:rPr>
          <w:b/>
          <w:shd w:val="clear" w:color="auto" w:fill="FFFFFF"/>
        </w:rPr>
        <w:t xml:space="preserve">59,8 </w:t>
      </w:r>
      <w:r w:rsidRPr="00265C60">
        <w:rPr>
          <w:shd w:val="clear" w:color="auto" w:fill="FFFFFF"/>
        </w:rPr>
        <w:t>доллара США за баррель</w:t>
      </w:r>
      <w:r w:rsidR="00B10A26">
        <w:rPr>
          <w:shd w:val="clear" w:color="auto" w:fill="FFFFFF"/>
        </w:rPr>
        <w:t>,</w:t>
      </w:r>
      <w:r w:rsidRPr="00265C60">
        <w:rPr>
          <w:shd w:val="clear" w:color="auto" w:fill="FFFFFF"/>
        </w:rPr>
        <w:t xml:space="preserve"> и разница между указанным средним фактическим значением цены на нефть марки «Юралс» за 10 лет и базовой ценой на нефть в 2025</w:t>
      </w:r>
      <w:r w:rsidR="008F2572">
        <w:rPr>
          <w:shd w:val="clear" w:color="auto" w:fill="FFFFFF"/>
        </w:rPr>
        <w:t> </w:t>
      </w:r>
      <w:r w:rsidRPr="00265C60">
        <w:rPr>
          <w:shd w:val="clear" w:color="auto" w:fill="FFFFFF"/>
        </w:rPr>
        <w:t xml:space="preserve">году составила </w:t>
      </w:r>
      <w:r w:rsidRPr="00265C60">
        <w:rPr>
          <w:b/>
          <w:shd w:val="clear" w:color="auto" w:fill="FFFFFF"/>
        </w:rPr>
        <w:t>«минус» 0,2</w:t>
      </w:r>
      <w:r w:rsidRPr="00265C60">
        <w:rPr>
          <w:shd w:val="clear" w:color="auto" w:fill="FFFFFF"/>
        </w:rPr>
        <w:t xml:space="preserve"> доллара США за баррель.</w:t>
      </w:r>
    </w:p>
    <w:p w:rsidR="00417B27" w:rsidRPr="00265C60" w:rsidRDefault="00E11951" w:rsidP="0057280B">
      <w:r w:rsidRPr="00265C60">
        <w:t>Проект</w:t>
      </w:r>
      <w:r w:rsidR="00417B27" w:rsidRPr="00265C60">
        <w:t xml:space="preserve"> федерального бюджета</w:t>
      </w:r>
      <w:r w:rsidRPr="00265C60">
        <w:t xml:space="preserve"> </w:t>
      </w:r>
      <w:r w:rsidR="00417B27" w:rsidRPr="00265C60">
        <w:t xml:space="preserve">на 2026–2028 годы </w:t>
      </w:r>
      <w:r w:rsidR="00790C5C" w:rsidRPr="00265C60">
        <w:t>сформирован</w:t>
      </w:r>
      <w:r w:rsidR="00417B27" w:rsidRPr="00265C60">
        <w:t xml:space="preserve"> </w:t>
      </w:r>
      <w:r w:rsidR="00417B27" w:rsidRPr="00265C60">
        <w:rPr>
          <w:b/>
        </w:rPr>
        <w:t xml:space="preserve">с учетом </w:t>
      </w:r>
      <w:r w:rsidR="00790C5C" w:rsidRPr="00265C60">
        <w:rPr>
          <w:b/>
        </w:rPr>
        <w:t xml:space="preserve">положений </w:t>
      </w:r>
      <w:r w:rsidR="00417B27" w:rsidRPr="00265C60">
        <w:rPr>
          <w:b/>
        </w:rPr>
        <w:t>проект</w:t>
      </w:r>
      <w:r w:rsidR="00790C5C" w:rsidRPr="00265C60">
        <w:rPr>
          <w:b/>
        </w:rPr>
        <w:t>а</w:t>
      </w:r>
      <w:r w:rsidR="00417B27" w:rsidRPr="00265C60">
        <w:rPr>
          <w:b/>
        </w:rPr>
        <w:t xml:space="preserve"> федерального закона</w:t>
      </w:r>
      <w:r w:rsidR="00790C5C" w:rsidRPr="00265C60">
        <w:rPr>
          <w:b/>
        </w:rPr>
        <w:t xml:space="preserve"> </w:t>
      </w:r>
      <w:r w:rsidR="00417B27" w:rsidRPr="00265C60">
        <w:rPr>
          <w:b/>
        </w:rPr>
        <w:t xml:space="preserve">№ </w:t>
      </w:r>
      <w:r w:rsidR="0057280B" w:rsidRPr="00265C60">
        <w:rPr>
          <w:b/>
        </w:rPr>
        <w:t>1026189</w:t>
      </w:r>
      <w:r w:rsidR="00417B27" w:rsidRPr="00265C60">
        <w:rPr>
          <w:b/>
        </w:rPr>
        <w:t>-8</w:t>
      </w:r>
      <w:r w:rsidR="00417B27" w:rsidRPr="00265C60">
        <w:t xml:space="preserve"> «</w:t>
      </w:r>
      <w:r w:rsidR="0057280B" w:rsidRPr="00265C60">
        <w:t xml:space="preserve">О внесении изменений в Бюджетный кодекс Российской Федерации и о признании утратившими силу отдельных положений законодательных актов Российской Федерации» </w:t>
      </w:r>
      <w:r w:rsidR="00417B27" w:rsidRPr="00265C60">
        <w:t xml:space="preserve"> (далее – законопроект № </w:t>
      </w:r>
      <w:r w:rsidR="0057280B" w:rsidRPr="00265C60">
        <w:t>1026189</w:t>
      </w:r>
      <w:r w:rsidR="00417B27" w:rsidRPr="00265C60">
        <w:t xml:space="preserve">-8), </w:t>
      </w:r>
      <w:r w:rsidR="00417B27" w:rsidRPr="00265C60">
        <w:rPr>
          <w:b/>
        </w:rPr>
        <w:t>внесенн</w:t>
      </w:r>
      <w:r w:rsidR="00790C5C" w:rsidRPr="00265C60">
        <w:rPr>
          <w:b/>
        </w:rPr>
        <w:t>ого</w:t>
      </w:r>
      <w:r w:rsidR="00417B27" w:rsidRPr="00265C60">
        <w:rPr>
          <w:b/>
        </w:rPr>
        <w:t xml:space="preserve"> Правительством Российской Федерации в Государственную Думу одновременно с проектом федерального закона «О федеральном бюджете на 202</w:t>
      </w:r>
      <w:r w:rsidR="0057280B" w:rsidRPr="00265C60">
        <w:rPr>
          <w:b/>
        </w:rPr>
        <w:t>6</w:t>
      </w:r>
      <w:r w:rsidR="00417B27" w:rsidRPr="00265C60">
        <w:rPr>
          <w:b/>
        </w:rPr>
        <w:t xml:space="preserve"> год и на плановый период 202</w:t>
      </w:r>
      <w:r w:rsidR="0057280B" w:rsidRPr="00265C60">
        <w:rPr>
          <w:b/>
        </w:rPr>
        <w:t>7</w:t>
      </w:r>
      <w:r w:rsidR="00417B27" w:rsidRPr="00265C60">
        <w:rPr>
          <w:b/>
        </w:rPr>
        <w:t xml:space="preserve"> и 202</w:t>
      </w:r>
      <w:r w:rsidR="0057280B" w:rsidRPr="00265C60">
        <w:rPr>
          <w:b/>
        </w:rPr>
        <w:t>8</w:t>
      </w:r>
      <w:r w:rsidR="00417B27" w:rsidRPr="00265C60">
        <w:rPr>
          <w:b/>
        </w:rPr>
        <w:t xml:space="preserve"> годов»</w:t>
      </w:r>
      <w:r w:rsidR="00417B27" w:rsidRPr="00265C60">
        <w:t>.</w:t>
      </w:r>
    </w:p>
    <w:p w:rsidR="00E11951" w:rsidRPr="00265C60" w:rsidRDefault="00417B27" w:rsidP="00417B27">
      <w:r w:rsidRPr="00265C60">
        <w:t>Законопроект</w:t>
      </w:r>
      <w:r w:rsidR="0057280B" w:rsidRPr="00265C60">
        <w:t>ом</w:t>
      </w:r>
      <w:r w:rsidRPr="00265C60">
        <w:t xml:space="preserve"> № </w:t>
      </w:r>
      <w:r w:rsidR="0057280B" w:rsidRPr="00265C60">
        <w:t>1026189-8</w:t>
      </w:r>
      <w:r w:rsidRPr="00265C60">
        <w:t xml:space="preserve"> </w:t>
      </w:r>
      <w:r w:rsidR="0057280B" w:rsidRPr="00265C60">
        <w:rPr>
          <w:szCs w:val="28"/>
        </w:rPr>
        <w:t>предлагается внести изменени</w:t>
      </w:r>
      <w:r w:rsidR="00790C5C" w:rsidRPr="00265C60">
        <w:rPr>
          <w:szCs w:val="28"/>
        </w:rPr>
        <w:t>е</w:t>
      </w:r>
      <w:r w:rsidR="0057280B" w:rsidRPr="00265C60">
        <w:rPr>
          <w:szCs w:val="28"/>
        </w:rPr>
        <w:t xml:space="preserve"> в статью 96</w:t>
      </w:r>
      <w:r w:rsidR="0057280B" w:rsidRPr="00265C60">
        <w:rPr>
          <w:szCs w:val="28"/>
          <w:vertAlign w:val="superscript"/>
        </w:rPr>
        <w:t>6</w:t>
      </w:r>
      <w:r w:rsidR="0057280B" w:rsidRPr="00265C60">
        <w:rPr>
          <w:szCs w:val="28"/>
        </w:rPr>
        <w:t xml:space="preserve"> Бюджетного кодекса Российской Федерации, </w:t>
      </w:r>
      <w:r w:rsidRPr="00265C60">
        <w:t>предусматрива</w:t>
      </w:r>
      <w:r w:rsidR="0057280B" w:rsidRPr="00265C60">
        <w:t>ющ</w:t>
      </w:r>
      <w:r w:rsidR="00790C5C" w:rsidRPr="00265C60">
        <w:t>ее</w:t>
      </w:r>
      <w:r w:rsidRPr="00265C60">
        <w:t xml:space="preserve"> корректировку бюджетного правила </w:t>
      </w:r>
      <w:r w:rsidRPr="00265C60">
        <w:rPr>
          <w:b/>
        </w:rPr>
        <w:t>в части определения базовых нефтегазовых доходов</w:t>
      </w:r>
      <w:r w:rsidR="0057280B" w:rsidRPr="00265C60">
        <w:rPr>
          <w:b/>
        </w:rPr>
        <w:t>.</w:t>
      </w:r>
      <w:r w:rsidRPr="00265C60">
        <w:t xml:space="preserve"> </w:t>
      </w:r>
    </w:p>
    <w:p w:rsidR="00E11951" w:rsidRPr="00265C60" w:rsidRDefault="00E11951" w:rsidP="00E11951">
      <w:r w:rsidRPr="00265C60">
        <w:t xml:space="preserve">В соответствии с проектируемыми изменениями </w:t>
      </w:r>
      <w:r w:rsidRPr="00265C60">
        <w:rPr>
          <w:b/>
        </w:rPr>
        <w:t>под базовой ценой на нефть</w:t>
      </w:r>
      <w:r w:rsidRPr="00265C60">
        <w:t xml:space="preserve"> понимается </w:t>
      </w:r>
      <w:r w:rsidRPr="00265C60">
        <w:rPr>
          <w:b/>
        </w:rPr>
        <w:t>среднегодовая цена</w:t>
      </w:r>
      <w:r w:rsidRPr="00265C60">
        <w:t xml:space="preserve"> на нефть </w:t>
      </w:r>
      <w:r w:rsidRPr="00265C60">
        <w:rPr>
          <w:b/>
        </w:rPr>
        <w:t>59 долларов</w:t>
      </w:r>
      <w:r w:rsidRPr="00265C60">
        <w:t xml:space="preserve"> США за один баррель </w:t>
      </w:r>
      <w:r w:rsidRPr="00265C60">
        <w:rPr>
          <w:b/>
        </w:rPr>
        <w:t>в 2026 году, 58 долларов</w:t>
      </w:r>
      <w:r w:rsidRPr="00265C60">
        <w:t xml:space="preserve"> США за один баррель </w:t>
      </w:r>
      <w:r w:rsidRPr="00265C60">
        <w:rPr>
          <w:b/>
        </w:rPr>
        <w:t>в 2027 году,</w:t>
      </w:r>
      <w:r w:rsidRPr="00265C60">
        <w:t xml:space="preserve"> </w:t>
      </w:r>
      <w:r w:rsidRPr="00265C60">
        <w:rPr>
          <w:b/>
        </w:rPr>
        <w:t>57 долларов</w:t>
      </w:r>
      <w:r w:rsidRPr="00265C60">
        <w:t xml:space="preserve"> США за один баррель </w:t>
      </w:r>
      <w:r w:rsidRPr="00265C60">
        <w:rPr>
          <w:b/>
        </w:rPr>
        <w:t>в</w:t>
      </w:r>
      <w:r w:rsidR="008F2572">
        <w:rPr>
          <w:b/>
        </w:rPr>
        <w:t> </w:t>
      </w:r>
      <w:r w:rsidRPr="00265C60">
        <w:rPr>
          <w:b/>
        </w:rPr>
        <w:t>2028</w:t>
      </w:r>
      <w:r w:rsidR="008F2572">
        <w:rPr>
          <w:b/>
        </w:rPr>
        <w:t> </w:t>
      </w:r>
      <w:r w:rsidRPr="00265C60">
        <w:rPr>
          <w:b/>
        </w:rPr>
        <w:t xml:space="preserve">году, </w:t>
      </w:r>
      <w:r w:rsidRPr="00265C60">
        <w:t>56 долларов США за один баррель в 2029 году, 55 долларов США за один баррель в 2030 году.</w:t>
      </w:r>
    </w:p>
    <w:p w:rsidR="00E11951" w:rsidRPr="00265C60" w:rsidRDefault="00E11951" w:rsidP="00E11951">
      <w:r w:rsidRPr="00265C60">
        <w:t>Устанавливается также, что базовая цена на нефть подлежит ежегодной индексации на 2 процента начиная с 2031 года.</w:t>
      </w:r>
    </w:p>
    <w:p w:rsidR="00E11951" w:rsidRDefault="00E11951" w:rsidP="00E11951">
      <w:r w:rsidRPr="00265C60">
        <w:t>Согласно пояснительной записке необходимость корректировки действующего значения показателя базовой цены на нефть (60 долларов США за один баррель) обусловлена растущими конъюнктурными рисками. Предлагаемое регулирование, предусматривающее снижение базовой цены на нефть поэтапно с 2026 года к 2030 году с последующей ежегодной индексацией на 2</w:t>
      </w:r>
      <w:r w:rsidR="008F2572">
        <w:t> </w:t>
      </w:r>
      <w:r w:rsidRPr="00265C60">
        <w:t>% с 2031 года, согласно пояснительной записке позволит укрепить устойчивость бюджета и не потребует резкого сокращения расходов.</w:t>
      </w:r>
    </w:p>
    <w:p w:rsidR="00790C5C" w:rsidRPr="00265C60" w:rsidRDefault="00E11951" w:rsidP="00E11951">
      <w:r w:rsidRPr="00265C60">
        <w:t xml:space="preserve">Законопроектом </w:t>
      </w:r>
      <w:r w:rsidR="0099407E">
        <w:t xml:space="preserve">№ 1026189-8 </w:t>
      </w:r>
      <w:r w:rsidRPr="00265C60">
        <w:t xml:space="preserve">одновременно предлагается предусмотреть норму </w:t>
      </w:r>
      <w:r w:rsidR="00E13774">
        <w:t>о</w:t>
      </w:r>
      <w:r w:rsidR="008F2572">
        <w:t> </w:t>
      </w:r>
      <w:r w:rsidRPr="00265C60">
        <w:t>ежегодной индексации базовой экспор</w:t>
      </w:r>
      <w:r w:rsidR="008F2572">
        <w:t xml:space="preserve">тной цены на газ природный на 2 % </w:t>
      </w:r>
      <w:r w:rsidRPr="00265C60">
        <w:t>также начиная с</w:t>
      </w:r>
      <w:r w:rsidR="008F2572">
        <w:t> </w:t>
      </w:r>
      <w:r w:rsidRPr="00265C60">
        <w:t xml:space="preserve">2031 года. </w:t>
      </w:r>
    </w:p>
    <w:p w:rsidR="00563C24" w:rsidRPr="00265C60" w:rsidRDefault="00EC121B" w:rsidP="00563C24">
      <w:pPr>
        <w:ind w:right="-5"/>
        <w:rPr>
          <w:shd w:val="clear" w:color="auto" w:fill="FFFFFF"/>
        </w:rPr>
      </w:pPr>
      <w:r w:rsidRPr="00265C60">
        <w:rPr>
          <w:b/>
        </w:rPr>
        <w:t>С</w:t>
      </w:r>
      <w:r w:rsidR="00563C24" w:rsidRPr="00265C60">
        <w:rPr>
          <w:b/>
          <w:shd w:val="clear" w:color="auto" w:fill="FFFFFF"/>
        </w:rPr>
        <w:t>реднее значение цены на нефть</w:t>
      </w:r>
      <w:r w:rsidR="00563C24" w:rsidRPr="00265C60">
        <w:rPr>
          <w:shd w:val="clear" w:color="auto" w:fill="FFFFFF"/>
        </w:rPr>
        <w:t xml:space="preserve"> марки «Юралс» </w:t>
      </w:r>
      <w:r w:rsidR="00563C24" w:rsidRPr="00265C60">
        <w:rPr>
          <w:b/>
          <w:shd w:val="clear" w:color="auto" w:fill="FFFFFF"/>
        </w:rPr>
        <w:t>за 10 лет</w:t>
      </w:r>
      <w:r w:rsidR="00563C24" w:rsidRPr="00265C60">
        <w:rPr>
          <w:shd w:val="clear" w:color="auto" w:fill="FFFFFF"/>
        </w:rPr>
        <w:t xml:space="preserve"> </w:t>
      </w:r>
      <w:r w:rsidR="00563C24" w:rsidRPr="00265C60">
        <w:rPr>
          <w:b/>
          <w:shd w:val="clear" w:color="auto" w:fill="FFFFFF"/>
        </w:rPr>
        <w:t>(с 2016 по 2025 г</w:t>
      </w:r>
      <w:r w:rsidR="008F2572">
        <w:rPr>
          <w:b/>
          <w:shd w:val="clear" w:color="auto" w:fill="FFFFFF"/>
        </w:rPr>
        <w:t>оды</w:t>
      </w:r>
      <w:r w:rsidR="00563C24" w:rsidRPr="00265C60">
        <w:rPr>
          <w:b/>
          <w:shd w:val="clear" w:color="auto" w:fill="FFFFFF"/>
        </w:rPr>
        <w:t>)</w:t>
      </w:r>
      <w:r w:rsidR="00563C24" w:rsidRPr="00265C60">
        <w:rPr>
          <w:shd w:val="clear" w:color="auto" w:fill="FFFFFF"/>
        </w:rPr>
        <w:t xml:space="preserve"> составляет всего </w:t>
      </w:r>
      <w:r w:rsidR="00563C24" w:rsidRPr="00265C60">
        <w:rPr>
          <w:b/>
          <w:shd w:val="clear" w:color="auto" w:fill="FFFFFF"/>
        </w:rPr>
        <w:t>60,5</w:t>
      </w:r>
      <w:r w:rsidR="00563C24" w:rsidRPr="00265C60">
        <w:rPr>
          <w:shd w:val="clear" w:color="auto" w:fill="FFFFFF"/>
        </w:rPr>
        <w:t xml:space="preserve"> доллара США за баррель. Разница между указанным средним значением цены на нефть марки «Юралс» за 10 лет и базовой ценой на нефть в 2026 году составляет </w:t>
      </w:r>
      <w:r w:rsidR="00563C24" w:rsidRPr="00265C60">
        <w:rPr>
          <w:b/>
          <w:shd w:val="clear" w:color="auto" w:fill="FFFFFF"/>
        </w:rPr>
        <w:t>1,5</w:t>
      </w:r>
      <w:r w:rsidR="00563C24" w:rsidRPr="00265C60">
        <w:rPr>
          <w:shd w:val="clear" w:color="auto" w:fill="FFFFFF"/>
        </w:rPr>
        <w:t xml:space="preserve"> доллара США за баррель.</w:t>
      </w:r>
    </w:p>
    <w:p w:rsidR="00EC121B" w:rsidRPr="00265C60" w:rsidRDefault="00EC121B" w:rsidP="00EC121B">
      <w:pPr>
        <w:overflowPunct w:val="0"/>
        <w:autoSpaceDE w:val="0"/>
        <w:autoSpaceDN w:val="0"/>
        <w:adjustRightInd w:val="0"/>
        <w:ind w:right="-5"/>
        <w:textAlignment w:val="baseline"/>
      </w:pPr>
      <w:r w:rsidRPr="00265C60">
        <w:t xml:space="preserve">Наблюдается устойчивая тенденция резкого снижения </w:t>
      </w:r>
      <w:r w:rsidRPr="00265C60">
        <w:rPr>
          <w:shd w:val="clear" w:color="auto" w:fill="FFFFFF"/>
        </w:rPr>
        <w:t>разницы между средним фактическим значением цены на нефть марки «Юралс» в периоде с 2007 года и базовой ценой на нефть, что свидетельствует об увеличении рисков исполнения федерального бюджета в запланированных объемах.</w:t>
      </w:r>
    </w:p>
    <w:p w:rsidR="00EC121B" w:rsidRPr="00265C60" w:rsidRDefault="00072B05" w:rsidP="00EC121B">
      <w:pPr>
        <w:overflowPunct w:val="0"/>
        <w:autoSpaceDE w:val="0"/>
        <w:autoSpaceDN w:val="0"/>
        <w:adjustRightInd w:val="0"/>
        <w:ind w:right="-5"/>
        <w:textAlignment w:val="baseline"/>
        <w:rPr>
          <w:szCs w:val="28"/>
        </w:rPr>
      </w:pPr>
      <w:r w:rsidRPr="00072B05">
        <w:t>В</w:t>
      </w:r>
      <w:r w:rsidR="00EC121B" w:rsidRPr="00072B05">
        <w:t xml:space="preserve"> материалах, представленных к проекту федерального бюджета на 2026–2028 годы, </w:t>
      </w:r>
      <w:r w:rsidR="00EC121B" w:rsidRPr="00072B05">
        <w:rPr>
          <w:b/>
        </w:rPr>
        <w:t xml:space="preserve">расчеты и детальные обоснования введения нормы поэтапного </w:t>
      </w:r>
      <w:r w:rsidR="00EC121B" w:rsidRPr="00072B05">
        <w:rPr>
          <w:b/>
          <w:szCs w:val="28"/>
        </w:rPr>
        <w:t xml:space="preserve">снижения базовой цены на нефть </w:t>
      </w:r>
      <w:r w:rsidR="00EC121B" w:rsidRPr="00072B05">
        <w:rPr>
          <w:szCs w:val="28"/>
        </w:rPr>
        <w:t>с 2026 года</w:t>
      </w:r>
      <w:r w:rsidR="00EC121B" w:rsidRPr="00072B05">
        <w:t xml:space="preserve"> </w:t>
      </w:r>
      <w:r w:rsidR="00EC121B" w:rsidRPr="00072B05">
        <w:rPr>
          <w:szCs w:val="28"/>
        </w:rPr>
        <w:t xml:space="preserve">и </w:t>
      </w:r>
      <w:r w:rsidR="00EC121B" w:rsidRPr="00072B05">
        <w:rPr>
          <w:b/>
          <w:szCs w:val="28"/>
        </w:rPr>
        <w:t>дальнейшего ее роста</w:t>
      </w:r>
      <w:r w:rsidR="00EC121B" w:rsidRPr="00072B05">
        <w:rPr>
          <w:szCs w:val="28"/>
        </w:rPr>
        <w:t xml:space="preserve"> с 2031 года </w:t>
      </w:r>
      <w:r w:rsidR="00EC121B" w:rsidRPr="00072B05">
        <w:rPr>
          <w:b/>
        </w:rPr>
        <w:t>отсутствуют</w:t>
      </w:r>
      <w:r w:rsidR="00EC121B" w:rsidRPr="00072B05">
        <w:t xml:space="preserve">. </w:t>
      </w:r>
    </w:p>
    <w:p w:rsidR="00EC121B" w:rsidRPr="00265C60" w:rsidRDefault="00EC121B" w:rsidP="00EC121B">
      <w:pPr>
        <w:overflowPunct w:val="0"/>
        <w:autoSpaceDE w:val="0"/>
        <w:autoSpaceDN w:val="0"/>
        <w:adjustRightInd w:val="0"/>
        <w:textAlignment w:val="baseline"/>
      </w:pPr>
      <w:r w:rsidRPr="00265C60">
        <w:t xml:space="preserve">Счетная палата отмечает, что в материалах к законопроекту, в том числе в пояснительной записке, в Основных направлениях бюджетной, налоговой и таможенно-тарифной политики на 2026–2028 годы </w:t>
      </w:r>
      <w:r w:rsidRPr="00265C60">
        <w:rPr>
          <w:b/>
        </w:rPr>
        <w:t>отсутствуют расчеты</w:t>
      </w:r>
      <w:r w:rsidRPr="00265C60">
        <w:t xml:space="preserve"> </w:t>
      </w:r>
      <w:r w:rsidRPr="00265C60">
        <w:rPr>
          <w:b/>
        </w:rPr>
        <w:t xml:space="preserve">базовых нефтегазовых доходов, </w:t>
      </w:r>
      <w:r w:rsidRPr="00265C60">
        <w:t xml:space="preserve">как и при формировании бюджета в предыдущих бюджетных циклах. Следует отметить, что </w:t>
      </w:r>
      <w:r w:rsidRPr="00265C60">
        <w:rPr>
          <w:b/>
        </w:rPr>
        <w:t>базовые нефтегазовые доходы являются составной частью бюджетного правила в части определения предельного объема расходов законопроекта о бюджете и оказывают влияние на формирование основных параметров</w:t>
      </w:r>
      <w:r w:rsidRPr="00265C60">
        <w:t>.</w:t>
      </w:r>
    </w:p>
    <w:p w:rsidR="00EC121B" w:rsidRPr="00265C60" w:rsidRDefault="00EC121B" w:rsidP="009D32A7">
      <w:pPr>
        <w:overflowPunct w:val="0"/>
        <w:autoSpaceDE w:val="0"/>
        <w:autoSpaceDN w:val="0"/>
        <w:adjustRightInd w:val="0"/>
        <w:spacing w:line="336" w:lineRule="auto"/>
        <w:ind w:right="-5"/>
        <w:textAlignment w:val="baseline"/>
      </w:pPr>
      <w:r w:rsidRPr="00265C60">
        <w:rPr>
          <w:b/>
        </w:rPr>
        <w:t>3.2.4.</w:t>
      </w:r>
      <w:r w:rsidRPr="00265C60">
        <w:t xml:space="preserve"> В соответствии с действующими нормами пункта 2 статьи 96</w:t>
      </w:r>
      <w:r w:rsidRPr="00265C60">
        <w:rPr>
          <w:vertAlign w:val="superscript"/>
        </w:rPr>
        <w:t>6</w:t>
      </w:r>
      <w:r w:rsidRPr="00265C60">
        <w:t xml:space="preserve"> «Нефтегазовые доходы федерального бюджета» Бюджетного кодекса Российской Федерации </w:t>
      </w:r>
      <w:r w:rsidRPr="00265C60">
        <w:rPr>
          <w:b/>
        </w:rPr>
        <w:t>при</w:t>
      </w:r>
      <w:r w:rsidR="008F2572">
        <w:rPr>
          <w:b/>
        </w:rPr>
        <w:t> </w:t>
      </w:r>
      <w:r w:rsidRPr="00265C60">
        <w:rPr>
          <w:b/>
        </w:rPr>
        <w:t>прогнозировании нефтегазовых доходов</w:t>
      </w:r>
      <w:r w:rsidRPr="00265C60">
        <w:t xml:space="preserve"> федерального бюджета </w:t>
      </w:r>
      <w:r w:rsidRPr="00265C60">
        <w:rPr>
          <w:b/>
        </w:rPr>
        <w:t>используется среднегодовая цена на нефть сырую марки «Юралс»</w:t>
      </w:r>
      <w:r w:rsidRPr="00265C60">
        <w:t>. При этом указанные проектируемые</w:t>
      </w:r>
      <w:r w:rsidRPr="00265C60">
        <w:rPr>
          <w:szCs w:val="28"/>
        </w:rPr>
        <w:t xml:space="preserve"> изменения в пункт 4 статьи 96</w:t>
      </w:r>
      <w:r w:rsidRPr="00265C60">
        <w:rPr>
          <w:szCs w:val="28"/>
          <w:vertAlign w:val="superscript"/>
        </w:rPr>
        <w:t>6</w:t>
      </w:r>
      <w:r w:rsidRPr="00265C60">
        <w:rPr>
          <w:szCs w:val="28"/>
        </w:rPr>
        <w:t xml:space="preserve"> Бюджетного кодекса</w:t>
      </w:r>
      <w:r w:rsidR="00B10A26">
        <w:rPr>
          <w:szCs w:val="28"/>
        </w:rPr>
        <w:t xml:space="preserve"> Российской Федерации </w:t>
      </w:r>
      <w:r w:rsidRPr="00265C60">
        <w:rPr>
          <w:szCs w:val="28"/>
        </w:rPr>
        <w:t>определяют, что под базовой ценой на</w:t>
      </w:r>
      <w:r w:rsidR="00B10A26">
        <w:rPr>
          <w:szCs w:val="28"/>
        </w:rPr>
        <w:t xml:space="preserve"> </w:t>
      </w:r>
      <w:r w:rsidRPr="00265C60">
        <w:rPr>
          <w:szCs w:val="28"/>
        </w:rPr>
        <w:t xml:space="preserve">нефть понимается </w:t>
      </w:r>
      <w:r w:rsidRPr="00265C60">
        <w:rPr>
          <w:b/>
          <w:szCs w:val="28"/>
        </w:rPr>
        <w:t>среднегодовая цена на нефть</w:t>
      </w:r>
      <w:r w:rsidRPr="00265C60">
        <w:rPr>
          <w:szCs w:val="28"/>
        </w:rPr>
        <w:t xml:space="preserve"> (</w:t>
      </w:r>
      <w:r w:rsidRPr="00265C60">
        <w:t>59, 58, 57, 56 и 55 долларов США за один баррель</w:t>
      </w:r>
      <w:r w:rsidRPr="00265C60">
        <w:rPr>
          <w:szCs w:val="28"/>
        </w:rPr>
        <w:t xml:space="preserve"> </w:t>
      </w:r>
      <w:r w:rsidRPr="00265C60">
        <w:t>на 2026–2030 годы соответственно).</w:t>
      </w:r>
    </w:p>
    <w:p w:rsidR="00EC121B" w:rsidRPr="00265C60" w:rsidRDefault="0099407E" w:rsidP="009D32A7">
      <w:pPr>
        <w:overflowPunct w:val="0"/>
        <w:autoSpaceDE w:val="0"/>
        <w:autoSpaceDN w:val="0"/>
        <w:adjustRightInd w:val="0"/>
        <w:spacing w:line="336" w:lineRule="auto"/>
        <w:ind w:right="-5"/>
        <w:textAlignment w:val="baseline"/>
      </w:pPr>
      <w:r>
        <w:t>В</w:t>
      </w:r>
      <w:r w:rsidR="00EC121B" w:rsidRPr="00265C60">
        <w:t xml:space="preserve"> показателях исходных условий в </w:t>
      </w:r>
      <w:r>
        <w:t>п</w:t>
      </w:r>
      <w:r w:rsidR="00EC121B" w:rsidRPr="00265C60">
        <w:t>рогнозе</w:t>
      </w:r>
      <w:r>
        <w:t xml:space="preserve"> </w:t>
      </w:r>
      <w:r w:rsidR="00EC121B" w:rsidRPr="00265C60">
        <w:t xml:space="preserve">представлена </w:t>
      </w:r>
      <w:r w:rsidR="00EC121B" w:rsidRPr="00265C60">
        <w:rPr>
          <w:b/>
        </w:rPr>
        <w:t>цена на нефть марки «Юралс»</w:t>
      </w:r>
      <w:r w:rsidR="00EC121B" w:rsidRPr="00265C60">
        <w:t xml:space="preserve">, а в таблице 2.1 пояснительной записки к законопроекту и таблице 2.2.1 «Основные параметры базового прогноза СЭР» </w:t>
      </w:r>
      <w:r>
        <w:t>О</w:t>
      </w:r>
      <w:r w:rsidR="00EC121B" w:rsidRPr="00265C60">
        <w:t>сновных направлений бюджетной, налоговой и таможенно-тарифной политики на 2026 год и на плановый период 2027 и 2028</w:t>
      </w:r>
      <w:r w:rsidR="008F2572">
        <w:t> </w:t>
      </w:r>
      <w:r w:rsidR="00EC121B" w:rsidRPr="00265C60">
        <w:t>годов приводится</w:t>
      </w:r>
      <w:r w:rsidR="00EC121B" w:rsidRPr="00265C60">
        <w:rPr>
          <w:b/>
        </w:rPr>
        <w:t xml:space="preserve"> экспортная цена на российскую нефть, </w:t>
      </w:r>
      <w:r w:rsidR="00EC121B" w:rsidRPr="00265C60">
        <w:t>как и при формировании проекта федерального бюджета на 2025</w:t>
      </w:r>
      <w:r w:rsidR="008F2572">
        <w:t>–</w:t>
      </w:r>
      <w:r w:rsidR="00EC121B" w:rsidRPr="00265C60">
        <w:t>2027 годы. Данная экспортная цена на российскую нефть на всем прогнозном горизонте сохраняется на уровне – 58 доллар</w:t>
      </w:r>
      <w:r>
        <w:t>ов</w:t>
      </w:r>
      <w:r w:rsidR="00EC121B" w:rsidRPr="00265C60">
        <w:t xml:space="preserve"> США за баррель в</w:t>
      </w:r>
      <w:r w:rsidR="008F2572">
        <w:t> </w:t>
      </w:r>
      <w:r w:rsidR="00EC121B" w:rsidRPr="00265C60">
        <w:t>2025 году</w:t>
      </w:r>
      <w:r>
        <w:t>,</w:t>
      </w:r>
      <w:r w:rsidR="00EC121B" w:rsidRPr="00265C60">
        <w:t xml:space="preserve"> </w:t>
      </w:r>
      <w:r w:rsidR="00EC121B" w:rsidRPr="00265C60">
        <w:rPr>
          <w:b/>
        </w:rPr>
        <w:t>59 доллар</w:t>
      </w:r>
      <w:r>
        <w:rPr>
          <w:b/>
        </w:rPr>
        <w:t>ов</w:t>
      </w:r>
      <w:r w:rsidR="00EC121B" w:rsidRPr="00265C60">
        <w:rPr>
          <w:b/>
        </w:rPr>
        <w:t xml:space="preserve"> США, 61 доллар США и 65 доллар</w:t>
      </w:r>
      <w:r>
        <w:rPr>
          <w:b/>
        </w:rPr>
        <w:t>ов</w:t>
      </w:r>
      <w:r w:rsidR="00EC121B" w:rsidRPr="00265C60">
        <w:rPr>
          <w:b/>
        </w:rPr>
        <w:t xml:space="preserve"> США за баррель</w:t>
      </w:r>
      <w:r w:rsidR="00EC121B" w:rsidRPr="00265C60">
        <w:t xml:space="preserve"> в 2026, 2027 и 2028 годах соответственно. При этом аналогичные показатели содержатся в исходных условиях в </w:t>
      </w:r>
      <w:r>
        <w:t>п</w:t>
      </w:r>
      <w:r w:rsidR="00EC121B" w:rsidRPr="00265C60">
        <w:t>рогнозе, но уже в части прогноза цены на нефть марки «Юралс».</w:t>
      </w:r>
    </w:p>
    <w:p w:rsidR="00EC121B" w:rsidRPr="00265C60" w:rsidRDefault="00EC121B" w:rsidP="009D32A7">
      <w:pPr>
        <w:overflowPunct w:val="0"/>
        <w:autoSpaceDE w:val="0"/>
        <w:autoSpaceDN w:val="0"/>
        <w:adjustRightInd w:val="0"/>
        <w:spacing w:line="336" w:lineRule="auto"/>
        <w:ind w:right="-5"/>
        <w:textAlignment w:val="baseline"/>
      </w:pPr>
      <w:r w:rsidRPr="00265C60">
        <w:t xml:space="preserve">Счетная палата отмечает, что по сравнению с предыдущим бюджетным циклом отклонение прогнозной экспортной цены на российскую нефть от базовой значительно уменьшилось и составило в 2026 году </w:t>
      </w:r>
      <w:r w:rsidRPr="00265C60">
        <w:rPr>
          <w:b/>
        </w:rPr>
        <w:t>0</w:t>
      </w:r>
      <w:r w:rsidRPr="00265C60">
        <w:t xml:space="preserve"> долларов США за баррель, в 2027 году – 3,0 доллара США за баррель, в 2028 году – 8,0 долларов США за баррель (в бюджетном цикле 2025</w:t>
      </w:r>
      <w:r w:rsidR="008F2572">
        <w:t>–</w:t>
      </w:r>
      <w:r w:rsidRPr="00265C60">
        <w:t>2027</w:t>
      </w:r>
      <w:r w:rsidR="008F2572">
        <w:t> </w:t>
      </w:r>
      <w:r w:rsidRPr="00265C60">
        <w:t>годов отклонение составляло в 2025 году 9,7 доллар</w:t>
      </w:r>
      <w:r w:rsidR="00E13774">
        <w:t>а</w:t>
      </w:r>
      <w:r w:rsidRPr="00265C60">
        <w:t xml:space="preserve"> США за баррель, в 2026 году – 6</w:t>
      </w:r>
      <w:r w:rsidR="008F2572">
        <w:t> </w:t>
      </w:r>
      <w:r w:rsidRPr="00265C60">
        <w:t>долларов США за баррель, в 2027 году – 4,3 доллар</w:t>
      </w:r>
      <w:r w:rsidR="00E13774">
        <w:t>а</w:t>
      </w:r>
      <w:r w:rsidRPr="00265C60">
        <w:t xml:space="preserve"> США за баррель).</w:t>
      </w:r>
    </w:p>
    <w:p w:rsidR="00EC121B" w:rsidRPr="00265C60" w:rsidRDefault="00EC121B" w:rsidP="009D32A7">
      <w:pPr>
        <w:overflowPunct w:val="0"/>
        <w:autoSpaceDE w:val="0"/>
        <w:autoSpaceDN w:val="0"/>
        <w:adjustRightInd w:val="0"/>
        <w:spacing w:line="336" w:lineRule="auto"/>
        <w:textAlignment w:val="baseline"/>
      </w:pPr>
      <w:r w:rsidRPr="00265C60">
        <w:t>В тексте материалов к законопроекту отсутствуют пояснения о методе формирования экспортной цены на российскую нефть, ее отличии от применяемой в предыдущих бюджетных циклах цены на нефть марки «Юралс». Экспортная цена на нефть не</w:t>
      </w:r>
      <w:r w:rsidR="008F2572">
        <w:t> </w:t>
      </w:r>
      <w:r w:rsidRPr="00265C60">
        <w:t>взаимоувязана с ценой на нефть марки «Юралс».</w:t>
      </w:r>
    </w:p>
    <w:p w:rsidR="00EC121B" w:rsidRPr="00265C60" w:rsidRDefault="00EC121B" w:rsidP="009D32A7">
      <w:pPr>
        <w:overflowPunct w:val="0"/>
        <w:autoSpaceDE w:val="0"/>
        <w:autoSpaceDN w:val="0"/>
        <w:spacing w:line="336" w:lineRule="auto"/>
        <w:textAlignment w:val="baseline"/>
      </w:pPr>
      <w:r w:rsidRPr="00265C60">
        <w:t>Так, экспортная цена на российскую нефть за 2024 год на 2,5 доллара США</w:t>
      </w:r>
      <w:r w:rsidR="008B075D">
        <w:t xml:space="preserve"> за баррель</w:t>
      </w:r>
      <w:r w:rsidRPr="00265C60">
        <w:t xml:space="preserve"> выше, чем цена на нефть марки «Юралс», рассчитываемая на базе данных агентства </w:t>
      </w:r>
      <w:r w:rsidRPr="00265C60">
        <w:rPr>
          <w:lang w:val="en-US"/>
        </w:rPr>
        <w:t>Argus</w:t>
      </w:r>
      <w:r w:rsidRPr="00265C60">
        <w:t>. При этом в течение 2024 года помесячные отличия цены на нефть марки «Юралс» от</w:t>
      </w:r>
      <w:r w:rsidR="008F2572">
        <w:t> </w:t>
      </w:r>
      <w:r w:rsidRPr="00265C60">
        <w:t>экспортной цены на российскую нефть колебались как в меньшую, так и в большую сторону до 6,7 доллара США</w:t>
      </w:r>
      <w:r w:rsidR="008B075D">
        <w:t xml:space="preserve"> за баррель</w:t>
      </w:r>
      <w:r w:rsidRPr="00265C60">
        <w:t xml:space="preserve"> по модулю.</w:t>
      </w:r>
    </w:p>
    <w:p w:rsidR="00EC121B" w:rsidRPr="00265C60" w:rsidRDefault="00EC121B" w:rsidP="009D32A7">
      <w:pPr>
        <w:autoSpaceDE w:val="0"/>
        <w:autoSpaceDN w:val="0"/>
        <w:adjustRightInd w:val="0"/>
        <w:spacing w:line="336" w:lineRule="auto"/>
        <w:rPr>
          <w:b/>
          <w:u w:val="single"/>
        </w:rPr>
      </w:pPr>
      <w:r w:rsidRPr="00265C60">
        <w:t xml:space="preserve">В соответствии с пунктом 16 </w:t>
      </w:r>
      <w:r w:rsidR="008B075D">
        <w:t>п</w:t>
      </w:r>
      <w:r w:rsidRPr="00265C60">
        <w:t>орядка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 утвержденного постановлением</w:t>
      </w:r>
      <w:r w:rsidR="008B075D">
        <w:t xml:space="preserve"> Правительства Российской Федерации от 14 ноября 2015 г.</w:t>
      </w:r>
      <w:r w:rsidRPr="00265C60">
        <w:t xml:space="preserve"> № 1234, при формировании </w:t>
      </w:r>
      <w:r w:rsidR="008B075D">
        <w:t>с</w:t>
      </w:r>
      <w:r w:rsidRPr="00265C60">
        <w:t xml:space="preserve">ценарных условий, которые в дальнейшем учитываются при разработке </w:t>
      </w:r>
      <w:r w:rsidR="008B075D">
        <w:t>п</w:t>
      </w:r>
      <w:r w:rsidRPr="00265C60">
        <w:t xml:space="preserve">рогноза, прогнозные показатели включают только </w:t>
      </w:r>
      <w:r w:rsidRPr="00265C60">
        <w:rPr>
          <w:b/>
        </w:rPr>
        <w:t>цену на нефть марки «Юралс».</w:t>
      </w:r>
    </w:p>
    <w:p w:rsidR="00E7502D" w:rsidRPr="00265C60" w:rsidRDefault="0091710B" w:rsidP="009D32A7">
      <w:pPr>
        <w:overflowPunct w:val="0"/>
        <w:autoSpaceDE w:val="0"/>
        <w:autoSpaceDN w:val="0"/>
        <w:adjustRightInd w:val="0"/>
        <w:spacing w:line="336" w:lineRule="auto"/>
        <w:ind w:right="-5"/>
        <w:textAlignment w:val="baseline"/>
      </w:pPr>
      <w:r w:rsidRPr="00265C60">
        <w:rPr>
          <w:b/>
        </w:rPr>
        <w:t xml:space="preserve">3.2.5. </w:t>
      </w:r>
      <w:r w:rsidR="00E7502D" w:rsidRPr="00265C60">
        <w:rPr>
          <w:b/>
        </w:rPr>
        <w:t xml:space="preserve">Формирование общего объема расходов </w:t>
      </w:r>
      <w:r w:rsidR="00E7502D" w:rsidRPr="00265C60">
        <w:t xml:space="preserve">федерального бюджета </w:t>
      </w:r>
      <w:r w:rsidR="00E7502D" w:rsidRPr="00265C60">
        <w:br/>
        <w:t>на 202</w:t>
      </w:r>
      <w:r w:rsidR="005B3369" w:rsidRPr="00265C60">
        <w:t>6</w:t>
      </w:r>
      <w:r w:rsidR="00E7502D" w:rsidRPr="00265C60">
        <w:t>–202</w:t>
      </w:r>
      <w:r w:rsidR="005B3369" w:rsidRPr="00265C60">
        <w:t>8</w:t>
      </w:r>
      <w:r w:rsidR="00E7502D" w:rsidRPr="00265C60">
        <w:t xml:space="preserve"> годы осуществлялось </w:t>
      </w:r>
      <w:r w:rsidR="00E7502D" w:rsidRPr="00265C60">
        <w:rPr>
          <w:b/>
        </w:rPr>
        <w:t xml:space="preserve">в конструкции бюджетного правила, </w:t>
      </w:r>
      <w:r w:rsidR="00E7502D" w:rsidRPr="00265C60">
        <w:t xml:space="preserve">установленной Бюджетным кодексом Российской Федерации: общий объем расходов федерального бюджета в очередном финансовом году и плановом периоде определен как сумма базовых нефтегазовых доходов, ненефтегазовых доходов федерального бюджета, прогнозируемого объема расходов на обслуживание государственного долга и разницы между предоставлением и возвратом бюджетных и межгосударственных кредитов. </w:t>
      </w:r>
    </w:p>
    <w:p w:rsidR="00B95597" w:rsidRPr="00265C60" w:rsidRDefault="001319E1" w:rsidP="009D32A7">
      <w:pPr>
        <w:spacing w:line="336" w:lineRule="auto"/>
      </w:pPr>
      <w:r w:rsidRPr="00265C60">
        <w:rPr>
          <w:b/>
        </w:rPr>
        <w:t>3.</w:t>
      </w:r>
      <w:r w:rsidR="00996EB0" w:rsidRPr="00265C60">
        <w:rPr>
          <w:b/>
        </w:rPr>
        <w:t>2</w:t>
      </w:r>
      <w:r w:rsidRPr="00265C60">
        <w:rPr>
          <w:b/>
        </w:rPr>
        <w:t>.</w:t>
      </w:r>
      <w:r w:rsidR="0091710B" w:rsidRPr="00265C60">
        <w:rPr>
          <w:b/>
        </w:rPr>
        <w:t>6</w:t>
      </w:r>
      <w:r w:rsidRPr="00265C60">
        <w:rPr>
          <w:b/>
        </w:rPr>
        <w:t>.</w:t>
      </w:r>
      <w:r w:rsidRPr="00265C60">
        <w:t xml:space="preserve"> </w:t>
      </w:r>
      <w:r w:rsidR="003825E8" w:rsidRPr="00265C60">
        <w:t xml:space="preserve">Основные характеристики и показатели федерального бюджета </w:t>
      </w:r>
      <w:r w:rsidR="002A5335" w:rsidRPr="00265C60">
        <w:br/>
      </w:r>
      <w:r w:rsidR="003825E8" w:rsidRPr="00265C60">
        <w:t>на 20</w:t>
      </w:r>
      <w:r w:rsidR="00EE525E" w:rsidRPr="00265C60">
        <w:t>2</w:t>
      </w:r>
      <w:r w:rsidR="007C0B61" w:rsidRPr="00265C60">
        <w:t>4</w:t>
      </w:r>
      <w:r w:rsidR="0061616E" w:rsidRPr="00265C60">
        <w:t>–</w:t>
      </w:r>
      <w:r w:rsidR="00BF0A0E" w:rsidRPr="00265C60">
        <w:t>20</w:t>
      </w:r>
      <w:r w:rsidR="0012595F" w:rsidRPr="00265C60">
        <w:t>2</w:t>
      </w:r>
      <w:r w:rsidR="007C0B61" w:rsidRPr="00265C60">
        <w:t>5</w:t>
      </w:r>
      <w:r w:rsidR="003825E8" w:rsidRPr="00265C60">
        <w:t xml:space="preserve"> год</w:t>
      </w:r>
      <w:r w:rsidR="00BF0A0E" w:rsidRPr="00265C60">
        <w:t>ы</w:t>
      </w:r>
      <w:r w:rsidR="003825E8" w:rsidRPr="00265C60">
        <w:t xml:space="preserve"> и проекта федерального бюджета на </w:t>
      </w:r>
      <w:r w:rsidR="00BF0A0E" w:rsidRPr="00265C60">
        <w:t>20</w:t>
      </w:r>
      <w:r w:rsidR="00614AFC" w:rsidRPr="00265C60">
        <w:t>2</w:t>
      </w:r>
      <w:r w:rsidR="007C0B61" w:rsidRPr="00265C60">
        <w:t>6</w:t>
      </w:r>
      <w:r w:rsidR="00BF0A0E" w:rsidRPr="00265C60">
        <w:t xml:space="preserve"> год</w:t>
      </w:r>
      <w:r w:rsidR="0084552F" w:rsidRPr="00265C60">
        <w:t xml:space="preserve"> и на плановый период </w:t>
      </w:r>
      <w:r w:rsidR="002A5335" w:rsidRPr="00265C60">
        <w:br/>
      </w:r>
      <w:r w:rsidR="0084552F" w:rsidRPr="00265C60">
        <w:t>20</w:t>
      </w:r>
      <w:r w:rsidR="006C6B75" w:rsidRPr="00265C60">
        <w:t>2</w:t>
      </w:r>
      <w:r w:rsidR="007C0B61" w:rsidRPr="00265C60">
        <w:t>7</w:t>
      </w:r>
      <w:r w:rsidR="0084552F" w:rsidRPr="00265C60">
        <w:t xml:space="preserve"> и 20</w:t>
      </w:r>
      <w:r w:rsidR="007A6C52" w:rsidRPr="00265C60">
        <w:t>2</w:t>
      </w:r>
      <w:r w:rsidR="007C0B61" w:rsidRPr="00265C60">
        <w:t>8</w:t>
      </w:r>
      <w:r w:rsidR="0084552F" w:rsidRPr="00265C60">
        <w:t xml:space="preserve"> годов</w:t>
      </w:r>
      <w:r w:rsidR="003825E8" w:rsidRPr="00265C60">
        <w:t xml:space="preserve"> представлены в следующей таблице.</w:t>
      </w:r>
    </w:p>
    <w:p w:rsidR="002A4A93" w:rsidRPr="00265C60" w:rsidRDefault="00C04AF8" w:rsidP="008F2572">
      <w:pPr>
        <w:spacing w:line="240" w:lineRule="auto"/>
        <w:ind w:right="-144"/>
        <w:jc w:val="right"/>
        <w:rPr>
          <w:sz w:val="16"/>
          <w:szCs w:val="16"/>
        </w:rPr>
      </w:pPr>
      <w:r w:rsidRPr="00265C60">
        <w:rPr>
          <w:sz w:val="16"/>
          <w:szCs w:val="16"/>
        </w:rPr>
        <w:t>(млрд рублей)</w:t>
      </w:r>
    </w:p>
    <w:tbl>
      <w:tblPr>
        <w:tblW w:w="10347" w:type="dxa"/>
        <w:tblInd w:w="-459" w:type="dxa"/>
        <w:tblLayout w:type="fixed"/>
        <w:tblLook w:val="04A0" w:firstRow="1" w:lastRow="0" w:firstColumn="1" w:lastColumn="0" w:noHBand="0" w:noVBand="1"/>
      </w:tblPr>
      <w:tblGrid>
        <w:gridCol w:w="1843"/>
        <w:gridCol w:w="851"/>
        <w:gridCol w:w="567"/>
        <w:gridCol w:w="850"/>
        <w:gridCol w:w="566"/>
        <w:gridCol w:w="851"/>
        <w:gridCol w:w="567"/>
        <w:gridCol w:w="850"/>
        <w:gridCol w:w="567"/>
        <w:gridCol w:w="851"/>
        <w:gridCol w:w="567"/>
        <w:gridCol w:w="850"/>
        <w:gridCol w:w="567"/>
      </w:tblGrid>
      <w:tr w:rsidR="00684E9C" w:rsidRPr="00265C60" w:rsidTr="009D32A7">
        <w:trPr>
          <w:trHeight w:val="20"/>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CBC" w:rsidRPr="00265C60" w:rsidRDefault="00A00CBC" w:rsidP="00C003EF">
            <w:pPr>
              <w:spacing w:line="240" w:lineRule="auto"/>
              <w:ind w:firstLine="0"/>
              <w:jc w:val="center"/>
              <w:rPr>
                <w:b/>
                <w:bCs/>
                <w:sz w:val="16"/>
                <w:szCs w:val="16"/>
              </w:rPr>
            </w:pPr>
            <w:r w:rsidRPr="00265C60">
              <w:rPr>
                <w:b/>
                <w:bCs/>
                <w:sz w:val="16"/>
                <w:szCs w:val="16"/>
              </w:rPr>
              <w:t>Наименование</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0CBC" w:rsidRPr="00265C60" w:rsidRDefault="00A00CBC" w:rsidP="00444FE7">
            <w:pPr>
              <w:spacing w:line="240" w:lineRule="auto"/>
              <w:ind w:firstLine="0"/>
              <w:jc w:val="center"/>
              <w:rPr>
                <w:b/>
                <w:bCs/>
                <w:sz w:val="16"/>
                <w:szCs w:val="16"/>
              </w:rPr>
            </w:pPr>
            <w:r w:rsidRPr="00265C60">
              <w:rPr>
                <w:b/>
                <w:bCs/>
                <w:sz w:val="16"/>
                <w:szCs w:val="16"/>
              </w:rPr>
              <w:t>20</w:t>
            </w:r>
            <w:r w:rsidR="00EE525E" w:rsidRPr="00265C60">
              <w:rPr>
                <w:b/>
                <w:bCs/>
                <w:sz w:val="16"/>
                <w:szCs w:val="16"/>
              </w:rPr>
              <w:t>2</w:t>
            </w:r>
            <w:r w:rsidR="00444FE7" w:rsidRPr="00265C60">
              <w:rPr>
                <w:b/>
                <w:bCs/>
                <w:sz w:val="16"/>
                <w:szCs w:val="16"/>
              </w:rPr>
              <w:t>4</w:t>
            </w:r>
            <w:r w:rsidRPr="00265C60">
              <w:rPr>
                <w:b/>
                <w:bCs/>
                <w:sz w:val="16"/>
                <w:szCs w:val="16"/>
              </w:rPr>
              <w:t xml:space="preserve"> год (отчет)</w:t>
            </w: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A00CBC" w:rsidRPr="00265C60" w:rsidRDefault="00A00CBC" w:rsidP="00C003EF">
            <w:pPr>
              <w:spacing w:line="240" w:lineRule="auto"/>
              <w:ind w:firstLine="0"/>
              <w:jc w:val="center"/>
              <w:rPr>
                <w:b/>
                <w:bCs/>
                <w:sz w:val="16"/>
                <w:szCs w:val="16"/>
              </w:rPr>
            </w:pPr>
            <w:r w:rsidRPr="00265C60">
              <w:rPr>
                <w:b/>
                <w:bCs/>
                <w:sz w:val="16"/>
                <w:szCs w:val="16"/>
              </w:rPr>
              <w:t>20</w:t>
            </w:r>
            <w:r w:rsidR="00AC1B81" w:rsidRPr="00265C60">
              <w:rPr>
                <w:b/>
                <w:bCs/>
                <w:sz w:val="16"/>
                <w:szCs w:val="16"/>
              </w:rPr>
              <w:t>2</w:t>
            </w:r>
            <w:r w:rsidR="00444FE7" w:rsidRPr="00265C60">
              <w:rPr>
                <w:b/>
                <w:bCs/>
                <w:sz w:val="16"/>
                <w:szCs w:val="16"/>
              </w:rPr>
              <w:t>5</w:t>
            </w:r>
            <w:r w:rsidRPr="00265C60">
              <w:rPr>
                <w:b/>
                <w:bCs/>
                <w:sz w:val="16"/>
                <w:szCs w:val="16"/>
              </w:rPr>
              <w:t xml:space="preserve"> год</w:t>
            </w:r>
          </w:p>
          <w:p w:rsidR="00A00CBC" w:rsidRPr="00265C60" w:rsidRDefault="00A00CBC" w:rsidP="00C003EF">
            <w:pPr>
              <w:spacing w:line="240" w:lineRule="auto"/>
              <w:ind w:firstLine="0"/>
              <w:jc w:val="center"/>
              <w:rPr>
                <w:b/>
                <w:bCs/>
                <w:sz w:val="16"/>
                <w:szCs w:val="16"/>
              </w:rPr>
            </w:pPr>
            <w:r w:rsidRPr="00265C60">
              <w:rPr>
                <w:b/>
                <w:bCs/>
                <w:sz w:val="16"/>
                <w:szCs w:val="16"/>
              </w:rPr>
              <w:t>(закон)*</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00CBC" w:rsidRPr="00265C60" w:rsidRDefault="00A00CBC" w:rsidP="00C003EF">
            <w:pPr>
              <w:spacing w:line="240" w:lineRule="auto"/>
              <w:ind w:firstLine="0"/>
              <w:jc w:val="center"/>
              <w:rPr>
                <w:b/>
                <w:bCs/>
                <w:sz w:val="16"/>
                <w:szCs w:val="16"/>
              </w:rPr>
            </w:pPr>
            <w:r w:rsidRPr="00265C60">
              <w:rPr>
                <w:b/>
                <w:bCs/>
                <w:sz w:val="16"/>
                <w:szCs w:val="16"/>
              </w:rPr>
              <w:t>20</w:t>
            </w:r>
            <w:r w:rsidR="00AC1B81" w:rsidRPr="00265C60">
              <w:rPr>
                <w:b/>
                <w:bCs/>
                <w:sz w:val="16"/>
                <w:szCs w:val="16"/>
              </w:rPr>
              <w:t>2</w:t>
            </w:r>
            <w:r w:rsidR="007C0B61" w:rsidRPr="00265C60">
              <w:rPr>
                <w:b/>
                <w:bCs/>
                <w:sz w:val="16"/>
                <w:szCs w:val="16"/>
              </w:rPr>
              <w:t>5</w:t>
            </w:r>
            <w:r w:rsidRPr="00265C60">
              <w:rPr>
                <w:b/>
                <w:bCs/>
                <w:sz w:val="16"/>
                <w:szCs w:val="16"/>
              </w:rPr>
              <w:t xml:space="preserve"> год</w:t>
            </w:r>
          </w:p>
          <w:p w:rsidR="00A00CBC" w:rsidRPr="00265C60" w:rsidRDefault="00A00CBC" w:rsidP="007C0B61">
            <w:pPr>
              <w:spacing w:line="240" w:lineRule="auto"/>
              <w:ind w:firstLine="0"/>
              <w:jc w:val="center"/>
              <w:rPr>
                <w:b/>
                <w:bCs/>
                <w:sz w:val="16"/>
                <w:szCs w:val="16"/>
              </w:rPr>
            </w:pPr>
            <w:r w:rsidRPr="00265C60">
              <w:rPr>
                <w:b/>
                <w:bCs/>
                <w:sz w:val="16"/>
                <w:szCs w:val="16"/>
              </w:rPr>
              <w:t>(</w:t>
            </w:r>
            <w:r w:rsidR="007C0B61" w:rsidRPr="00265C60">
              <w:rPr>
                <w:b/>
                <w:bCs/>
                <w:sz w:val="16"/>
                <w:szCs w:val="16"/>
              </w:rPr>
              <w:t>законо-проект</w:t>
            </w:r>
            <w:r w:rsidRPr="00265C60">
              <w:rPr>
                <w:b/>
                <w:bCs/>
                <w:sz w:val="16"/>
                <w:szCs w:val="16"/>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CBC" w:rsidRPr="00265C60" w:rsidRDefault="00A00CBC" w:rsidP="007C0B61">
            <w:pPr>
              <w:spacing w:line="240" w:lineRule="auto"/>
              <w:ind w:firstLine="0"/>
              <w:jc w:val="center"/>
              <w:rPr>
                <w:b/>
                <w:bCs/>
                <w:sz w:val="16"/>
                <w:szCs w:val="16"/>
              </w:rPr>
            </w:pPr>
            <w:r w:rsidRPr="00265C60">
              <w:rPr>
                <w:b/>
                <w:bCs/>
                <w:sz w:val="16"/>
                <w:szCs w:val="16"/>
              </w:rPr>
              <w:t>202</w:t>
            </w:r>
            <w:r w:rsidR="007C0B61" w:rsidRPr="00265C60">
              <w:rPr>
                <w:b/>
                <w:bCs/>
                <w:sz w:val="16"/>
                <w:szCs w:val="16"/>
              </w:rPr>
              <w:t>6</w:t>
            </w:r>
            <w:r w:rsidRPr="00265C60">
              <w:rPr>
                <w:b/>
                <w:bCs/>
                <w:sz w:val="16"/>
                <w:szCs w:val="16"/>
              </w:rPr>
              <w:t xml:space="preserve"> год (прогноз)</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0CBC" w:rsidRPr="00265C60" w:rsidRDefault="00A00CBC" w:rsidP="007C0B61">
            <w:pPr>
              <w:spacing w:line="240" w:lineRule="auto"/>
              <w:ind w:firstLine="0"/>
              <w:jc w:val="center"/>
              <w:rPr>
                <w:b/>
                <w:bCs/>
                <w:sz w:val="16"/>
                <w:szCs w:val="16"/>
              </w:rPr>
            </w:pPr>
            <w:r w:rsidRPr="00265C60">
              <w:rPr>
                <w:b/>
                <w:bCs/>
                <w:sz w:val="16"/>
                <w:szCs w:val="16"/>
              </w:rPr>
              <w:t>202</w:t>
            </w:r>
            <w:r w:rsidR="007C0B61" w:rsidRPr="00265C60">
              <w:rPr>
                <w:b/>
                <w:bCs/>
                <w:sz w:val="16"/>
                <w:szCs w:val="16"/>
              </w:rPr>
              <w:t>7</w:t>
            </w:r>
            <w:r w:rsidRPr="00265C60">
              <w:rPr>
                <w:b/>
                <w:bCs/>
                <w:sz w:val="16"/>
                <w:szCs w:val="16"/>
              </w:rPr>
              <w:t xml:space="preserve"> год (прогноз)</w:t>
            </w:r>
          </w:p>
        </w:tc>
        <w:tc>
          <w:tcPr>
            <w:tcW w:w="1417" w:type="dxa"/>
            <w:gridSpan w:val="2"/>
            <w:tcBorders>
              <w:top w:val="single" w:sz="4" w:space="0" w:color="auto"/>
              <w:left w:val="nil"/>
              <w:bottom w:val="single" w:sz="4" w:space="0" w:color="auto"/>
              <w:right w:val="single" w:sz="4" w:space="0" w:color="auto"/>
            </w:tcBorders>
            <w:vAlign w:val="center"/>
          </w:tcPr>
          <w:p w:rsidR="00A00CBC" w:rsidRPr="00265C60" w:rsidRDefault="00A00CBC" w:rsidP="007C0B61">
            <w:pPr>
              <w:spacing w:line="240" w:lineRule="auto"/>
              <w:ind w:firstLine="0"/>
              <w:jc w:val="center"/>
              <w:rPr>
                <w:b/>
                <w:bCs/>
                <w:sz w:val="16"/>
                <w:szCs w:val="16"/>
              </w:rPr>
            </w:pPr>
            <w:r w:rsidRPr="00265C60">
              <w:rPr>
                <w:b/>
                <w:bCs/>
                <w:sz w:val="16"/>
                <w:szCs w:val="16"/>
              </w:rPr>
              <w:t>202</w:t>
            </w:r>
            <w:r w:rsidR="007C0B61" w:rsidRPr="00265C60">
              <w:rPr>
                <w:b/>
                <w:bCs/>
                <w:sz w:val="16"/>
                <w:szCs w:val="16"/>
              </w:rPr>
              <w:t>8</w:t>
            </w:r>
            <w:r w:rsidRPr="00265C60">
              <w:rPr>
                <w:b/>
                <w:bCs/>
                <w:sz w:val="16"/>
                <w:szCs w:val="16"/>
              </w:rPr>
              <w:t xml:space="preserve"> год (прогноз)</w:t>
            </w:r>
          </w:p>
        </w:tc>
      </w:tr>
      <w:tr w:rsidR="00684E9C" w:rsidRPr="00265C60" w:rsidTr="009D32A7">
        <w:trPr>
          <w:trHeight w:val="20"/>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0CBC" w:rsidRPr="00265C60" w:rsidRDefault="00A00CBC" w:rsidP="00C003EF">
            <w:pPr>
              <w:spacing w:line="240" w:lineRule="auto"/>
              <w:ind w:firstLine="0"/>
              <w:jc w:val="center"/>
              <w:rPr>
                <w:b/>
                <w:bCs/>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A00CBC" w:rsidRPr="00265C60" w:rsidRDefault="00A00CBC" w:rsidP="008F2572">
            <w:pPr>
              <w:spacing w:line="240" w:lineRule="auto"/>
              <w:ind w:firstLine="0"/>
              <w:jc w:val="center"/>
              <w:rPr>
                <w:b/>
                <w:bCs/>
                <w:sz w:val="16"/>
                <w:szCs w:val="16"/>
              </w:rPr>
            </w:pPr>
            <w:r w:rsidRPr="00265C60">
              <w:rPr>
                <w:b/>
                <w:bCs/>
                <w:sz w:val="16"/>
                <w:szCs w:val="16"/>
              </w:rPr>
              <w:t>млрд рублей</w:t>
            </w:r>
          </w:p>
        </w:tc>
        <w:tc>
          <w:tcPr>
            <w:tcW w:w="567" w:type="dxa"/>
            <w:tcBorders>
              <w:top w:val="nil"/>
              <w:left w:val="nil"/>
              <w:bottom w:val="single" w:sz="4" w:space="0" w:color="auto"/>
              <w:right w:val="single" w:sz="4" w:space="0" w:color="auto"/>
            </w:tcBorders>
            <w:shd w:val="clear" w:color="auto" w:fill="auto"/>
            <w:vAlign w:val="center"/>
            <w:hideMark/>
          </w:tcPr>
          <w:p w:rsidR="00A00CBC" w:rsidRPr="00265C60" w:rsidRDefault="00A00CBC" w:rsidP="00C003EF">
            <w:pPr>
              <w:spacing w:line="240" w:lineRule="auto"/>
              <w:ind w:firstLine="0"/>
              <w:jc w:val="center"/>
              <w:rPr>
                <w:b/>
                <w:bCs/>
                <w:sz w:val="14"/>
                <w:szCs w:val="14"/>
              </w:rPr>
            </w:pPr>
            <w:r w:rsidRPr="00265C60">
              <w:rPr>
                <w:b/>
                <w:bCs/>
                <w:sz w:val="14"/>
                <w:szCs w:val="14"/>
              </w:rPr>
              <w:t>доля в ВВП</w:t>
            </w:r>
            <w:r w:rsidR="00F33BF7" w:rsidRPr="00265C60">
              <w:rPr>
                <w:b/>
                <w:bCs/>
                <w:sz w:val="14"/>
                <w:szCs w:val="14"/>
              </w:rPr>
              <w:t>,</w:t>
            </w:r>
            <w:r w:rsidRPr="00265C60">
              <w:rPr>
                <w:b/>
                <w:bCs/>
                <w:sz w:val="14"/>
                <w:szCs w:val="14"/>
              </w:rPr>
              <w:t xml:space="preserve"> %</w:t>
            </w:r>
          </w:p>
        </w:tc>
        <w:tc>
          <w:tcPr>
            <w:tcW w:w="850" w:type="dxa"/>
            <w:tcBorders>
              <w:top w:val="nil"/>
              <w:left w:val="single" w:sz="4" w:space="0" w:color="auto"/>
              <w:bottom w:val="single" w:sz="4" w:space="0" w:color="auto"/>
              <w:right w:val="single" w:sz="4" w:space="0" w:color="auto"/>
            </w:tcBorders>
            <w:vAlign w:val="center"/>
          </w:tcPr>
          <w:p w:rsidR="00A00CBC" w:rsidRPr="00265C60" w:rsidRDefault="00A00CBC" w:rsidP="008F2572">
            <w:pPr>
              <w:spacing w:line="240" w:lineRule="auto"/>
              <w:ind w:firstLine="0"/>
              <w:jc w:val="center"/>
              <w:rPr>
                <w:b/>
                <w:bCs/>
                <w:sz w:val="16"/>
                <w:szCs w:val="16"/>
              </w:rPr>
            </w:pPr>
            <w:r w:rsidRPr="00265C60">
              <w:rPr>
                <w:b/>
                <w:bCs/>
                <w:sz w:val="16"/>
                <w:szCs w:val="16"/>
              </w:rPr>
              <w:t>млрд рублей</w:t>
            </w:r>
          </w:p>
        </w:tc>
        <w:tc>
          <w:tcPr>
            <w:tcW w:w="566" w:type="dxa"/>
            <w:tcBorders>
              <w:top w:val="nil"/>
              <w:left w:val="single" w:sz="4" w:space="0" w:color="auto"/>
              <w:bottom w:val="single" w:sz="4" w:space="0" w:color="auto"/>
              <w:right w:val="single" w:sz="4" w:space="0" w:color="auto"/>
            </w:tcBorders>
            <w:vAlign w:val="center"/>
          </w:tcPr>
          <w:p w:rsidR="00A00CBC" w:rsidRPr="00265C60" w:rsidRDefault="00790073" w:rsidP="00C003EF">
            <w:pPr>
              <w:spacing w:line="240" w:lineRule="auto"/>
              <w:ind w:firstLine="0"/>
              <w:jc w:val="center"/>
              <w:rPr>
                <w:b/>
                <w:bCs/>
                <w:sz w:val="16"/>
                <w:szCs w:val="16"/>
              </w:rPr>
            </w:pPr>
            <w:r w:rsidRPr="00265C60">
              <w:rPr>
                <w:b/>
                <w:bCs/>
                <w:sz w:val="14"/>
                <w:szCs w:val="14"/>
              </w:rPr>
              <w:t>доля в ВВП, %</w:t>
            </w:r>
          </w:p>
        </w:tc>
        <w:tc>
          <w:tcPr>
            <w:tcW w:w="851" w:type="dxa"/>
            <w:tcBorders>
              <w:top w:val="nil"/>
              <w:left w:val="single" w:sz="4" w:space="0" w:color="auto"/>
              <w:bottom w:val="single" w:sz="4" w:space="0" w:color="auto"/>
              <w:right w:val="single" w:sz="4" w:space="0" w:color="auto"/>
            </w:tcBorders>
            <w:vAlign w:val="center"/>
          </w:tcPr>
          <w:p w:rsidR="00A00CBC" w:rsidRPr="00265C60" w:rsidRDefault="00A00CBC" w:rsidP="008F2572">
            <w:pPr>
              <w:spacing w:line="240" w:lineRule="auto"/>
              <w:ind w:firstLine="0"/>
              <w:jc w:val="center"/>
              <w:rPr>
                <w:b/>
                <w:bCs/>
                <w:sz w:val="16"/>
                <w:szCs w:val="16"/>
              </w:rPr>
            </w:pPr>
            <w:r w:rsidRPr="00265C60">
              <w:rPr>
                <w:b/>
                <w:bCs/>
                <w:sz w:val="16"/>
                <w:szCs w:val="16"/>
              </w:rPr>
              <w:t>млрд рублей</w:t>
            </w:r>
          </w:p>
        </w:tc>
        <w:tc>
          <w:tcPr>
            <w:tcW w:w="567" w:type="dxa"/>
            <w:tcBorders>
              <w:top w:val="nil"/>
              <w:left w:val="single" w:sz="4" w:space="0" w:color="auto"/>
              <w:bottom w:val="single" w:sz="4" w:space="0" w:color="auto"/>
              <w:right w:val="single" w:sz="4" w:space="0" w:color="auto"/>
            </w:tcBorders>
            <w:vAlign w:val="center"/>
          </w:tcPr>
          <w:p w:rsidR="00A00CBC" w:rsidRPr="00265C60" w:rsidRDefault="00790073" w:rsidP="00C003EF">
            <w:pPr>
              <w:spacing w:line="240" w:lineRule="auto"/>
              <w:ind w:firstLine="0"/>
              <w:jc w:val="center"/>
              <w:rPr>
                <w:b/>
                <w:bCs/>
                <w:sz w:val="16"/>
                <w:szCs w:val="16"/>
              </w:rPr>
            </w:pPr>
            <w:r w:rsidRPr="00265C60">
              <w:rPr>
                <w:b/>
                <w:bCs/>
                <w:sz w:val="14"/>
                <w:szCs w:val="14"/>
              </w:rPr>
              <w:t>доля в ВВП,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A00CBC" w:rsidRPr="00265C60" w:rsidRDefault="00A00CBC" w:rsidP="008F2572">
            <w:pPr>
              <w:spacing w:line="240" w:lineRule="auto"/>
              <w:ind w:firstLine="0"/>
              <w:jc w:val="center"/>
              <w:rPr>
                <w:b/>
                <w:bCs/>
                <w:sz w:val="16"/>
                <w:szCs w:val="16"/>
              </w:rPr>
            </w:pPr>
            <w:r w:rsidRPr="00265C60">
              <w:rPr>
                <w:b/>
                <w:bCs/>
                <w:sz w:val="16"/>
                <w:szCs w:val="16"/>
              </w:rPr>
              <w:t>млрд рублей</w:t>
            </w:r>
          </w:p>
        </w:tc>
        <w:tc>
          <w:tcPr>
            <w:tcW w:w="567" w:type="dxa"/>
            <w:tcBorders>
              <w:top w:val="nil"/>
              <w:left w:val="nil"/>
              <w:bottom w:val="single" w:sz="4" w:space="0" w:color="auto"/>
              <w:right w:val="single" w:sz="4" w:space="0" w:color="auto"/>
            </w:tcBorders>
            <w:shd w:val="clear" w:color="auto" w:fill="auto"/>
            <w:vAlign w:val="center"/>
            <w:hideMark/>
          </w:tcPr>
          <w:p w:rsidR="00A00CBC" w:rsidRPr="00265C60" w:rsidRDefault="00790073" w:rsidP="00C003EF">
            <w:pPr>
              <w:spacing w:line="240" w:lineRule="auto"/>
              <w:ind w:firstLine="0"/>
              <w:jc w:val="center"/>
              <w:rPr>
                <w:b/>
                <w:bCs/>
                <w:sz w:val="16"/>
                <w:szCs w:val="16"/>
              </w:rPr>
            </w:pPr>
            <w:r w:rsidRPr="00265C60">
              <w:rPr>
                <w:b/>
                <w:bCs/>
                <w:sz w:val="14"/>
                <w:szCs w:val="14"/>
              </w:rPr>
              <w:t>доля в ВВП, %</w:t>
            </w:r>
          </w:p>
        </w:tc>
        <w:tc>
          <w:tcPr>
            <w:tcW w:w="851" w:type="dxa"/>
            <w:tcBorders>
              <w:top w:val="nil"/>
              <w:left w:val="nil"/>
              <w:bottom w:val="single" w:sz="4" w:space="0" w:color="auto"/>
              <w:right w:val="single" w:sz="4" w:space="0" w:color="auto"/>
            </w:tcBorders>
            <w:shd w:val="clear" w:color="auto" w:fill="auto"/>
            <w:vAlign w:val="center"/>
            <w:hideMark/>
          </w:tcPr>
          <w:p w:rsidR="008F2572" w:rsidRDefault="00A00CBC" w:rsidP="008F2572">
            <w:pPr>
              <w:spacing w:line="240" w:lineRule="auto"/>
              <w:ind w:firstLine="0"/>
              <w:jc w:val="center"/>
              <w:rPr>
                <w:b/>
                <w:bCs/>
                <w:sz w:val="16"/>
                <w:szCs w:val="16"/>
              </w:rPr>
            </w:pPr>
            <w:r w:rsidRPr="00265C60">
              <w:rPr>
                <w:b/>
                <w:bCs/>
                <w:sz w:val="16"/>
                <w:szCs w:val="16"/>
              </w:rPr>
              <w:t>млрд</w:t>
            </w:r>
          </w:p>
          <w:p w:rsidR="00A00CBC" w:rsidRPr="00265C60" w:rsidRDefault="00A00CBC" w:rsidP="008F2572">
            <w:pPr>
              <w:spacing w:line="240" w:lineRule="auto"/>
              <w:ind w:firstLine="0"/>
              <w:jc w:val="center"/>
              <w:rPr>
                <w:b/>
                <w:bCs/>
                <w:sz w:val="16"/>
                <w:szCs w:val="16"/>
              </w:rPr>
            </w:pPr>
            <w:r w:rsidRPr="00265C60">
              <w:rPr>
                <w:b/>
                <w:bCs/>
                <w:sz w:val="16"/>
                <w:szCs w:val="16"/>
              </w:rPr>
              <w:t>рублей</w:t>
            </w:r>
          </w:p>
        </w:tc>
        <w:tc>
          <w:tcPr>
            <w:tcW w:w="567" w:type="dxa"/>
            <w:tcBorders>
              <w:top w:val="nil"/>
              <w:left w:val="nil"/>
              <w:bottom w:val="single" w:sz="4" w:space="0" w:color="auto"/>
              <w:right w:val="single" w:sz="4" w:space="0" w:color="auto"/>
            </w:tcBorders>
            <w:shd w:val="clear" w:color="auto" w:fill="auto"/>
            <w:vAlign w:val="center"/>
            <w:hideMark/>
          </w:tcPr>
          <w:p w:rsidR="00A00CBC" w:rsidRPr="00265C60" w:rsidRDefault="00790073" w:rsidP="00C003EF">
            <w:pPr>
              <w:spacing w:line="240" w:lineRule="auto"/>
              <w:ind w:firstLine="0"/>
              <w:jc w:val="center"/>
              <w:rPr>
                <w:b/>
                <w:bCs/>
                <w:sz w:val="16"/>
                <w:szCs w:val="16"/>
              </w:rPr>
            </w:pPr>
            <w:r w:rsidRPr="00265C60">
              <w:rPr>
                <w:b/>
                <w:bCs/>
                <w:sz w:val="14"/>
                <w:szCs w:val="14"/>
              </w:rPr>
              <w:t>доля в ВВП, %</w:t>
            </w:r>
          </w:p>
        </w:tc>
        <w:tc>
          <w:tcPr>
            <w:tcW w:w="850" w:type="dxa"/>
            <w:tcBorders>
              <w:top w:val="nil"/>
              <w:left w:val="nil"/>
              <w:bottom w:val="single" w:sz="4" w:space="0" w:color="auto"/>
              <w:right w:val="single" w:sz="4" w:space="0" w:color="auto"/>
            </w:tcBorders>
            <w:vAlign w:val="center"/>
          </w:tcPr>
          <w:p w:rsidR="00A00CBC" w:rsidRPr="00265C60" w:rsidRDefault="00A00CBC" w:rsidP="008F2572">
            <w:pPr>
              <w:spacing w:line="240" w:lineRule="auto"/>
              <w:ind w:firstLine="0"/>
              <w:jc w:val="center"/>
              <w:rPr>
                <w:b/>
                <w:bCs/>
                <w:sz w:val="16"/>
                <w:szCs w:val="16"/>
              </w:rPr>
            </w:pPr>
            <w:r w:rsidRPr="00265C60">
              <w:rPr>
                <w:b/>
                <w:bCs/>
                <w:sz w:val="16"/>
                <w:szCs w:val="16"/>
              </w:rPr>
              <w:t>млрд рублей</w:t>
            </w:r>
          </w:p>
        </w:tc>
        <w:tc>
          <w:tcPr>
            <w:tcW w:w="567" w:type="dxa"/>
            <w:tcBorders>
              <w:top w:val="nil"/>
              <w:left w:val="nil"/>
              <w:bottom w:val="single" w:sz="4" w:space="0" w:color="auto"/>
              <w:right w:val="single" w:sz="4" w:space="0" w:color="auto"/>
            </w:tcBorders>
            <w:vAlign w:val="center"/>
          </w:tcPr>
          <w:p w:rsidR="00A00CBC" w:rsidRPr="00265C60" w:rsidRDefault="00790073" w:rsidP="00C003EF">
            <w:pPr>
              <w:spacing w:line="240" w:lineRule="auto"/>
              <w:ind w:firstLine="0"/>
              <w:jc w:val="center"/>
              <w:rPr>
                <w:b/>
                <w:bCs/>
                <w:sz w:val="16"/>
                <w:szCs w:val="16"/>
              </w:rPr>
            </w:pPr>
            <w:r w:rsidRPr="00265C60">
              <w:rPr>
                <w:b/>
                <w:bCs/>
                <w:sz w:val="14"/>
                <w:szCs w:val="14"/>
              </w:rPr>
              <w:t>доля в ВВП, %</w:t>
            </w:r>
          </w:p>
        </w:tc>
      </w:tr>
      <w:tr w:rsidR="00E262FB" w:rsidRPr="00265C60" w:rsidTr="009D32A7">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262FB" w:rsidRPr="00265C60" w:rsidRDefault="00E262FB" w:rsidP="00946293">
            <w:pPr>
              <w:spacing w:line="240" w:lineRule="auto"/>
              <w:ind w:firstLine="0"/>
              <w:jc w:val="left"/>
              <w:rPr>
                <w:b/>
                <w:bCs/>
                <w:sz w:val="16"/>
                <w:szCs w:val="16"/>
              </w:rPr>
            </w:pPr>
            <w:r w:rsidRPr="00265C60">
              <w:rPr>
                <w:b/>
                <w:bCs/>
                <w:sz w:val="16"/>
                <w:szCs w:val="16"/>
              </w:rPr>
              <w:t xml:space="preserve">Доходы, всего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36 708,6</w:t>
            </w:r>
          </w:p>
        </w:tc>
        <w:tc>
          <w:tcPr>
            <w:tcW w:w="567" w:type="dxa"/>
            <w:tcBorders>
              <w:top w:val="single" w:sz="4" w:space="0" w:color="auto"/>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18,2</w:t>
            </w:r>
          </w:p>
        </w:tc>
        <w:tc>
          <w:tcPr>
            <w:tcW w:w="850" w:type="dxa"/>
            <w:tcBorders>
              <w:top w:val="single" w:sz="4" w:space="0" w:color="auto"/>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38 506,2</w:t>
            </w:r>
          </w:p>
        </w:tc>
        <w:tc>
          <w:tcPr>
            <w:tcW w:w="566" w:type="dxa"/>
            <w:tcBorders>
              <w:top w:val="single" w:sz="4" w:space="0" w:color="auto"/>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17,4</w:t>
            </w:r>
          </w:p>
        </w:tc>
        <w:tc>
          <w:tcPr>
            <w:tcW w:w="851" w:type="dxa"/>
            <w:tcBorders>
              <w:top w:val="single" w:sz="4" w:space="0" w:color="auto"/>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36 562,2</w:t>
            </w:r>
          </w:p>
        </w:tc>
        <w:tc>
          <w:tcPr>
            <w:tcW w:w="567" w:type="dxa"/>
            <w:tcBorders>
              <w:top w:val="single" w:sz="4" w:space="0" w:color="auto"/>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16,8</w:t>
            </w:r>
          </w:p>
        </w:tc>
        <w:tc>
          <w:tcPr>
            <w:tcW w:w="850" w:type="dxa"/>
            <w:tcBorders>
              <w:top w:val="single" w:sz="4" w:space="0" w:color="auto"/>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40 283,3</w:t>
            </w:r>
          </w:p>
        </w:tc>
        <w:tc>
          <w:tcPr>
            <w:tcW w:w="567" w:type="dxa"/>
            <w:tcBorders>
              <w:top w:val="single" w:sz="4" w:space="0" w:color="auto"/>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17,1</w:t>
            </w:r>
          </w:p>
        </w:tc>
        <w:tc>
          <w:tcPr>
            <w:tcW w:w="851" w:type="dxa"/>
            <w:tcBorders>
              <w:top w:val="single" w:sz="4" w:space="0" w:color="auto"/>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42 910,4</w:t>
            </w:r>
          </w:p>
        </w:tc>
        <w:tc>
          <w:tcPr>
            <w:tcW w:w="567" w:type="dxa"/>
            <w:tcBorders>
              <w:top w:val="single" w:sz="4" w:space="0" w:color="auto"/>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16,8</w:t>
            </w:r>
          </w:p>
        </w:tc>
        <w:tc>
          <w:tcPr>
            <w:tcW w:w="850" w:type="dxa"/>
            <w:tcBorders>
              <w:top w:val="single" w:sz="4" w:space="0" w:color="auto"/>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45 869,4</w:t>
            </w:r>
          </w:p>
        </w:tc>
        <w:tc>
          <w:tcPr>
            <w:tcW w:w="567" w:type="dxa"/>
            <w:tcBorders>
              <w:top w:val="single" w:sz="4" w:space="0" w:color="auto"/>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16,6</w:t>
            </w:r>
          </w:p>
        </w:tc>
      </w:tr>
      <w:tr w:rsidR="00E262FB" w:rsidRPr="00265C60" w:rsidTr="009D32A7">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262FB" w:rsidRPr="00265C60" w:rsidRDefault="00E262FB" w:rsidP="00946293">
            <w:pPr>
              <w:spacing w:line="240" w:lineRule="auto"/>
              <w:ind w:firstLine="0"/>
              <w:jc w:val="left"/>
              <w:rPr>
                <w:sz w:val="16"/>
                <w:szCs w:val="16"/>
              </w:rPr>
            </w:pPr>
            <w:r w:rsidRPr="00265C60">
              <w:rPr>
                <w:sz w:val="16"/>
                <w:szCs w:val="16"/>
              </w:rPr>
              <w:t xml:space="preserve">Нефтегазовые доходы </w:t>
            </w:r>
          </w:p>
        </w:tc>
        <w:tc>
          <w:tcPr>
            <w:tcW w:w="851" w:type="dxa"/>
            <w:tcBorders>
              <w:top w:val="nil"/>
              <w:left w:val="single" w:sz="4" w:space="0" w:color="auto"/>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11 131,1</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5,5</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8 317,4</w:t>
            </w:r>
          </w:p>
        </w:tc>
        <w:tc>
          <w:tcPr>
            <w:tcW w:w="566"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3,7</w:t>
            </w:r>
          </w:p>
        </w:tc>
        <w:tc>
          <w:tcPr>
            <w:tcW w:w="851"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8 653,9</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4,0</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8 918,5</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3,8</w:t>
            </w:r>
          </w:p>
        </w:tc>
        <w:tc>
          <w:tcPr>
            <w:tcW w:w="851"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9 050,4</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3,5</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9 704,7</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3,5</w:t>
            </w:r>
          </w:p>
        </w:tc>
      </w:tr>
      <w:tr w:rsidR="00E262FB" w:rsidRPr="00265C60" w:rsidTr="009D32A7">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262FB" w:rsidRPr="00265C60" w:rsidRDefault="00E262FB" w:rsidP="002E0705">
            <w:pPr>
              <w:spacing w:line="240" w:lineRule="auto"/>
              <w:ind w:firstLine="0"/>
              <w:jc w:val="left"/>
              <w:rPr>
                <w:sz w:val="16"/>
                <w:szCs w:val="16"/>
              </w:rPr>
            </w:pPr>
            <w:r w:rsidRPr="00265C60">
              <w:rPr>
                <w:sz w:val="16"/>
                <w:szCs w:val="16"/>
              </w:rPr>
              <w:t xml:space="preserve">Ненефтегазовые доходы </w:t>
            </w:r>
          </w:p>
        </w:tc>
        <w:tc>
          <w:tcPr>
            <w:tcW w:w="851" w:type="dxa"/>
            <w:tcBorders>
              <w:top w:val="nil"/>
              <w:left w:val="single" w:sz="4" w:space="0" w:color="auto"/>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25 577,5</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12,7</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30 188,8</w:t>
            </w:r>
          </w:p>
        </w:tc>
        <w:tc>
          <w:tcPr>
            <w:tcW w:w="566"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13,6</w:t>
            </w:r>
          </w:p>
        </w:tc>
        <w:tc>
          <w:tcPr>
            <w:tcW w:w="851"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27 908,3</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12,8</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31 364,8</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13,3</w:t>
            </w:r>
          </w:p>
        </w:tc>
        <w:tc>
          <w:tcPr>
            <w:tcW w:w="851"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33 860,0</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13,3</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36 164,7</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13,1</w:t>
            </w:r>
          </w:p>
        </w:tc>
      </w:tr>
      <w:tr w:rsidR="00E262FB" w:rsidRPr="00265C60" w:rsidTr="009D32A7">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262FB" w:rsidRPr="00265C60" w:rsidRDefault="00E262FB" w:rsidP="00946293">
            <w:pPr>
              <w:spacing w:line="240" w:lineRule="auto"/>
              <w:ind w:firstLine="0"/>
              <w:jc w:val="left"/>
              <w:rPr>
                <w:b/>
                <w:bCs/>
                <w:sz w:val="16"/>
                <w:szCs w:val="16"/>
              </w:rPr>
            </w:pPr>
            <w:r w:rsidRPr="00265C60">
              <w:rPr>
                <w:b/>
                <w:bCs/>
                <w:sz w:val="16"/>
                <w:szCs w:val="16"/>
              </w:rPr>
              <w:t>Расходы, всего</w:t>
            </w:r>
          </w:p>
        </w:tc>
        <w:tc>
          <w:tcPr>
            <w:tcW w:w="851" w:type="dxa"/>
            <w:tcBorders>
              <w:top w:val="nil"/>
              <w:left w:val="single" w:sz="4" w:space="0" w:color="auto"/>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40 180,5</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20,0</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42 298,7</w:t>
            </w:r>
          </w:p>
        </w:tc>
        <w:tc>
          <w:tcPr>
            <w:tcW w:w="566"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19,1</w:t>
            </w:r>
          </w:p>
        </w:tc>
        <w:tc>
          <w:tcPr>
            <w:tcW w:w="851"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42 298,7</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19,5</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44 069,7</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18,7</w:t>
            </w:r>
          </w:p>
        </w:tc>
        <w:tc>
          <w:tcPr>
            <w:tcW w:w="851"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46 096,1</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18,0</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49 383,2</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17,9</w:t>
            </w:r>
          </w:p>
        </w:tc>
      </w:tr>
      <w:tr w:rsidR="00E262FB" w:rsidRPr="00265C60" w:rsidTr="009D32A7">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262FB" w:rsidRPr="00265C60" w:rsidRDefault="00E262FB" w:rsidP="00946293">
            <w:pPr>
              <w:spacing w:line="240" w:lineRule="auto"/>
              <w:ind w:firstLine="0"/>
              <w:jc w:val="left"/>
              <w:rPr>
                <w:sz w:val="16"/>
                <w:szCs w:val="16"/>
              </w:rPr>
            </w:pPr>
            <w:r w:rsidRPr="00265C60">
              <w:rPr>
                <w:sz w:val="16"/>
                <w:szCs w:val="16"/>
              </w:rPr>
              <w:t>Процентные расходы</w:t>
            </w:r>
          </w:p>
        </w:tc>
        <w:tc>
          <w:tcPr>
            <w:tcW w:w="851" w:type="dxa"/>
            <w:tcBorders>
              <w:top w:val="nil"/>
              <w:left w:val="single" w:sz="4" w:space="0" w:color="auto"/>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 </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 </w:t>
            </w:r>
          </w:p>
        </w:tc>
        <w:tc>
          <w:tcPr>
            <w:tcW w:w="566"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 </w:t>
            </w:r>
          </w:p>
        </w:tc>
        <w:tc>
          <w:tcPr>
            <w:tcW w:w="851"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 </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3 900,2</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1,7</w:t>
            </w:r>
          </w:p>
        </w:tc>
        <w:tc>
          <w:tcPr>
            <w:tcW w:w="851"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3 757,5</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1,5</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4 522,5</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1,6</w:t>
            </w:r>
          </w:p>
        </w:tc>
      </w:tr>
      <w:tr w:rsidR="00E262FB" w:rsidRPr="00265C60" w:rsidTr="009D32A7">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262FB" w:rsidRPr="00265C60" w:rsidRDefault="00E262FB" w:rsidP="00946293">
            <w:pPr>
              <w:spacing w:line="240" w:lineRule="auto"/>
              <w:ind w:firstLine="0"/>
              <w:jc w:val="left"/>
              <w:rPr>
                <w:sz w:val="16"/>
                <w:szCs w:val="16"/>
              </w:rPr>
            </w:pPr>
            <w:r w:rsidRPr="00265C60">
              <w:rPr>
                <w:sz w:val="16"/>
                <w:szCs w:val="16"/>
              </w:rPr>
              <w:t xml:space="preserve">Непроцентные расходы </w:t>
            </w:r>
          </w:p>
        </w:tc>
        <w:tc>
          <w:tcPr>
            <w:tcW w:w="851" w:type="dxa"/>
            <w:tcBorders>
              <w:top w:val="nil"/>
              <w:left w:val="single" w:sz="4" w:space="0" w:color="auto"/>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 </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 </w:t>
            </w:r>
          </w:p>
        </w:tc>
        <w:tc>
          <w:tcPr>
            <w:tcW w:w="566"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 </w:t>
            </w:r>
          </w:p>
        </w:tc>
        <w:tc>
          <w:tcPr>
            <w:tcW w:w="851"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 </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40 169,5</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17,1</w:t>
            </w:r>
          </w:p>
        </w:tc>
        <w:tc>
          <w:tcPr>
            <w:tcW w:w="851"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42 338,6</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16,6</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44 860,7</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16,2</w:t>
            </w:r>
          </w:p>
        </w:tc>
      </w:tr>
      <w:tr w:rsidR="00E262FB" w:rsidRPr="00265C60" w:rsidTr="009D32A7">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262FB" w:rsidRPr="00265C60" w:rsidRDefault="00E262FB" w:rsidP="00946293">
            <w:pPr>
              <w:spacing w:line="240" w:lineRule="auto"/>
              <w:ind w:firstLine="0"/>
              <w:jc w:val="left"/>
              <w:rPr>
                <w:sz w:val="16"/>
                <w:szCs w:val="16"/>
              </w:rPr>
            </w:pPr>
            <w:r w:rsidRPr="00265C60">
              <w:rPr>
                <w:sz w:val="16"/>
                <w:szCs w:val="16"/>
              </w:rPr>
              <w:t>Ненефтегазовый дефицит</w:t>
            </w:r>
          </w:p>
        </w:tc>
        <w:tc>
          <w:tcPr>
            <w:tcW w:w="851" w:type="dxa"/>
            <w:tcBorders>
              <w:top w:val="nil"/>
              <w:left w:val="single" w:sz="4" w:space="0" w:color="auto"/>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-14 603,0</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-7,3</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-12 109,9</w:t>
            </w:r>
          </w:p>
        </w:tc>
        <w:tc>
          <w:tcPr>
            <w:tcW w:w="566"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-5,5</w:t>
            </w:r>
          </w:p>
        </w:tc>
        <w:tc>
          <w:tcPr>
            <w:tcW w:w="851"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-14 390,4</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-6,6</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-12 704,9</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-5,4</w:t>
            </w:r>
          </w:p>
        </w:tc>
        <w:tc>
          <w:tcPr>
            <w:tcW w:w="851"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-12 236,1</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-4,8</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-13 218,5</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sz w:val="16"/>
                <w:szCs w:val="16"/>
              </w:rPr>
            </w:pPr>
            <w:r w:rsidRPr="00265C60">
              <w:rPr>
                <w:sz w:val="16"/>
                <w:szCs w:val="16"/>
              </w:rPr>
              <w:t>-4,8</w:t>
            </w:r>
          </w:p>
        </w:tc>
      </w:tr>
      <w:tr w:rsidR="00E262FB" w:rsidRPr="00265C60" w:rsidTr="009D32A7">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262FB" w:rsidRPr="00265C60" w:rsidRDefault="00E262FB" w:rsidP="00946293">
            <w:pPr>
              <w:spacing w:line="240" w:lineRule="auto"/>
              <w:ind w:firstLine="0"/>
              <w:jc w:val="left"/>
              <w:rPr>
                <w:b/>
                <w:bCs/>
                <w:sz w:val="16"/>
                <w:szCs w:val="16"/>
              </w:rPr>
            </w:pPr>
            <w:r w:rsidRPr="00265C60">
              <w:rPr>
                <w:b/>
                <w:bCs/>
                <w:sz w:val="16"/>
                <w:szCs w:val="16"/>
              </w:rPr>
              <w:t>Дефицит «-» (профицит «+»)</w:t>
            </w:r>
          </w:p>
        </w:tc>
        <w:tc>
          <w:tcPr>
            <w:tcW w:w="851" w:type="dxa"/>
            <w:tcBorders>
              <w:top w:val="nil"/>
              <w:left w:val="single" w:sz="4" w:space="0" w:color="auto"/>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-3 471,9</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-1,7</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-3 792,5</w:t>
            </w:r>
          </w:p>
        </w:tc>
        <w:tc>
          <w:tcPr>
            <w:tcW w:w="566"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-1,7</w:t>
            </w:r>
          </w:p>
        </w:tc>
        <w:tc>
          <w:tcPr>
            <w:tcW w:w="851"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-5 736,5</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-2,6</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-3 786,4</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-1,6</w:t>
            </w:r>
          </w:p>
        </w:tc>
        <w:tc>
          <w:tcPr>
            <w:tcW w:w="851"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-3 185,7</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-1,2</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-3 513,8</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-1,3</w:t>
            </w:r>
          </w:p>
        </w:tc>
      </w:tr>
      <w:tr w:rsidR="00E262FB" w:rsidRPr="00265C60" w:rsidTr="009D32A7">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62FB" w:rsidRPr="00265C60" w:rsidRDefault="00E262FB" w:rsidP="00946293">
            <w:pPr>
              <w:spacing w:line="240" w:lineRule="auto"/>
              <w:ind w:firstLine="0"/>
              <w:jc w:val="left"/>
              <w:rPr>
                <w:b/>
                <w:bCs/>
                <w:sz w:val="16"/>
                <w:szCs w:val="16"/>
              </w:rPr>
            </w:pPr>
            <w:r w:rsidRPr="00265C60">
              <w:rPr>
                <w:b/>
                <w:bCs/>
                <w:sz w:val="16"/>
                <w:szCs w:val="16"/>
              </w:rPr>
              <w:t>Источники финансирования дефицита, всего</w:t>
            </w:r>
          </w:p>
        </w:tc>
        <w:tc>
          <w:tcPr>
            <w:tcW w:w="851" w:type="dxa"/>
            <w:tcBorders>
              <w:top w:val="nil"/>
              <w:left w:val="single" w:sz="4" w:space="0" w:color="auto"/>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3 471,9</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1,7</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3 792,5</w:t>
            </w:r>
          </w:p>
        </w:tc>
        <w:tc>
          <w:tcPr>
            <w:tcW w:w="566"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1,7</w:t>
            </w:r>
          </w:p>
        </w:tc>
        <w:tc>
          <w:tcPr>
            <w:tcW w:w="851"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5 736,5</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2,6</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3 786,4</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1,6</w:t>
            </w:r>
          </w:p>
        </w:tc>
        <w:tc>
          <w:tcPr>
            <w:tcW w:w="851"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3 185,7</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1,2</w:t>
            </w:r>
          </w:p>
        </w:tc>
        <w:tc>
          <w:tcPr>
            <w:tcW w:w="850"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3 513,8</w:t>
            </w:r>
          </w:p>
        </w:tc>
        <w:tc>
          <w:tcPr>
            <w:tcW w:w="567" w:type="dxa"/>
            <w:tcBorders>
              <w:top w:val="nil"/>
              <w:left w:val="nil"/>
              <w:bottom w:val="single" w:sz="4" w:space="0" w:color="auto"/>
              <w:right w:val="single" w:sz="4" w:space="0" w:color="auto"/>
            </w:tcBorders>
            <w:shd w:val="clear" w:color="auto" w:fill="auto"/>
            <w:vAlign w:val="center"/>
          </w:tcPr>
          <w:p w:rsidR="00E262FB" w:rsidRPr="00265C60" w:rsidRDefault="00E262FB" w:rsidP="00E262FB">
            <w:pPr>
              <w:spacing w:line="240" w:lineRule="auto"/>
              <w:ind w:firstLine="0"/>
              <w:jc w:val="center"/>
              <w:rPr>
                <w:b/>
                <w:bCs/>
                <w:sz w:val="16"/>
                <w:szCs w:val="16"/>
              </w:rPr>
            </w:pPr>
            <w:r w:rsidRPr="00265C60">
              <w:rPr>
                <w:b/>
                <w:bCs/>
                <w:sz w:val="16"/>
                <w:szCs w:val="16"/>
              </w:rPr>
              <w:t>1,3</w:t>
            </w:r>
          </w:p>
        </w:tc>
      </w:tr>
      <w:tr w:rsidR="00684E9C" w:rsidRPr="00265C60" w:rsidTr="009D32A7">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17B4B" w:rsidRPr="00265C60" w:rsidRDefault="00F17B4B" w:rsidP="00946293">
            <w:pPr>
              <w:spacing w:line="240" w:lineRule="auto"/>
              <w:ind w:firstLine="0"/>
              <w:jc w:val="left"/>
              <w:rPr>
                <w:bCs/>
                <w:sz w:val="16"/>
                <w:szCs w:val="16"/>
              </w:rPr>
            </w:pPr>
            <w:r w:rsidRPr="00265C60">
              <w:rPr>
                <w:bCs/>
                <w:sz w:val="16"/>
                <w:szCs w:val="16"/>
              </w:rPr>
              <w:t>из них:</w:t>
            </w:r>
          </w:p>
        </w:tc>
        <w:tc>
          <w:tcPr>
            <w:tcW w:w="851" w:type="dxa"/>
            <w:tcBorders>
              <w:top w:val="single" w:sz="4" w:space="0" w:color="auto"/>
              <w:left w:val="nil"/>
              <w:bottom w:val="single" w:sz="4" w:space="0" w:color="auto"/>
              <w:right w:val="single" w:sz="4" w:space="0" w:color="auto"/>
            </w:tcBorders>
            <w:shd w:val="clear" w:color="auto" w:fill="auto"/>
            <w:vAlign w:val="center"/>
          </w:tcPr>
          <w:p w:rsidR="00F17B4B" w:rsidRPr="00265C60" w:rsidRDefault="00F17B4B" w:rsidP="00196CD6">
            <w:pPr>
              <w:spacing w:line="240" w:lineRule="auto"/>
              <w:ind w:firstLine="0"/>
              <w:jc w:val="center"/>
              <w:rPr>
                <w:b/>
                <w:bCs/>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F17B4B" w:rsidRPr="00265C60" w:rsidRDefault="00F17B4B" w:rsidP="00196CD6">
            <w:pPr>
              <w:spacing w:line="240" w:lineRule="auto"/>
              <w:ind w:firstLine="0"/>
              <w:jc w:val="center"/>
              <w:rPr>
                <w:b/>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17B4B" w:rsidRPr="00265C60" w:rsidRDefault="00F17B4B" w:rsidP="00196CD6">
            <w:pPr>
              <w:spacing w:line="240" w:lineRule="auto"/>
              <w:ind w:firstLine="0"/>
              <w:jc w:val="center"/>
              <w:rPr>
                <w:b/>
                <w:bCs/>
                <w:sz w:val="16"/>
                <w:szCs w:val="16"/>
              </w:rPr>
            </w:pPr>
          </w:p>
        </w:tc>
        <w:tc>
          <w:tcPr>
            <w:tcW w:w="566" w:type="dxa"/>
            <w:tcBorders>
              <w:top w:val="single" w:sz="4" w:space="0" w:color="auto"/>
              <w:left w:val="single" w:sz="4" w:space="0" w:color="auto"/>
              <w:bottom w:val="single" w:sz="4" w:space="0" w:color="auto"/>
              <w:right w:val="single" w:sz="4" w:space="0" w:color="auto"/>
            </w:tcBorders>
            <w:vAlign w:val="center"/>
          </w:tcPr>
          <w:p w:rsidR="00F17B4B" w:rsidRPr="00265C60" w:rsidRDefault="00F17B4B" w:rsidP="00196CD6">
            <w:pPr>
              <w:spacing w:line="240" w:lineRule="auto"/>
              <w:ind w:firstLine="0"/>
              <w:jc w:val="center"/>
              <w:rPr>
                <w:b/>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F17B4B" w:rsidRPr="00265C60" w:rsidRDefault="00F17B4B" w:rsidP="00196CD6">
            <w:pPr>
              <w:spacing w:line="240" w:lineRule="auto"/>
              <w:ind w:firstLine="0"/>
              <w:jc w:val="center"/>
              <w:rPr>
                <w:b/>
                <w:bCs/>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F17B4B" w:rsidRPr="00265C60" w:rsidRDefault="00F17B4B" w:rsidP="00196CD6">
            <w:pPr>
              <w:spacing w:line="240" w:lineRule="auto"/>
              <w:ind w:firstLine="0"/>
              <w:jc w:val="center"/>
              <w:rPr>
                <w:b/>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17B4B" w:rsidRPr="00265C60" w:rsidRDefault="00F17B4B" w:rsidP="00196CD6">
            <w:pPr>
              <w:spacing w:line="240" w:lineRule="auto"/>
              <w:ind w:firstLine="0"/>
              <w:jc w:val="center"/>
              <w:rPr>
                <w:b/>
                <w:bCs/>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F17B4B" w:rsidRPr="00265C60" w:rsidRDefault="00F17B4B" w:rsidP="00196CD6">
            <w:pPr>
              <w:spacing w:line="240" w:lineRule="auto"/>
              <w:ind w:firstLine="0"/>
              <w:jc w:val="center"/>
              <w:rPr>
                <w:b/>
                <w:bCs/>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F17B4B" w:rsidRPr="00265C60" w:rsidRDefault="00F17B4B" w:rsidP="00196CD6">
            <w:pPr>
              <w:spacing w:line="240" w:lineRule="auto"/>
              <w:ind w:firstLine="0"/>
              <w:jc w:val="center"/>
              <w:rPr>
                <w:b/>
                <w:bCs/>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F17B4B" w:rsidRPr="00265C60" w:rsidRDefault="00F17B4B" w:rsidP="00196CD6">
            <w:pPr>
              <w:spacing w:line="240" w:lineRule="auto"/>
              <w:ind w:firstLine="0"/>
              <w:jc w:val="center"/>
              <w:rPr>
                <w:b/>
                <w:bCs/>
                <w:sz w:val="16"/>
                <w:szCs w:val="16"/>
              </w:rPr>
            </w:pPr>
          </w:p>
        </w:tc>
        <w:tc>
          <w:tcPr>
            <w:tcW w:w="850" w:type="dxa"/>
            <w:tcBorders>
              <w:top w:val="single" w:sz="4" w:space="0" w:color="auto"/>
              <w:left w:val="nil"/>
              <w:bottom w:val="single" w:sz="4" w:space="0" w:color="auto"/>
              <w:right w:val="single" w:sz="4" w:space="0" w:color="auto"/>
            </w:tcBorders>
            <w:vAlign w:val="center"/>
          </w:tcPr>
          <w:p w:rsidR="00F17B4B" w:rsidRPr="00265C60" w:rsidRDefault="00F17B4B" w:rsidP="00196CD6">
            <w:pPr>
              <w:spacing w:line="240" w:lineRule="auto"/>
              <w:ind w:firstLine="0"/>
              <w:jc w:val="center"/>
              <w:rPr>
                <w:b/>
                <w:bCs/>
                <w:sz w:val="16"/>
                <w:szCs w:val="16"/>
              </w:rPr>
            </w:pPr>
          </w:p>
        </w:tc>
        <w:tc>
          <w:tcPr>
            <w:tcW w:w="567" w:type="dxa"/>
            <w:tcBorders>
              <w:top w:val="single" w:sz="4" w:space="0" w:color="auto"/>
              <w:left w:val="nil"/>
              <w:bottom w:val="single" w:sz="4" w:space="0" w:color="auto"/>
              <w:right w:val="single" w:sz="4" w:space="0" w:color="auto"/>
            </w:tcBorders>
            <w:vAlign w:val="center"/>
          </w:tcPr>
          <w:p w:rsidR="00F17B4B" w:rsidRPr="00265C60" w:rsidRDefault="00F17B4B" w:rsidP="00196CD6">
            <w:pPr>
              <w:spacing w:line="240" w:lineRule="auto"/>
              <w:ind w:firstLine="0"/>
              <w:jc w:val="center"/>
              <w:rPr>
                <w:b/>
                <w:bCs/>
                <w:sz w:val="16"/>
                <w:szCs w:val="16"/>
              </w:rPr>
            </w:pPr>
          </w:p>
        </w:tc>
      </w:tr>
      <w:tr w:rsidR="00D6320C" w:rsidRPr="00265C60" w:rsidTr="009D32A7">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A632E3">
            <w:pPr>
              <w:spacing w:line="240" w:lineRule="auto"/>
              <w:ind w:firstLine="0"/>
              <w:jc w:val="left"/>
              <w:rPr>
                <w:b/>
                <w:sz w:val="16"/>
                <w:szCs w:val="16"/>
              </w:rPr>
            </w:pPr>
            <w:r w:rsidRPr="00265C60">
              <w:rPr>
                <w:b/>
                <w:sz w:val="16"/>
                <w:szCs w:val="16"/>
              </w:rPr>
              <w:t>внутренние источники финансирования дефицита</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3 869,6</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1,9</w:t>
            </w:r>
          </w:p>
        </w:tc>
        <w:tc>
          <w:tcPr>
            <w:tcW w:w="850"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4 251,2</w:t>
            </w:r>
          </w:p>
        </w:tc>
        <w:tc>
          <w:tcPr>
            <w:tcW w:w="566"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1,9</w:t>
            </w:r>
          </w:p>
        </w:tc>
        <w:tc>
          <w:tcPr>
            <w:tcW w:w="851"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6 161,9</w:t>
            </w:r>
          </w:p>
        </w:tc>
        <w:tc>
          <w:tcPr>
            <w:tcW w:w="567"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2,8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4 298,8</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1,8</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3 837,2</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1,5</w:t>
            </w:r>
          </w:p>
        </w:tc>
        <w:tc>
          <w:tcPr>
            <w:tcW w:w="850" w:type="dxa"/>
            <w:tcBorders>
              <w:top w:val="single" w:sz="4" w:space="0" w:color="auto"/>
              <w:left w:val="nil"/>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4 057,4</w:t>
            </w:r>
          </w:p>
        </w:tc>
        <w:tc>
          <w:tcPr>
            <w:tcW w:w="567" w:type="dxa"/>
            <w:tcBorders>
              <w:top w:val="single" w:sz="4" w:space="0" w:color="auto"/>
              <w:left w:val="nil"/>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1,5</w:t>
            </w:r>
          </w:p>
        </w:tc>
      </w:tr>
      <w:tr w:rsidR="00D6320C" w:rsidRPr="00265C60" w:rsidTr="009D32A7">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A632E3">
            <w:pPr>
              <w:spacing w:line="240" w:lineRule="auto"/>
              <w:ind w:firstLine="0"/>
              <w:jc w:val="center"/>
              <w:rPr>
                <w:sz w:val="16"/>
                <w:szCs w:val="16"/>
              </w:rPr>
            </w:pPr>
            <w:r w:rsidRPr="00265C60">
              <w:rPr>
                <w:sz w:val="16"/>
                <w:szCs w:val="16"/>
              </w:rPr>
              <w:t>из них:</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b/>
                <w:sz w:val="16"/>
                <w:szCs w:val="16"/>
              </w:rPr>
            </w:pPr>
          </w:p>
        </w:tc>
        <w:tc>
          <w:tcPr>
            <w:tcW w:w="566"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p>
        </w:tc>
        <w:tc>
          <w:tcPr>
            <w:tcW w:w="850" w:type="dxa"/>
            <w:tcBorders>
              <w:top w:val="single" w:sz="4" w:space="0" w:color="auto"/>
              <w:left w:val="nil"/>
              <w:bottom w:val="single" w:sz="4" w:space="0" w:color="auto"/>
              <w:right w:val="single" w:sz="4" w:space="0" w:color="auto"/>
            </w:tcBorders>
            <w:vAlign w:val="center"/>
          </w:tcPr>
          <w:p w:rsidR="00D6320C" w:rsidRPr="00265C60" w:rsidRDefault="00D6320C" w:rsidP="00FD3308">
            <w:pPr>
              <w:ind w:firstLine="0"/>
              <w:jc w:val="center"/>
              <w:rPr>
                <w:b/>
                <w:sz w:val="16"/>
                <w:szCs w:val="16"/>
              </w:rPr>
            </w:pPr>
          </w:p>
        </w:tc>
        <w:tc>
          <w:tcPr>
            <w:tcW w:w="567" w:type="dxa"/>
            <w:tcBorders>
              <w:top w:val="single" w:sz="4" w:space="0" w:color="auto"/>
              <w:left w:val="nil"/>
              <w:bottom w:val="single" w:sz="4" w:space="0" w:color="auto"/>
              <w:right w:val="single" w:sz="4" w:space="0" w:color="auto"/>
            </w:tcBorders>
            <w:vAlign w:val="center"/>
          </w:tcPr>
          <w:p w:rsidR="00D6320C" w:rsidRPr="00265C60" w:rsidRDefault="00D6320C" w:rsidP="00FD3308">
            <w:pPr>
              <w:ind w:firstLine="0"/>
              <w:jc w:val="center"/>
              <w:rPr>
                <w:b/>
                <w:sz w:val="16"/>
                <w:szCs w:val="16"/>
              </w:rPr>
            </w:pPr>
          </w:p>
        </w:tc>
      </w:tr>
      <w:tr w:rsidR="00D6320C" w:rsidRPr="00265C60" w:rsidTr="009D32A7">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FD0674">
            <w:pPr>
              <w:spacing w:line="240" w:lineRule="auto"/>
              <w:ind w:firstLine="0"/>
              <w:jc w:val="left"/>
              <w:rPr>
                <w:b/>
                <w:sz w:val="16"/>
                <w:szCs w:val="16"/>
              </w:rPr>
            </w:pPr>
            <w:r w:rsidRPr="00265C60">
              <w:rPr>
                <w:b/>
                <w:sz w:val="16"/>
                <w:szCs w:val="16"/>
              </w:rPr>
              <w:t>сальдо государственных заимствований</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2 513,2</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3 364,9</w:t>
            </w:r>
          </w:p>
        </w:tc>
        <w:tc>
          <w:tcPr>
            <w:tcW w:w="566"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5 564,9</w:t>
            </w:r>
          </w:p>
        </w:tc>
        <w:tc>
          <w:tcPr>
            <w:tcW w:w="567"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4 172,7</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1,8</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4 062,7</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1,6</w:t>
            </w:r>
          </w:p>
        </w:tc>
        <w:tc>
          <w:tcPr>
            <w:tcW w:w="850" w:type="dxa"/>
            <w:tcBorders>
              <w:top w:val="single" w:sz="4" w:space="0" w:color="auto"/>
              <w:left w:val="nil"/>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4 742,1</w:t>
            </w:r>
          </w:p>
        </w:tc>
        <w:tc>
          <w:tcPr>
            <w:tcW w:w="567" w:type="dxa"/>
            <w:tcBorders>
              <w:top w:val="single" w:sz="4" w:space="0" w:color="auto"/>
              <w:left w:val="nil"/>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1,7</w:t>
            </w:r>
          </w:p>
        </w:tc>
      </w:tr>
      <w:tr w:rsidR="00D6320C" w:rsidRPr="00265C60" w:rsidTr="009D32A7">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A632E3">
            <w:pPr>
              <w:spacing w:line="240" w:lineRule="auto"/>
              <w:ind w:firstLine="0"/>
              <w:jc w:val="left"/>
              <w:rPr>
                <w:b/>
                <w:sz w:val="16"/>
                <w:szCs w:val="16"/>
              </w:rPr>
            </w:pPr>
            <w:r w:rsidRPr="00265C60">
              <w:rPr>
                <w:sz w:val="16"/>
                <w:szCs w:val="16"/>
              </w:rPr>
              <w:t xml:space="preserve">Использование ФНБ </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sz w:val="16"/>
                <w:szCs w:val="16"/>
              </w:rPr>
            </w:pPr>
            <w:r w:rsidRPr="00265C60">
              <w:rPr>
                <w:sz w:val="16"/>
                <w:szCs w:val="16"/>
              </w:rPr>
              <w:t>1 201,9</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sz w:val="16"/>
                <w:szCs w:val="16"/>
              </w:rPr>
            </w:pPr>
            <w:r w:rsidRPr="00265C60">
              <w:rPr>
                <w:sz w:val="16"/>
                <w:szCs w:val="16"/>
              </w:rPr>
              <w:t>0,6</w:t>
            </w:r>
          </w:p>
        </w:tc>
        <w:tc>
          <w:tcPr>
            <w:tcW w:w="850"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5B3369">
            <w:pPr>
              <w:spacing w:line="240" w:lineRule="auto"/>
              <w:ind w:firstLine="0"/>
              <w:jc w:val="center"/>
              <w:rPr>
                <w:sz w:val="16"/>
                <w:szCs w:val="16"/>
              </w:rPr>
            </w:pPr>
            <w:r w:rsidRPr="00265C60">
              <w:rPr>
                <w:sz w:val="16"/>
                <w:szCs w:val="16"/>
              </w:rPr>
              <w:t>447,7</w:t>
            </w:r>
          </w:p>
        </w:tc>
        <w:tc>
          <w:tcPr>
            <w:tcW w:w="566"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5B3369">
            <w:pPr>
              <w:spacing w:line="240" w:lineRule="auto"/>
              <w:ind w:firstLine="0"/>
              <w:jc w:val="center"/>
              <w:rPr>
                <w:sz w:val="16"/>
                <w:szCs w:val="16"/>
              </w:rPr>
            </w:pPr>
            <w:r w:rsidRPr="00265C60">
              <w:rPr>
                <w:sz w:val="16"/>
                <w:szCs w:val="16"/>
              </w:rPr>
              <w:t>0,2</w:t>
            </w:r>
          </w:p>
        </w:tc>
        <w:tc>
          <w:tcPr>
            <w:tcW w:w="851"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5B3369">
            <w:pPr>
              <w:spacing w:line="240" w:lineRule="auto"/>
              <w:ind w:firstLine="0"/>
              <w:jc w:val="center"/>
              <w:rPr>
                <w:sz w:val="16"/>
                <w:szCs w:val="16"/>
              </w:rPr>
            </w:pPr>
            <w:r w:rsidRPr="00265C60">
              <w:rPr>
                <w:sz w:val="16"/>
                <w:szCs w:val="16"/>
              </w:rPr>
              <w:t>0,6</w:t>
            </w:r>
          </w:p>
        </w:tc>
        <w:tc>
          <w:tcPr>
            <w:tcW w:w="567"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5B3369">
            <w:pPr>
              <w:spacing w:line="240" w:lineRule="auto"/>
              <w:ind w:firstLine="0"/>
              <w:jc w:val="center"/>
              <w:rPr>
                <w:sz w:val="16"/>
                <w:szCs w:val="16"/>
              </w:rPr>
            </w:pPr>
            <w:r w:rsidRPr="00265C60">
              <w:rPr>
                <w:sz w:val="16"/>
                <w:szCs w:val="16"/>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sz w:val="16"/>
                <w:szCs w:val="16"/>
              </w:rPr>
            </w:pPr>
            <w:r w:rsidRPr="00265C60">
              <w:rPr>
                <w:sz w:val="16"/>
                <w:szCs w:val="16"/>
              </w:rPr>
              <w:t>38,5</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sz w:val="16"/>
                <w:szCs w:val="16"/>
              </w:rPr>
            </w:pPr>
            <w:r w:rsidRPr="00265C60">
              <w:rPr>
                <w:sz w:val="16"/>
                <w:szCs w:val="16"/>
              </w:rPr>
              <w:t>0,02</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sz w:val="16"/>
                <w:szCs w:val="16"/>
              </w:rPr>
            </w:pPr>
            <w:r w:rsidRPr="00265C60">
              <w:rPr>
                <w:sz w:val="16"/>
                <w:szCs w:val="16"/>
              </w:rPr>
              <w:t>0,0</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sz w:val="16"/>
                <w:szCs w:val="16"/>
              </w:rPr>
            </w:pPr>
            <w:r w:rsidRPr="00265C60">
              <w:rPr>
                <w:sz w:val="16"/>
                <w:szCs w:val="16"/>
              </w:rPr>
              <w:t>0,0</w:t>
            </w:r>
          </w:p>
        </w:tc>
        <w:tc>
          <w:tcPr>
            <w:tcW w:w="850" w:type="dxa"/>
            <w:tcBorders>
              <w:top w:val="single" w:sz="4" w:space="0" w:color="auto"/>
              <w:left w:val="nil"/>
              <w:bottom w:val="single" w:sz="4" w:space="0" w:color="auto"/>
              <w:right w:val="single" w:sz="4" w:space="0" w:color="auto"/>
            </w:tcBorders>
            <w:vAlign w:val="center"/>
          </w:tcPr>
          <w:p w:rsidR="00D6320C" w:rsidRPr="00265C60" w:rsidRDefault="00D6320C" w:rsidP="005B3369">
            <w:pPr>
              <w:spacing w:line="240" w:lineRule="auto"/>
              <w:ind w:firstLine="0"/>
              <w:jc w:val="center"/>
              <w:rPr>
                <w:sz w:val="16"/>
                <w:szCs w:val="16"/>
              </w:rPr>
            </w:pPr>
            <w:r w:rsidRPr="00265C60">
              <w:rPr>
                <w:sz w:val="16"/>
                <w:szCs w:val="16"/>
              </w:rPr>
              <w:t>0,0</w:t>
            </w:r>
          </w:p>
        </w:tc>
        <w:tc>
          <w:tcPr>
            <w:tcW w:w="567" w:type="dxa"/>
            <w:tcBorders>
              <w:top w:val="single" w:sz="4" w:space="0" w:color="auto"/>
              <w:left w:val="nil"/>
              <w:bottom w:val="single" w:sz="4" w:space="0" w:color="auto"/>
              <w:right w:val="single" w:sz="4" w:space="0" w:color="auto"/>
            </w:tcBorders>
            <w:vAlign w:val="center"/>
          </w:tcPr>
          <w:p w:rsidR="00D6320C" w:rsidRPr="00265C60" w:rsidRDefault="00D6320C" w:rsidP="005B3369">
            <w:pPr>
              <w:spacing w:line="240" w:lineRule="auto"/>
              <w:ind w:firstLine="0"/>
              <w:jc w:val="center"/>
              <w:rPr>
                <w:sz w:val="16"/>
                <w:szCs w:val="16"/>
              </w:rPr>
            </w:pPr>
            <w:r w:rsidRPr="00265C60">
              <w:rPr>
                <w:sz w:val="16"/>
                <w:szCs w:val="16"/>
              </w:rPr>
              <w:t>0,0</w:t>
            </w:r>
          </w:p>
        </w:tc>
      </w:tr>
      <w:tr w:rsidR="00D6320C" w:rsidRPr="00265C60" w:rsidTr="009D32A7">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A632E3">
            <w:pPr>
              <w:spacing w:line="240" w:lineRule="auto"/>
              <w:ind w:firstLine="0"/>
              <w:jc w:val="left"/>
              <w:rPr>
                <w:sz w:val="16"/>
                <w:szCs w:val="16"/>
              </w:rPr>
            </w:pPr>
            <w:r w:rsidRPr="00265C60">
              <w:rPr>
                <w:sz w:val="16"/>
                <w:szCs w:val="16"/>
              </w:rPr>
              <w:t>изменение остатков средств на счетах по учету средств федерального бюджета для зачисления дополнительных нефтегазовых доходов в иностранной валюте</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sz w:val="16"/>
                <w:szCs w:val="16"/>
              </w:rPr>
            </w:pPr>
            <w:r w:rsidRPr="00265C60">
              <w:rPr>
                <w:sz w:val="16"/>
                <w:szCs w:val="16"/>
              </w:rPr>
              <w:t>-1 251,1</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sz w:val="16"/>
                <w:szCs w:val="16"/>
              </w:rPr>
            </w:pPr>
            <w:r w:rsidRPr="00265C60">
              <w:rPr>
                <w:sz w:val="16"/>
                <w:szCs w:val="16"/>
              </w:rPr>
              <w:t>-0,6</w:t>
            </w:r>
          </w:p>
        </w:tc>
        <w:tc>
          <w:tcPr>
            <w:tcW w:w="850"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5B3369">
            <w:pPr>
              <w:spacing w:line="240" w:lineRule="auto"/>
              <w:ind w:firstLine="0"/>
              <w:jc w:val="center"/>
              <w:rPr>
                <w:sz w:val="16"/>
                <w:szCs w:val="16"/>
              </w:rPr>
            </w:pPr>
            <w:r w:rsidRPr="00265C60">
              <w:rPr>
                <w:sz w:val="16"/>
                <w:szCs w:val="16"/>
              </w:rPr>
              <w:t>0,0</w:t>
            </w:r>
          </w:p>
        </w:tc>
        <w:tc>
          <w:tcPr>
            <w:tcW w:w="566"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5B3369">
            <w:pPr>
              <w:spacing w:line="240" w:lineRule="auto"/>
              <w:ind w:firstLine="0"/>
              <w:jc w:val="center"/>
              <w:rPr>
                <w:sz w:val="16"/>
                <w:szCs w:val="16"/>
              </w:rPr>
            </w:pPr>
            <w:r w:rsidRPr="00265C60">
              <w:rPr>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5B3369">
            <w:pPr>
              <w:spacing w:line="240" w:lineRule="auto"/>
              <w:ind w:firstLine="0"/>
              <w:jc w:val="center"/>
              <w:rPr>
                <w:sz w:val="16"/>
                <w:szCs w:val="16"/>
              </w:rPr>
            </w:pPr>
            <w:r w:rsidRPr="00265C60">
              <w:rPr>
                <w:sz w:val="16"/>
                <w:szCs w:val="16"/>
              </w:rPr>
              <w:t>-78,3</w:t>
            </w:r>
          </w:p>
        </w:tc>
        <w:tc>
          <w:tcPr>
            <w:tcW w:w="567"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5B3369">
            <w:pPr>
              <w:spacing w:line="240" w:lineRule="auto"/>
              <w:ind w:firstLine="0"/>
              <w:jc w:val="center"/>
              <w:rPr>
                <w:sz w:val="16"/>
                <w:szCs w:val="16"/>
              </w:rPr>
            </w:pPr>
            <w:r w:rsidRPr="00265C60">
              <w:rPr>
                <w:sz w:val="16"/>
                <w:szCs w:val="16"/>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sz w:val="16"/>
                <w:szCs w:val="16"/>
              </w:rPr>
            </w:pPr>
            <w:r w:rsidRPr="00265C60">
              <w:rPr>
                <w:sz w:val="16"/>
                <w:szCs w:val="16"/>
              </w:rPr>
              <w:t>- </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sz w:val="16"/>
                <w:szCs w:val="16"/>
              </w:rPr>
            </w:pPr>
            <w:r w:rsidRPr="00265C60">
              <w:rPr>
                <w:sz w:val="16"/>
                <w:szCs w:val="16"/>
              </w:rPr>
              <w:t>0,0</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sz w:val="16"/>
                <w:szCs w:val="16"/>
              </w:rPr>
            </w:pPr>
            <w:r w:rsidRPr="00265C60">
              <w:rPr>
                <w:sz w:val="16"/>
                <w:szCs w:val="16"/>
              </w:rPr>
              <w:t>-342,1</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sz w:val="16"/>
                <w:szCs w:val="16"/>
              </w:rPr>
            </w:pPr>
            <w:r w:rsidRPr="00265C60">
              <w:rPr>
                <w:sz w:val="16"/>
                <w:szCs w:val="16"/>
              </w:rPr>
              <w:t>-0,1</w:t>
            </w:r>
          </w:p>
        </w:tc>
        <w:tc>
          <w:tcPr>
            <w:tcW w:w="850" w:type="dxa"/>
            <w:tcBorders>
              <w:top w:val="single" w:sz="4" w:space="0" w:color="auto"/>
              <w:left w:val="nil"/>
              <w:bottom w:val="single" w:sz="4" w:space="0" w:color="auto"/>
              <w:right w:val="single" w:sz="4" w:space="0" w:color="auto"/>
            </w:tcBorders>
            <w:vAlign w:val="center"/>
          </w:tcPr>
          <w:p w:rsidR="00D6320C" w:rsidRPr="00265C60" w:rsidRDefault="00D6320C" w:rsidP="005B3369">
            <w:pPr>
              <w:spacing w:line="240" w:lineRule="auto"/>
              <w:ind w:firstLine="0"/>
              <w:jc w:val="center"/>
              <w:rPr>
                <w:sz w:val="16"/>
                <w:szCs w:val="16"/>
              </w:rPr>
            </w:pPr>
            <w:r w:rsidRPr="00265C60">
              <w:rPr>
                <w:sz w:val="16"/>
                <w:szCs w:val="16"/>
              </w:rPr>
              <w:t>-782,6</w:t>
            </w:r>
          </w:p>
        </w:tc>
        <w:tc>
          <w:tcPr>
            <w:tcW w:w="567" w:type="dxa"/>
            <w:tcBorders>
              <w:top w:val="single" w:sz="4" w:space="0" w:color="auto"/>
              <w:left w:val="nil"/>
              <w:bottom w:val="single" w:sz="4" w:space="0" w:color="auto"/>
              <w:right w:val="single" w:sz="4" w:space="0" w:color="auto"/>
            </w:tcBorders>
            <w:vAlign w:val="center"/>
          </w:tcPr>
          <w:p w:rsidR="00D6320C" w:rsidRPr="00265C60" w:rsidRDefault="00D6320C" w:rsidP="005B3369">
            <w:pPr>
              <w:spacing w:line="240" w:lineRule="auto"/>
              <w:ind w:firstLine="0"/>
              <w:jc w:val="center"/>
              <w:rPr>
                <w:sz w:val="16"/>
                <w:szCs w:val="16"/>
              </w:rPr>
            </w:pPr>
            <w:r w:rsidRPr="00265C60">
              <w:rPr>
                <w:sz w:val="16"/>
                <w:szCs w:val="16"/>
              </w:rPr>
              <w:t>-0,3</w:t>
            </w:r>
          </w:p>
        </w:tc>
      </w:tr>
      <w:tr w:rsidR="00D6320C" w:rsidRPr="00265C60" w:rsidTr="009D32A7">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A632E3">
            <w:pPr>
              <w:spacing w:line="240" w:lineRule="auto"/>
              <w:ind w:firstLine="0"/>
              <w:jc w:val="left"/>
              <w:rPr>
                <w:bCs/>
                <w:sz w:val="16"/>
                <w:szCs w:val="16"/>
              </w:rPr>
            </w:pPr>
            <w:r w:rsidRPr="00265C60">
              <w:rPr>
                <w:bCs/>
                <w:sz w:val="16"/>
                <w:szCs w:val="16"/>
              </w:rPr>
              <w:t>поступление средств от приватизации</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bCs/>
                <w:sz w:val="16"/>
                <w:szCs w:val="16"/>
              </w:rPr>
            </w:pPr>
            <w:r w:rsidRPr="00265C60">
              <w:rPr>
                <w:bCs/>
                <w:sz w:val="16"/>
                <w:szCs w:val="16"/>
              </w:rPr>
              <w:t>16,4</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bCs/>
                <w:sz w:val="16"/>
                <w:szCs w:val="16"/>
              </w:rPr>
            </w:pPr>
            <w:r w:rsidRPr="00265C60">
              <w:rPr>
                <w:bCs/>
                <w:sz w:val="16"/>
                <w:szCs w:val="16"/>
              </w:rPr>
              <w:t>0,01</w:t>
            </w:r>
          </w:p>
        </w:tc>
        <w:tc>
          <w:tcPr>
            <w:tcW w:w="850"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5B3369">
            <w:pPr>
              <w:spacing w:line="240" w:lineRule="auto"/>
              <w:ind w:firstLine="0"/>
              <w:jc w:val="center"/>
              <w:rPr>
                <w:bCs/>
                <w:sz w:val="16"/>
                <w:szCs w:val="16"/>
              </w:rPr>
            </w:pPr>
            <w:r w:rsidRPr="00265C60">
              <w:rPr>
                <w:bCs/>
                <w:sz w:val="16"/>
                <w:szCs w:val="16"/>
              </w:rPr>
              <w:t>3,6</w:t>
            </w:r>
          </w:p>
        </w:tc>
        <w:tc>
          <w:tcPr>
            <w:tcW w:w="566"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5B3369">
            <w:pPr>
              <w:spacing w:line="240" w:lineRule="auto"/>
              <w:ind w:firstLine="0"/>
              <w:jc w:val="center"/>
              <w:rPr>
                <w:bCs/>
                <w:sz w:val="16"/>
                <w:szCs w:val="16"/>
              </w:rPr>
            </w:pPr>
            <w:r w:rsidRPr="00265C60">
              <w:rPr>
                <w:bCs/>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5B3369">
            <w:pPr>
              <w:spacing w:line="240" w:lineRule="auto"/>
              <w:ind w:firstLine="0"/>
              <w:jc w:val="center"/>
              <w:rPr>
                <w:bCs/>
                <w:sz w:val="16"/>
                <w:szCs w:val="16"/>
              </w:rPr>
            </w:pPr>
            <w:r w:rsidRPr="00265C60">
              <w:rPr>
                <w:bCs/>
                <w:sz w:val="16"/>
                <w:szCs w:val="16"/>
              </w:rPr>
              <w:t>4,3</w:t>
            </w:r>
          </w:p>
        </w:tc>
        <w:tc>
          <w:tcPr>
            <w:tcW w:w="567"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5B3369">
            <w:pPr>
              <w:spacing w:line="240" w:lineRule="auto"/>
              <w:ind w:firstLine="0"/>
              <w:jc w:val="center"/>
              <w:rPr>
                <w:bCs/>
                <w:sz w:val="16"/>
                <w:szCs w:val="16"/>
              </w:rPr>
            </w:pPr>
            <w:r w:rsidRPr="00265C60">
              <w:rPr>
                <w:bCs/>
                <w:sz w:val="16"/>
                <w:szCs w:val="16"/>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bCs/>
                <w:sz w:val="16"/>
                <w:szCs w:val="16"/>
              </w:rPr>
            </w:pPr>
            <w:r w:rsidRPr="00265C60">
              <w:rPr>
                <w:bCs/>
                <w:sz w:val="16"/>
                <w:szCs w:val="16"/>
              </w:rPr>
              <w:t>3,2</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bCs/>
                <w:sz w:val="16"/>
                <w:szCs w:val="16"/>
              </w:rPr>
            </w:pPr>
            <w:r w:rsidRPr="00265C60">
              <w:rPr>
                <w:bCs/>
                <w:sz w:val="16"/>
                <w:szCs w:val="16"/>
              </w:rPr>
              <w:t>0,0</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bCs/>
                <w:sz w:val="16"/>
                <w:szCs w:val="16"/>
              </w:rPr>
            </w:pPr>
            <w:r w:rsidRPr="00265C60">
              <w:rPr>
                <w:bCs/>
                <w:sz w:val="16"/>
                <w:szCs w:val="16"/>
              </w:rPr>
              <w:t>21,7</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5B3369">
            <w:pPr>
              <w:spacing w:line="240" w:lineRule="auto"/>
              <w:ind w:firstLine="0"/>
              <w:jc w:val="center"/>
              <w:rPr>
                <w:bCs/>
                <w:sz w:val="16"/>
                <w:szCs w:val="16"/>
              </w:rPr>
            </w:pPr>
            <w:r w:rsidRPr="00265C60">
              <w:rPr>
                <w:bCs/>
                <w:sz w:val="16"/>
                <w:szCs w:val="16"/>
              </w:rPr>
              <w:t>0,01</w:t>
            </w:r>
          </w:p>
        </w:tc>
        <w:tc>
          <w:tcPr>
            <w:tcW w:w="850" w:type="dxa"/>
            <w:tcBorders>
              <w:top w:val="single" w:sz="4" w:space="0" w:color="auto"/>
              <w:left w:val="nil"/>
              <w:bottom w:val="single" w:sz="4" w:space="0" w:color="auto"/>
              <w:right w:val="single" w:sz="4" w:space="0" w:color="auto"/>
            </w:tcBorders>
            <w:vAlign w:val="center"/>
          </w:tcPr>
          <w:p w:rsidR="00D6320C" w:rsidRPr="00265C60" w:rsidRDefault="00D6320C" w:rsidP="005B3369">
            <w:pPr>
              <w:spacing w:line="240" w:lineRule="auto"/>
              <w:ind w:firstLine="0"/>
              <w:jc w:val="center"/>
              <w:rPr>
                <w:bCs/>
                <w:sz w:val="16"/>
                <w:szCs w:val="16"/>
              </w:rPr>
            </w:pPr>
            <w:r w:rsidRPr="00265C60">
              <w:rPr>
                <w:bCs/>
                <w:sz w:val="16"/>
                <w:szCs w:val="16"/>
              </w:rPr>
              <w:t>0,2</w:t>
            </w:r>
          </w:p>
        </w:tc>
        <w:tc>
          <w:tcPr>
            <w:tcW w:w="567" w:type="dxa"/>
            <w:tcBorders>
              <w:top w:val="single" w:sz="4" w:space="0" w:color="auto"/>
              <w:left w:val="nil"/>
              <w:bottom w:val="single" w:sz="4" w:space="0" w:color="auto"/>
              <w:right w:val="single" w:sz="4" w:space="0" w:color="auto"/>
            </w:tcBorders>
            <w:vAlign w:val="center"/>
          </w:tcPr>
          <w:p w:rsidR="00D6320C" w:rsidRPr="00265C60" w:rsidRDefault="00D6320C" w:rsidP="005B3369">
            <w:pPr>
              <w:spacing w:line="240" w:lineRule="auto"/>
              <w:ind w:firstLine="0"/>
              <w:jc w:val="center"/>
              <w:rPr>
                <w:bCs/>
                <w:sz w:val="16"/>
                <w:szCs w:val="16"/>
              </w:rPr>
            </w:pPr>
            <w:r w:rsidRPr="00265C60">
              <w:rPr>
                <w:bCs/>
                <w:sz w:val="16"/>
                <w:szCs w:val="16"/>
              </w:rPr>
              <w:t>0,0</w:t>
            </w:r>
          </w:p>
        </w:tc>
      </w:tr>
      <w:tr w:rsidR="00D6320C" w:rsidRPr="00265C60" w:rsidTr="009D32A7">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8F2572">
            <w:pPr>
              <w:spacing w:line="240" w:lineRule="auto"/>
              <w:ind w:firstLine="0"/>
              <w:jc w:val="left"/>
              <w:rPr>
                <w:b/>
                <w:sz w:val="16"/>
                <w:szCs w:val="16"/>
              </w:rPr>
            </w:pPr>
            <w:r w:rsidRPr="00265C60">
              <w:rPr>
                <w:b/>
                <w:sz w:val="16"/>
                <w:szCs w:val="16"/>
              </w:rPr>
              <w:t>внешние источники финансирования дефицита</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-397,7</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-0,2</w:t>
            </w:r>
          </w:p>
        </w:tc>
        <w:tc>
          <w:tcPr>
            <w:tcW w:w="850"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-458,7</w:t>
            </w:r>
          </w:p>
        </w:tc>
        <w:tc>
          <w:tcPr>
            <w:tcW w:w="566"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-0,2</w:t>
            </w:r>
          </w:p>
        </w:tc>
        <w:tc>
          <w:tcPr>
            <w:tcW w:w="851"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-425,5</w:t>
            </w:r>
          </w:p>
        </w:tc>
        <w:tc>
          <w:tcPr>
            <w:tcW w:w="567"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-512,4</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-0,2</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-651,5</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b/>
                <w:sz w:val="16"/>
                <w:szCs w:val="16"/>
              </w:rPr>
            </w:pPr>
            <w:r w:rsidRPr="00265C60">
              <w:rPr>
                <w:b/>
                <w:sz w:val="16"/>
                <w:szCs w:val="16"/>
              </w:rPr>
              <w:t>-0,3</w:t>
            </w:r>
          </w:p>
        </w:tc>
        <w:tc>
          <w:tcPr>
            <w:tcW w:w="850" w:type="dxa"/>
            <w:tcBorders>
              <w:top w:val="single" w:sz="4" w:space="0" w:color="auto"/>
              <w:left w:val="nil"/>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-543,5</w:t>
            </w:r>
          </w:p>
        </w:tc>
        <w:tc>
          <w:tcPr>
            <w:tcW w:w="567" w:type="dxa"/>
            <w:tcBorders>
              <w:top w:val="single" w:sz="4" w:space="0" w:color="auto"/>
              <w:left w:val="nil"/>
              <w:bottom w:val="single" w:sz="4" w:space="0" w:color="auto"/>
              <w:right w:val="single" w:sz="4" w:space="0" w:color="auto"/>
            </w:tcBorders>
            <w:vAlign w:val="center"/>
          </w:tcPr>
          <w:p w:rsidR="00D6320C" w:rsidRPr="00265C60" w:rsidRDefault="00D6320C" w:rsidP="00FD3308">
            <w:pPr>
              <w:ind w:firstLine="0"/>
              <w:jc w:val="center"/>
              <w:rPr>
                <w:b/>
                <w:sz w:val="16"/>
                <w:szCs w:val="16"/>
              </w:rPr>
            </w:pPr>
            <w:r w:rsidRPr="00265C60">
              <w:rPr>
                <w:b/>
                <w:sz w:val="16"/>
                <w:szCs w:val="16"/>
              </w:rPr>
              <w:t>-0,2</w:t>
            </w:r>
          </w:p>
        </w:tc>
      </w:tr>
      <w:tr w:rsidR="00D6320C" w:rsidRPr="00265C60" w:rsidTr="009D32A7">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A632E3">
            <w:pPr>
              <w:spacing w:line="240" w:lineRule="auto"/>
              <w:ind w:firstLine="0"/>
              <w:jc w:val="center"/>
              <w:rPr>
                <w:sz w:val="16"/>
                <w:szCs w:val="16"/>
              </w:rPr>
            </w:pPr>
            <w:r w:rsidRPr="00265C60">
              <w:rPr>
                <w:sz w:val="16"/>
                <w:szCs w:val="16"/>
              </w:rPr>
              <w:t>из них:</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sz w:val="16"/>
                <w:szCs w:val="16"/>
              </w:rPr>
            </w:pPr>
          </w:p>
        </w:tc>
        <w:tc>
          <w:tcPr>
            <w:tcW w:w="566"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FD3308">
            <w:pPr>
              <w:ind w:firstLine="0"/>
              <w:jc w:val="center"/>
              <w:rPr>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sz w:val="16"/>
                <w:szCs w:val="16"/>
              </w:rPr>
            </w:pPr>
          </w:p>
        </w:tc>
        <w:tc>
          <w:tcPr>
            <w:tcW w:w="850" w:type="dxa"/>
            <w:tcBorders>
              <w:top w:val="single" w:sz="4" w:space="0" w:color="auto"/>
              <w:left w:val="nil"/>
              <w:bottom w:val="single" w:sz="4" w:space="0" w:color="auto"/>
              <w:right w:val="single" w:sz="4" w:space="0" w:color="auto"/>
            </w:tcBorders>
            <w:vAlign w:val="center"/>
          </w:tcPr>
          <w:p w:rsidR="00D6320C" w:rsidRPr="00265C60" w:rsidRDefault="00D6320C" w:rsidP="00FD3308">
            <w:pPr>
              <w:ind w:firstLine="0"/>
              <w:jc w:val="center"/>
              <w:rPr>
                <w:sz w:val="16"/>
                <w:szCs w:val="16"/>
              </w:rPr>
            </w:pPr>
          </w:p>
        </w:tc>
        <w:tc>
          <w:tcPr>
            <w:tcW w:w="567" w:type="dxa"/>
            <w:tcBorders>
              <w:top w:val="single" w:sz="4" w:space="0" w:color="auto"/>
              <w:left w:val="nil"/>
              <w:bottom w:val="single" w:sz="4" w:space="0" w:color="auto"/>
              <w:right w:val="single" w:sz="4" w:space="0" w:color="auto"/>
            </w:tcBorders>
            <w:vAlign w:val="center"/>
          </w:tcPr>
          <w:p w:rsidR="00D6320C" w:rsidRPr="00265C60" w:rsidRDefault="00D6320C" w:rsidP="00FD3308">
            <w:pPr>
              <w:ind w:firstLine="0"/>
              <w:jc w:val="center"/>
              <w:rPr>
                <w:sz w:val="16"/>
                <w:szCs w:val="16"/>
              </w:rPr>
            </w:pPr>
          </w:p>
        </w:tc>
      </w:tr>
      <w:tr w:rsidR="00D6320C" w:rsidRPr="00265C60" w:rsidTr="009D32A7">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FD0674">
            <w:pPr>
              <w:spacing w:line="240" w:lineRule="auto"/>
              <w:ind w:firstLine="0"/>
              <w:jc w:val="left"/>
              <w:rPr>
                <w:sz w:val="16"/>
                <w:szCs w:val="16"/>
              </w:rPr>
            </w:pPr>
            <w:r w:rsidRPr="00265C60">
              <w:rPr>
                <w:sz w:val="16"/>
                <w:szCs w:val="16"/>
              </w:rPr>
              <w:t>сальдо государственных заимствований</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sz w:val="16"/>
                <w:szCs w:val="16"/>
              </w:rPr>
            </w:pPr>
            <w:r w:rsidRPr="00265C60">
              <w:rPr>
                <w:sz w:val="16"/>
                <w:szCs w:val="16"/>
              </w:rPr>
              <w:t>-33,3</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sz w:val="16"/>
                <w:szCs w:val="16"/>
              </w:rPr>
            </w:pPr>
            <w:r w:rsidRPr="00265C60">
              <w:rPr>
                <w:sz w:val="16"/>
                <w:szCs w:val="16"/>
              </w:rPr>
              <w:t>-0,02</w:t>
            </w:r>
          </w:p>
        </w:tc>
        <w:tc>
          <w:tcPr>
            <w:tcW w:w="850"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sz w:val="16"/>
                <w:szCs w:val="16"/>
              </w:rPr>
            </w:pPr>
            <w:r w:rsidRPr="00265C60">
              <w:rPr>
                <w:sz w:val="16"/>
                <w:szCs w:val="16"/>
              </w:rPr>
              <w:t>-110,6</w:t>
            </w:r>
          </w:p>
        </w:tc>
        <w:tc>
          <w:tcPr>
            <w:tcW w:w="566"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sz w:val="16"/>
                <w:szCs w:val="16"/>
              </w:rPr>
            </w:pPr>
            <w:r w:rsidRPr="00265C60">
              <w:rPr>
                <w:sz w:val="16"/>
                <w:szCs w:val="16"/>
              </w:rPr>
              <w:t>-0,05</w:t>
            </w:r>
          </w:p>
        </w:tc>
        <w:tc>
          <w:tcPr>
            <w:tcW w:w="851"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sz w:val="16"/>
                <w:szCs w:val="16"/>
              </w:rPr>
            </w:pPr>
            <w:r w:rsidRPr="00265C60">
              <w:rPr>
                <w:sz w:val="16"/>
                <w:szCs w:val="16"/>
              </w:rPr>
              <w:t>-129,1</w:t>
            </w:r>
          </w:p>
        </w:tc>
        <w:tc>
          <w:tcPr>
            <w:tcW w:w="567"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FD3308">
            <w:pPr>
              <w:ind w:firstLine="0"/>
              <w:jc w:val="center"/>
              <w:rPr>
                <w:sz w:val="16"/>
                <w:szCs w:val="16"/>
              </w:rPr>
            </w:pPr>
            <w:r w:rsidRPr="00265C60">
              <w:rPr>
                <w:sz w:val="16"/>
                <w:szCs w:val="16"/>
              </w:rPr>
              <w:t>-0,06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FD3308">
            <w:pPr>
              <w:ind w:firstLine="0"/>
              <w:jc w:val="center"/>
              <w:rPr>
                <w:sz w:val="16"/>
                <w:szCs w:val="16"/>
              </w:rPr>
            </w:pPr>
            <w:r w:rsidRPr="00265C60">
              <w:rPr>
                <w:sz w:val="16"/>
                <w:szCs w:val="16"/>
              </w:rPr>
              <w:t>-192,5</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sz w:val="16"/>
                <w:szCs w:val="16"/>
              </w:rPr>
            </w:pPr>
            <w:r w:rsidRPr="00265C60">
              <w:rPr>
                <w:sz w:val="16"/>
                <w:szCs w:val="16"/>
              </w:rPr>
              <w:t>-0,08</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sz w:val="16"/>
                <w:szCs w:val="16"/>
              </w:rPr>
            </w:pPr>
            <w:r w:rsidRPr="00265C60">
              <w:rPr>
                <w:sz w:val="16"/>
                <w:szCs w:val="16"/>
              </w:rPr>
              <w:t>-268,7</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ind w:firstLine="0"/>
              <w:jc w:val="center"/>
              <w:rPr>
                <w:sz w:val="16"/>
                <w:szCs w:val="16"/>
              </w:rPr>
            </w:pPr>
            <w:r w:rsidRPr="00265C60">
              <w:rPr>
                <w:sz w:val="16"/>
                <w:szCs w:val="16"/>
              </w:rPr>
              <w:t>-0,1</w:t>
            </w:r>
          </w:p>
        </w:tc>
        <w:tc>
          <w:tcPr>
            <w:tcW w:w="850" w:type="dxa"/>
            <w:tcBorders>
              <w:top w:val="single" w:sz="4" w:space="0" w:color="auto"/>
              <w:left w:val="nil"/>
              <w:bottom w:val="single" w:sz="4" w:space="0" w:color="auto"/>
              <w:right w:val="single" w:sz="4" w:space="0" w:color="auto"/>
            </w:tcBorders>
            <w:vAlign w:val="center"/>
          </w:tcPr>
          <w:p w:rsidR="00D6320C" w:rsidRPr="00265C60" w:rsidRDefault="00D6320C" w:rsidP="00FD3308">
            <w:pPr>
              <w:ind w:firstLine="0"/>
              <w:jc w:val="center"/>
              <w:rPr>
                <w:sz w:val="16"/>
                <w:szCs w:val="16"/>
              </w:rPr>
            </w:pPr>
            <w:r w:rsidRPr="00265C60">
              <w:rPr>
                <w:sz w:val="16"/>
                <w:szCs w:val="16"/>
              </w:rPr>
              <w:t>-163,5</w:t>
            </w:r>
          </w:p>
        </w:tc>
        <w:tc>
          <w:tcPr>
            <w:tcW w:w="567" w:type="dxa"/>
            <w:tcBorders>
              <w:top w:val="single" w:sz="4" w:space="0" w:color="auto"/>
              <w:left w:val="nil"/>
              <w:bottom w:val="single" w:sz="4" w:space="0" w:color="auto"/>
              <w:right w:val="single" w:sz="4" w:space="0" w:color="auto"/>
            </w:tcBorders>
            <w:vAlign w:val="center"/>
          </w:tcPr>
          <w:p w:rsidR="00D6320C" w:rsidRPr="00265C60" w:rsidRDefault="00D6320C" w:rsidP="00FD3308">
            <w:pPr>
              <w:ind w:firstLine="0"/>
              <w:jc w:val="center"/>
              <w:rPr>
                <w:sz w:val="16"/>
                <w:szCs w:val="16"/>
              </w:rPr>
            </w:pPr>
            <w:r w:rsidRPr="00265C60">
              <w:rPr>
                <w:sz w:val="16"/>
                <w:szCs w:val="16"/>
              </w:rPr>
              <w:t>-0,06</w:t>
            </w:r>
          </w:p>
        </w:tc>
      </w:tr>
      <w:tr w:rsidR="00D6320C" w:rsidRPr="00265C60" w:rsidTr="009D32A7">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A632E3">
            <w:pPr>
              <w:spacing w:line="240" w:lineRule="auto"/>
              <w:ind w:firstLine="0"/>
              <w:jc w:val="left"/>
              <w:rPr>
                <w:i/>
                <w:sz w:val="16"/>
                <w:szCs w:val="16"/>
              </w:rPr>
            </w:pPr>
            <w:r w:rsidRPr="00265C60">
              <w:rPr>
                <w:i/>
                <w:sz w:val="16"/>
                <w:szCs w:val="16"/>
              </w:rPr>
              <w:t>Справочно:</w:t>
            </w:r>
          </w:p>
          <w:p w:rsidR="00D6320C" w:rsidRPr="00265C60" w:rsidRDefault="00D6320C" w:rsidP="00D07A8B">
            <w:pPr>
              <w:spacing w:line="240" w:lineRule="auto"/>
              <w:ind w:firstLine="0"/>
              <w:jc w:val="left"/>
              <w:rPr>
                <w:i/>
                <w:sz w:val="16"/>
                <w:szCs w:val="16"/>
              </w:rPr>
            </w:pPr>
            <w:r w:rsidRPr="00265C60">
              <w:rPr>
                <w:i/>
                <w:sz w:val="16"/>
                <w:szCs w:val="16"/>
              </w:rPr>
              <w:t>ВВП, млрд рублей</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1D0E38">
            <w:pPr>
              <w:ind w:firstLine="0"/>
              <w:jc w:val="center"/>
              <w:rPr>
                <w:sz w:val="16"/>
                <w:szCs w:val="16"/>
              </w:rPr>
            </w:pPr>
            <w:r w:rsidRPr="00265C60">
              <w:rPr>
                <w:sz w:val="16"/>
                <w:szCs w:val="16"/>
              </w:rPr>
              <w:t>201 152</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1D0E38">
            <w:pPr>
              <w:ind w:firstLine="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1D0E38">
            <w:pPr>
              <w:ind w:firstLine="0"/>
              <w:jc w:val="center"/>
              <w:rPr>
                <w:sz w:val="16"/>
                <w:szCs w:val="16"/>
              </w:rPr>
            </w:pPr>
            <w:r w:rsidRPr="00265C60">
              <w:rPr>
                <w:sz w:val="16"/>
                <w:szCs w:val="16"/>
              </w:rPr>
              <w:t>221 861</w:t>
            </w:r>
          </w:p>
        </w:tc>
        <w:tc>
          <w:tcPr>
            <w:tcW w:w="566"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1D0E38">
            <w:pPr>
              <w:ind w:firstLine="0"/>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1D0E38">
            <w:pPr>
              <w:ind w:firstLine="0"/>
              <w:jc w:val="center"/>
              <w:rPr>
                <w:sz w:val="16"/>
                <w:szCs w:val="16"/>
              </w:rPr>
            </w:pPr>
            <w:r w:rsidRPr="00265C60">
              <w:rPr>
                <w:sz w:val="16"/>
                <w:szCs w:val="16"/>
              </w:rPr>
              <w:t>217 290</w:t>
            </w:r>
          </w:p>
        </w:tc>
        <w:tc>
          <w:tcPr>
            <w:tcW w:w="567" w:type="dxa"/>
            <w:tcBorders>
              <w:top w:val="single" w:sz="4" w:space="0" w:color="auto"/>
              <w:left w:val="single" w:sz="4" w:space="0" w:color="auto"/>
              <w:bottom w:val="single" w:sz="4" w:space="0" w:color="auto"/>
              <w:right w:val="single" w:sz="4" w:space="0" w:color="auto"/>
            </w:tcBorders>
            <w:vAlign w:val="center"/>
          </w:tcPr>
          <w:p w:rsidR="00D6320C" w:rsidRPr="00265C60" w:rsidRDefault="00D6320C" w:rsidP="001D0E38">
            <w:pPr>
              <w:ind w:firstLine="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1D0E38">
            <w:pPr>
              <w:ind w:firstLine="0"/>
              <w:jc w:val="center"/>
              <w:rPr>
                <w:sz w:val="16"/>
                <w:szCs w:val="16"/>
              </w:rPr>
            </w:pPr>
            <w:r w:rsidRPr="00265C60">
              <w:rPr>
                <w:sz w:val="16"/>
                <w:szCs w:val="16"/>
              </w:rPr>
              <w:t>235 067</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1D0E38">
            <w:pPr>
              <w:ind w:firstLine="0"/>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1D0E38">
            <w:pPr>
              <w:ind w:firstLine="0"/>
              <w:jc w:val="center"/>
              <w:rPr>
                <w:sz w:val="16"/>
                <w:szCs w:val="16"/>
              </w:rPr>
            </w:pPr>
            <w:r w:rsidRPr="00265C60">
              <w:rPr>
                <w:sz w:val="16"/>
                <w:szCs w:val="16"/>
              </w:rPr>
              <w:t>255 498</w:t>
            </w:r>
          </w:p>
        </w:tc>
        <w:tc>
          <w:tcPr>
            <w:tcW w:w="56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1D0E38">
            <w:pPr>
              <w:ind w:firstLine="0"/>
              <w:jc w:val="center"/>
              <w:rPr>
                <w:sz w:val="16"/>
                <w:szCs w:val="16"/>
              </w:rPr>
            </w:pPr>
          </w:p>
        </w:tc>
        <w:tc>
          <w:tcPr>
            <w:tcW w:w="850" w:type="dxa"/>
            <w:tcBorders>
              <w:top w:val="single" w:sz="4" w:space="0" w:color="auto"/>
              <w:left w:val="nil"/>
              <w:bottom w:val="single" w:sz="4" w:space="0" w:color="auto"/>
              <w:right w:val="single" w:sz="4" w:space="0" w:color="auto"/>
            </w:tcBorders>
            <w:vAlign w:val="center"/>
          </w:tcPr>
          <w:p w:rsidR="00D6320C" w:rsidRPr="00265C60" w:rsidRDefault="00D6320C" w:rsidP="001D0E38">
            <w:pPr>
              <w:ind w:firstLine="0"/>
              <w:jc w:val="center"/>
              <w:rPr>
                <w:sz w:val="16"/>
                <w:szCs w:val="16"/>
              </w:rPr>
            </w:pPr>
            <w:r w:rsidRPr="00265C60">
              <w:rPr>
                <w:sz w:val="16"/>
                <w:szCs w:val="16"/>
              </w:rPr>
              <w:t>276 346</w:t>
            </w:r>
          </w:p>
        </w:tc>
        <w:tc>
          <w:tcPr>
            <w:tcW w:w="567" w:type="dxa"/>
            <w:tcBorders>
              <w:top w:val="single" w:sz="4" w:space="0" w:color="auto"/>
              <w:left w:val="nil"/>
              <w:bottom w:val="single" w:sz="4" w:space="0" w:color="auto"/>
              <w:right w:val="single" w:sz="4" w:space="0" w:color="auto"/>
            </w:tcBorders>
            <w:vAlign w:val="center"/>
          </w:tcPr>
          <w:p w:rsidR="00D6320C" w:rsidRPr="00265C60" w:rsidRDefault="00D6320C" w:rsidP="001D0E38">
            <w:pPr>
              <w:ind w:firstLine="0"/>
              <w:jc w:val="center"/>
              <w:rPr>
                <w:sz w:val="16"/>
                <w:szCs w:val="16"/>
              </w:rPr>
            </w:pPr>
          </w:p>
        </w:tc>
      </w:tr>
    </w:tbl>
    <w:p w:rsidR="00A00CBC" w:rsidRPr="00265C60" w:rsidRDefault="00A00CBC" w:rsidP="00A00CBC">
      <w:pPr>
        <w:pStyle w:val="rvps698610"/>
        <w:widowControl w:val="0"/>
        <w:tabs>
          <w:tab w:val="left" w:pos="9355"/>
        </w:tabs>
        <w:spacing w:after="0" w:line="240" w:lineRule="auto"/>
        <w:ind w:right="0"/>
        <w:rPr>
          <w:sz w:val="16"/>
          <w:szCs w:val="16"/>
        </w:rPr>
      </w:pPr>
      <w:r w:rsidRPr="00265C60">
        <w:rPr>
          <w:sz w:val="16"/>
          <w:szCs w:val="16"/>
        </w:rPr>
        <w:t xml:space="preserve">* В соответствии с Федеральным законом от </w:t>
      </w:r>
      <w:r w:rsidR="00444FE7" w:rsidRPr="00265C60">
        <w:rPr>
          <w:sz w:val="16"/>
          <w:szCs w:val="16"/>
        </w:rPr>
        <w:t xml:space="preserve">30 </w:t>
      </w:r>
      <w:r w:rsidR="00061302" w:rsidRPr="00265C60">
        <w:rPr>
          <w:sz w:val="16"/>
          <w:szCs w:val="16"/>
        </w:rPr>
        <w:t>ноября</w:t>
      </w:r>
      <w:r w:rsidRPr="00265C60">
        <w:rPr>
          <w:sz w:val="16"/>
          <w:szCs w:val="16"/>
        </w:rPr>
        <w:t xml:space="preserve"> 20</w:t>
      </w:r>
      <w:r w:rsidR="00DB3BDC" w:rsidRPr="00265C60">
        <w:rPr>
          <w:sz w:val="16"/>
          <w:szCs w:val="16"/>
        </w:rPr>
        <w:t>2</w:t>
      </w:r>
      <w:r w:rsidR="00444FE7" w:rsidRPr="00265C60">
        <w:rPr>
          <w:sz w:val="16"/>
          <w:szCs w:val="16"/>
        </w:rPr>
        <w:t>4</w:t>
      </w:r>
      <w:r w:rsidRPr="00265C60">
        <w:rPr>
          <w:sz w:val="16"/>
          <w:szCs w:val="16"/>
        </w:rPr>
        <w:t xml:space="preserve"> г. № </w:t>
      </w:r>
      <w:r w:rsidR="00444FE7" w:rsidRPr="00265C60">
        <w:rPr>
          <w:sz w:val="16"/>
          <w:szCs w:val="16"/>
        </w:rPr>
        <w:t>419</w:t>
      </w:r>
      <w:r w:rsidRPr="00265C60">
        <w:rPr>
          <w:sz w:val="16"/>
          <w:szCs w:val="16"/>
        </w:rPr>
        <w:t>-ФЗ «О федеральном бюджете на 20</w:t>
      </w:r>
      <w:r w:rsidR="00AC1B81" w:rsidRPr="00265C60">
        <w:rPr>
          <w:sz w:val="16"/>
          <w:szCs w:val="16"/>
        </w:rPr>
        <w:t>2</w:t>
      </w:r>
      <w:r w:rsidR="00444FE7" w:rsidRPr="00265C60">
        <w:rPr>
          <w:sz w:val="16"/>
          <w:szCs w:val="16"/>
        </w:rPr>
        <w:t>5</w:t>
      </w:r>
      <w:r w:rsidRPr="00265C60">
        <w:rPr>
          <w:sz w:val="16"/>
          <w:szCs w:val="16"/>
        </w:rPr>
        <w:t xml:space="preserve"> год и на плановый период 202</w:t>
      </w:r>
      <w:r w:rsidR="00444FE7" w:rsidRPr="00265C60">
        <w:rPr>
          <w:sz w:val="16"/>
          <w:szCs w:val="16"/>
        </w:rPr>
        <w:t>6</w:t>
      </w:r>
      <w:r w:rsidR="00AC1B81" w:rsidRPr="00265C60">
        <w:rPr>
          <w:sz w:val="16"/>
          <w:szCs w:val="16"/>
        </w:rPr>
        <w:t xml:space="preserve"> </w:t>
      </w:r>
      <w:r w:rsidRPr="00265C60">
        <w:rPr>
          <w:sz w:val="16"/>
          <w:szCs w:val="16"/>
        </w:rPr>
        <w:t>и 202</w:t>
      </w:r>
      <w:r w:rsidR="00444FE7" w:rsidRPr="00265C60">
        <w:rPr>
          <w:sz w:val="16"/>
          <w:szCs w:val="16"/>
        </w:rPr>
        <w:t>7</w:t>
      </w:r>
      <w:r w:rsidR="00FE6BD0" w:rsidRPr="00265C60">
        <w:rPr>
          <w:sz w:val="16"/>
          <w:szCs w:val="16"/>
        </w:rPr>
        <w:t xml:space="preserve"> </w:t>
      </w:r>
      <w:r w:rsidRPr="00265C60">
        <w:rPr>
          <w:sz w:val="16"/>
          <w:szCs w:val="16"/>
        </w:rPr>
        <w:t>годов»</w:t>
      </w:r>
      <w:r w:rsidR="00444FE7" w:rsidRPr="00265C60">
        <w:rPr>
          <w:sz w:val="16"/>
          <w:szCs w:val="16"/>
        </w:rPr>
        <w:t xml:space="preserve"> (с изменениями)</w:t>
      </w:r>
      <w:r w:rsidRPr="00265C60">
        <w:rPr>
          <w:sz w:val="16"/>
          <w:szCs w:val="16"/>
        </w:rPr>
        <w:t>.</w:t>
      </w:r>
    </w:p>
    <w:p w:rsidR="00A00CBC" w:rsidRPr="00265C60" w:rsidRDefault="00A00CBC" w:rsidP="00A00CBC">
      <w:pPr>
        <w:widowControl w:val="0"/>
        <w:autoSpaceDE w:val="0"/>
        <w:autoSpaceDN w:val="0"/>
        <w:adjustRightInd w:val="0"/>
        <w:spacing w:line="240" w:lineRule="auto"/>
        <w:rPr>
          <w:sz w:val="16"/>
          <w:szCs w:val="16"/>
        </w:rPr>
      </w:pPr>
      <w:r w:rsidRPr="00265C60">
        <w:rPr>
          <w:sz w:val="16"/>
          <w:szCs w:val="16"/>
        </w:rPr>
        <w:t xml:space="preserve">** </w:t>
      </w:r>
      <w:bookmarkStart w:id="2" w:name="_Hlk52372397"/>
      <w:r w:rsidRPr="00265C60">
        <w:rPr>
          <w:sz w:val="16"/>
          <w:szCs w:val="16"/>
        </w:rPr>
        <w:t xml:space="preserve">В соответствии </w:t>
      </w:r>
      <w:r w:rsidR="0042372A" w:rsidRPr="00265C60">
        <w:rPr>
          <w:sz w:val="16"/>
          <w:szCs w:val="16"/>
        </w:rPr>
        <w:t xml:space="preserve">с </w:t>
      </w:r>
      <w:r w:rsidR="007C0B61" w:rsidRPr="00265C60">
        <w:rPr>
          <w:sz w:val="16"/>
          <w:szCs w:val="16"/>
        </w:rPr>
        <w:t xml:space="preserve">проектом федерального закона № </w:t>
      </w:r>
      <w:r w:rsidR="00E262FB" w:rsidRPr="00265C60">
        <w:rPr>
          <w:sz w:val="16"/>
          <w:szCs w:val="16"/>
        </w:rPr>
        <w:t>1026191-8</w:t>
      </w:r>
      <w:r w:rsidR="007C0B61" w:rsidRPr="00265C60">
        <w:rPr>
          <w:sz w:val="16"/>
          <w:szCs w:val="16"/>
        </w:rPr>
        <w:t xml:space="preserve"> «О внесении изменений</w:t>
      </w:r>
      <w:r w:rsidR="00E262FB" w:rsidRPr="00265C60">
        <w:rPr>
          <w:sz w:val="16"/>
          <w:szCs w:val="16"/>
        </w:rPr>
        <w:t xml:space="preserve"> в Федеральный закон «О федеральном бюджете на 2025 год и на плановый период 2026 и 2027 годов»</w:t>
      </w:r>
      <w:r w:rsidRPr="00265C60">
        <w:rPr>
          <w:sz w:val="16"/>
          <w:szCs w:val="16"/>
        </w:rPr>
        <w:t>, представленным одновременно с проектом федерального закона «О</w:t>
      </w:r>
      <w:r w:rsidR="008F2572">
        <w:rPr>
          <w:sz w:val="16"/>
          <w:szCs w:val="16"/>
        </w:rPr>
        <w:t> </w:t>
      </w:r>
      <w:r w:rsidRPr="00265C60">
        <w:rPr>
          <w:sz w:val="16"/>
          <w:szCs w:val="16"/>
        </w:rPr>
        <w:t>федеральном бюджете на 20</w:t>
      </w:r>
      <w:r w:rsidR="00AC1B81" w:rsidRPr="00265C60">
        <w:rPr>
          <w:sz w:val="16"/>
          <w:szCs w:val="16"/>
        </w:rPr>
        <w:t>2</w:t>
      </w:r>
      <w:r w:rsidR="00444FE7" w:rsidRPr="00265C60">
        <w:rPr>
          <w:sz w:val="16"/>
          <w:szCs w:val="16"/>
        </w:rPr>
        <w:t>6</w:t>
      </w:r>
      <w:r w:rsidRPr="00265C60">
        <w:rPr>
          <w:sz w:val="16"/>
          <w:szCs w:val="16"/>
        </w:rPr>
        <w:t xml:space="preserve"> год и на плановый период 202</w:t>
      </w:r>
      <w:r w:rsidR="00444FE7" w:rsidRPr="00265C60">
        <w:rPr>
          <w:sz w:val="16"/>
          <w:szCs w:val="16"/>
        </w:rPr>
        <w:t>7</w:t>
      </w:r>
      <w:r w:rsidRPr="00265C60">
        <w:rPr>
          <w:sz w:val="16"/>
          <w:szCs w:val="16"/>
        </w:rPr>
        <w:t xml:space="preserve"> и 202</w:t>
      </w:r>
      <w:r w:rsidR="00444FE7" w:rsidRPr="00265C60">
        <w:rPr>
          <w:sz w:val="16"/>
          <w:szCs w:val="16"/>
        </w:rPr>
        <w:t>8</w:t>
      </w:r>
      <w:r w:rsidRPr="00265C60">
        <w:rPr>
          <w:sz w:val="16"/>
          <w:szCs w:val="16"/>
        </w:rPr>
        <w:t xml:space="preserve"> годов».</w:t>
      </w:r>
      <w:bookmarkEnd w:id="2"/>
    </w:p>
    <w:p w:rsidR="00AF018F" w:rsidRPr="00265C60" w:rsidRDefault="00AF018F" w:rsidP="00235D39">
      <w:pPr>
        <w:widowControl w:val="0"/>
        <w:autoSpaceDE w:val="0"/>
        <w:autoSpaceDN w:val="0"/>
        <w:adjustRightInd w:val="0"/>
        <w:rPr>
          <w:sz w:val="8"/>
        </w:rPr>
      </w:pPr>
    </w:p>
    <w:bookmarkEnd w:id="0"/>
    <w:bookmarkEnd w:id="1"/>
    <w:p w:rsidR="003615C1" w:rsidRPr="00265C60" w:rsidRDefault="000418E4" w:rsidP="00FE6BD0">
      <w:r w:rsidRPr="00265C60">
        <w:t xml:space="preserve">Проектом федерального бюджета </w:t>
      </w:r>
      <w:r w:rsidR="00FE6BD0" w:rsidRPr="00265C60">
        <w:t>в 202</w:t>
      </w:r>
      <w:r w:rsidR="00F1748E" w:rsidRPr="00265C60">
        <w:t>6</w:t>
      </w:r>
      <w:r w:rsidR="008928A1" w:rsidRPr="00265C60">
        <w:t xml:space="preserve"> году предусматривается </w:t>
      </w:r>
      <w:r w:rsidR="002A5335" w:rsidRPr="00265C60">
        <w:br/>
      </w:r>
      <w:r w:rsidR="003000A0" w:rsidRPr="00265C60">
        <w:t xml:space="preserve">увеличение </w:t>
      </w:r>
      <w:r w:rsidRPr="00265C60">
        <w:t xml:space="preserve">доли доходов </w:t>
      </w:r>
      <w:r w:rsidR="00061302" w:rsidRPr="00265C60">
        <w:t xml:space="preserve">в ВВП </w:t>
      </w:r>
      <w:r w:rsidR="00F1748E" w:rsidRPr="00265C60">
        <w:t xml:space="preserve"> по сравнению с 2025 годом</w:t>
      </w:r>
      <w:r w:rsidR="0091710B" w:rsidRPr="00265C60">
        <w:t xml:space="preserve"> </w:t>
      </w:r>
      <w:r w:rsidR="00061302" w:rsidRPr="00265C60">
        <w:t>с последовательным снижением в 202</w:t>
      </w:r>
      <w:r w:rsidR="00F1748E" w:rsidRPr="00265C60">
        <w:t>7</w:t>
      </w:r>
      <w:r w:rsidR="00061302" w:rsidRPr="00265C60">
        <w:t>–202</w:t>
      </w:r>
      <w:r w:rsidR="00F1748E" w:rsidRPr="00265C60">
        <w:t>8</w:t>
      </w:r>
      <w:r w:rsidR="00061302" w:rsidRPr="00265C60">
        <w:t xml:space="preserve"> годах</w:t>
      </w:r>
      <w:r w:rsidR="0091710B" w:rsidRPr="00265C60">
        <w:t xml:space="preserve"> по сравнению с предыдущим годом (с 17,1 % ВВП в 2026 году до 16,6 % ВВП в 2028 году)</w:t>
      </w:r>
      <w:r w:rsidR="00061302" w:rsidRPr="00265C60">
        <w:t>. Доля расходов в ВВП в 202</w:t>
      </w:r>
      <w:r w:rsidR="00F1748E" w:rsidRPr="00265C60">
        <w:t>6</w:t>
      </w:r>
      <w:r w:rsidR="00061302" w:rsidRPr="00265C60">
        <w:t>–202</w:t>
      </w:r>
      <w:r w:rsidR="00F1748E" w:rsidRPr="00265C60">
        <w:t>8</w:t>
      </w:r>
      <w:r w:rsidR="00061302" w:rsidRPr="00265C60">
        <w:t xml:space="preserve"> годах ежегодно снижается</w:t>
      </w:r>
      <w:r w:rsidR="0091710B" w:rsidRPr="00265C60">
        <w:br/>
      </w:r>
      <w:r w:rsidR="00061302" w:rsidRPr="00265C60">
        <w:t xml:space="preserve">(с </w:t>
      </w:r>
      <w:r w:rsidR="00F1748E" w:rsidRPr="00265C60">
        <w:t xml:space="preserve">19,5 </w:t>
      </w:r>
      <w:r w:rsidR="00347A6E" w:rsidRPr="00265C60">
        <w:t>% ВВП в 202</w:t>
      </w:r>
      <w:r w:rsidR="00F1748E" w:rsidRPr="00265C60">
        <w:t>5</w:t>
      </w:r>
      <w:r w:rsidR="00347A6E" w:rsidRPr="00265C60">
        <w:t xml:space="preserve"> году до </w:t>
      </w:r>
      <w:r w:rsidR="00F1748E" w:rsidRPr="00265C60">
        <w:t>17,9</w:t>
      </w:r>
      <w:r w:rsidR="00347A6E" w:rsidRPr="00265C60">
        <w:t xml:space="preserve"> % ВВП в 202</w:t>
      </w:r>
      <w:r w:rsidR="00F1748E" w:rsidRPr="00265C60">
        <w:t>8</w:t>
      </w:r>
      <w:r w:rsidR="00347A6E" w:rsidRPr="00265C60">
        <w:t xml:space="preserve"> году)</w:t>
      </w:r>
      <w:r w:rsidRPr="00265C60">
        <w:t xml:space="preserve">. </w:t>
      </w:r>
    </w:p>
    <w:p w:rsidR="003000A0" w:rsidRPr="00265C60" w:rsidRDefault="00FE6BD0" w:rsidP="00FE6BD0">
      <w:r w:rsidRPr="00265C60">
        <w:t>В 202</w:t>
      </w:r>
      <w:r w:rsidR="007259AC" w:rsidRPr="00265C60">
        <w:t>6</w:t>
      </w:r>
      <w:r w:rsidR="0061616E" w:rsidRPr="00265C60">
        <w:t>–</w:t>
      </w:r>
      <w:r w:rsidRPr="00265C60">
        <w:t>202</w:t>
      </w:r>
      <w:r w:rsidR="007259AC" w:rsidRPr="00265C60">
        <w:t>8</w:t>
      </w:r>
      <w:r w:rsidRPr="00265C60">
        <w:t xml:space="preserve"> годах федеральный бюджет планируется с дефицитом, который </w:t>
      </w:r>
      <w:r w:rsidR="002A5335" w:rsidRPr="00265C60">
        <w:br/>
      </w:r>
      <w:r w:rsidR="003000A0" w:rsidRPr="00265C60">
        <w:rPr>
          <w:b/>
        </w:rPr>
        <w:t>снижается</w:t>
      </w:r>
      <w:r w:rsidR="003000A0" w:rsidRPr="00265C60">
        <w:t xml:space="preserve"> по сравнению с</w:t>
      </w:r>
      <w:r w:rsidRPr="00265C60">
        <w:t xml:space="preserve"> </w:t>
      </w:r>
      <w:r w:rsidR="004325DB" w:rsidRPr="00265C60">
        <w:t>ожидаемы</w:t>
      </w:r>
      <w:r w:rsidR="003000A0" w:rsidRPr="00265C60">
        <w:t>м</w:t>
      </w:r>
      <w:r w:rsidR="004325DB" w:rsidRPr="00265C60">
        <w:t xml:space="preserve"> </w:t>
      </w:r>
      <w:r w:rsidRPr="00265C60">
        <w:t>дефицит</w:t>
      </w:r>
      <w:r w:rsidR="003000A0" w:rsidRPr="00265C60">
        <w:t>ом</w:t>
      </w:r>
      <w:r w:rsidR="00F1748E" w:rsidRPr="00265C60">
        <w:t xml:space="preserve"> </w:t>
      </w:r>
      <w:r w:rsidRPr="00265C60">
        <w:t>202</w:t>
      </w:r>
      <w:r w:rsidR="007259AC" w:rsidRPr="00265C60">
        <w:t>5</w:t>
      </w:r>
      <w:r w:rsidRPr="00265C60">
        <w:t xml:space="preserve"> года</w:t>
      </w:r>
      <w:r w:rsidR="003000A0" w:rsidRPr="00265C60">
        <w:t xml:space="preserve"> (с </w:t>
      </w:r>
      <w:r w:rsidR="007259AC" w:rsidRPr="00265C60">
        <w:t>2</w:t>
      </w:r>
      <w:r w:rsidR="003000A0" w:rsidRPr="00265C60">
        <w:t>,</w:t>
      </w:r>
      <w:r w:rsidR="007259AC" w:rsidRPr="00265C60">
        <w:t>6</w:t>
      </w:r>
      <w:r w:rsidR="003000A0" w:rsidRPr="00265C60">
        <w:t xml:space="preserve"> % ВВП в 202</w:t>
      </w:r>
      <w:r w:rsidR="007259AC" w:rsidRPr="00265C60">
        <w:t>5</w:t>
      </w:r>
      <w:r w:rsidR="003000A0" w:rsidRPr="00265C60">
        <w:t xml:space="preserve"> году до</w:t>
      </w:r>
      <w:r w:rsidR="008F2572">
        <w:t> </w:t>
      </w:r>
      <w:r w:rsidR="00F1748E" w:rsidRPr="00265C60">
        <w:t>1,3</w:t>
      </w:r>
      <w:r w:rsidR="008F2572">
        <w:t> </w:t>
      </w:r>
      <w:r w:rsidR="003000A0" w:rsidRPr="00265C60">
        <w:t>% ВВП в 202</w:t>
      </w:r>
      <w:r w:rsidR="00F1748E" w:rsidRPr="00265C60">
        <w:t>8</w:t>
      </w:r>
      <w:r w:rsidR="003000A0" w:rsidRPr="00265C60">
        <w:t xml:space="preserve"> году).</w:t>
      </w:r>
    </w:p>
    <w:p w:rsidR="00FE6BD0" w:rsidRPr="00265C60" w:rsidRDefault="003000A0" w:rsidP="00FE6BD0">
      <w:r w:rsidRPr="00265C60">
        <w:t xml:space="preserve"> </w:t>
      </w:r>
      <w:r w:rsidR="00FE6BD0" w:rsidRPr="00265C60">
        <w:t xml:space="preserve">Ненефтегазовый дефицит федерального бюджета в </w:t>
      </w:r>
      <w:r w:rsidR="0081598B" w:rsidRPr="00265C60">
        <w:t>процентах</w:t>
      </w:r>
      <w:r w:rsidR="0091153A" w:rsidRPr="00265C60">
        <w:t xml:space="preserve"> ВВП</w:t>
      </w:r>
      <w:r w:rsidR="00FE6BD0" w:rsidRPr="00265C60">
        <w:t xml:space="preserve"> уменьшится </w:t>
      </w:r>
      <w:r w:rsidR="00E44324" w:rsidRPr="00265C60">
        <w:br/>
      </w:r>
      <w:r w:rsidR="0091153A" w:rsidRPr="00265C60">
        <w:t xml:space="preserve">с </w:t>
      </w:r>
      <w:r w:rsidR="007259AC" w:rsidRPr="00265C60">
        <w:t>6</w:t>
      </w:r>
      <w:r w:rsidR="00347A6E" w:rsidRPr="00265C60">
        <w:t>,</w:t>
      </w:r>
      <w:r w:rsidR="007259AC" w:rsidRPr="00265C60">
        <w:t>6</w:t>
      </w:r>
      <w:r w:rsidR="0091153A" w:rsidRPr="00265C60">
        <w:t xml:space="preserve"> %</w:t>
      </w:r>
      <w:r w:rsidR="00E44324" w:rsidRPr="00265C60">
        <w:t xml:space="preserve"> </w:t>
      </w:r>
      <w:r w:rsidR="0091153A" w:rsidRPr="00265C60">
        <w:t>в 202</w:t>
      </w:r>
      <w:r w:rsidR="007259AC" w:rsidRPr="00265C60">
        <w:t>5</w:t>
      </w:r>
      <w:r w:rsidR="0091153A" w:rsidRPr="00265C60">
        <w:t xml:space="preserve"> году до </w:t>
      </w:r>
      <w:r w:rsidR="007259AC" w:rsidRPr="00265C60">
        <w:t>4,8</w:t>
      </w:r>
      <w:r w:rsidR="0091153A" w:rsidRPr="00265C60">
        <w:t xml:space="preserve"> % в 202</w:t>
      </w:r>
      <w:r w:rsidR="007259AC" w:rsidRPr="00265C60">
        <w:t>8</w:t>
      </w:r>
      <w:r w:rsidR="0091153A" w:rsidRPr="00265C60">
        <w:t xml:space="preserve"> году</w:t>
      </w:r>
      <w:r w:rsidR="00FE6BD0" w:rsidRPr="00265C60">
        <w:t xml:space="preserve">. </w:t>
      </w:r>
    </w:p>
    <w:p w:rsidR="003000A0" w:rsidRPr="00265C60" w:rsidRDefault="003000A0" w:rsidP="003000A0">
      <w:pPr>
        <w:rPr>
          <w:b/>
        </w:rPr>
      </w:pPr>
      <w:r w:rsidRPr="00265C60">
        <w:rPr>
          <w:b/>
        </w:rPr>
        <w:t>Основным источником финансирования дефицита</w:t>
      </w:r>
      <w:r w:rsidRPr="00265C60">
        <w:t xml:space="preserve"> федерального бюджета </w:t>
      </w:r>
      <w:r w:rsidR="00763CAA" w:rsidRPr="00265C60">
        <w:br/>
      </w:r>
      <w:r w:rsidRPr="00265C60">
        <w:t>в 202</w:t>
      </w:r>
      <w:r w:rsidR="007259AC" w:rsidRPr="00265C60">
        <w:t>6</w:t>
      </w:r>
      <w:r w:rsidR="00763CAA" w:rsidRPr="00265C60">
        <w:t>–</w:t>
      </w:r>
      <w:r w:rsidRPr="00265C60">
        <w:t>202</w:t>
      </w:r>
      <w:r w:rsidR="007259AC" w:rsidRPr="00265C60">
        <w:t>8</w:t>
      </w:r>
      <w:r w:rsidRPr="00265C60">
        <w:t xml:space="preserve"> годах будут выступать </w:t>
      </w:r>
      <w:r w:rsidRPr="00265C60">
        <w:rPr>
          <w:b/>
        </w:rPr>
        <w:t xml:space="preserve">государственные </w:t>
      </w:r>
      <w:r w:rsidR="008928A1" w:rsidRPr="00265C60">
        <w:rPr>
          <w:b/>
        </w:rPr>
        <w:t xml:space="preserve">внутренние </w:t>
      </w:r>
      <w:r w:rsidRPr="00265C60">
        <w:rPr>
          <w:b/>
        </w:rPr>
        <w:t>заимствования Российской Федерации</w:t>
      </w:r>
      <w:r w:rsidR="00445011" w:rsidRPr="00265C60">
        <w:rPr>
          <w:b/>
        </w:rPr>
        <w:t>.</w:t>
      </w:r>
    </w:p>
    <w:p w:rsidR="0091710B" w:rsidRPr="00265C60" w:rsidRDefault="003F0603" w:rsidP="0091710B">
      <w:r w:rsidRPr="00265C60">
        <w:rPr>
          <w:b/>
        </w:rPr>
        <w:t>3.2.</w:t>
      </w:r>
      <w:r w:rsidR="0091710B" w:rsidRPr="00265C60">
        <w:rPr>
          <w:b/>
        </w:rPr>
        <w:t>7</w:t>
      </w:r>
      <w:r w:rsidRPr="00265C60">
        <w:rPr>
          <w:b/>
        </w:rPr>
        <w:t>.</w:t>
      </w:r>
      <w:r w:rsidRPr="00265C60">
        <w:t xml:space="preserve"> </w:t>
      </w:r>
      <w:r w:rsidR="0091710B" w:rsidRPr="00265C60">
        <w:t xml:space="preserve">В соответствии с законопроектом объем </w:t>
      </w:r>
      <w:r w:rsidR="0091710B" w:rsidRPr="00265C60">
        <w:rPr>
          <w:b/>
        </w:rPr>
        <w:t>доходов федерального бюджета</w:t>
      </w:r>
      <w:r w:rsidR="0091710B" w:rsidRPr="00265C60">
        <w:t xml:space="preserve"> </w:t>
      </w:r>
      <w:r w:rsidR="0091710B" w:rsidRPr="00265C60">
        <w:rPr>
          <w:b/>
        </w:rPr>
        <w:t>в</w:t>
      </w:r>
      <w:r w:rsidR="008F2572">
        <w:t> </w:t>
      </w:r>
      <w:r w:rsidR="0091710B" w:rsidRPr="00265C60">
        <w:rPr>
          <w:b/>
        </w:rPr>
        <w:t xml:space="preserve">2026 году </w:t>
      </w:r>
      <w:r w:rsidR="0091710B" w:rsidRPr="00265C60">
        <w:t xml:space="preserve">прогнозируется в сумме </w:t>
      </w:r>
      <w:r w:rsidR="0091710B" w:rsidRPr="00265C60">
        <w:rPr>
          <w:b/>
        </w:rPr>
        <w:t>40</w:t>
      </w:r>
      <w:r w:rsidR="0091710B" w:rsidRPr="00265C60">
        <w:rPr>
          <w:b/>
          <w:lang w:val="en-US"/>
        </w:rPr>
        <w:t> </w:t>
      </w:r>
      <w:r w:rsidR="0091710B" w:rsidRPr="00265C60">
        <w:rPr>
          <w:b/>
        </w:rPr>
        <w:t>283,3 млрд рублей</w:t>
      </w:r>
      <w:r w:rsidR="0091710B" w:rsidRPr="00265C60">
        <w:t xml:space="preserve">, что на </w:t>
      </w:r>
      <w:r w:rsidR="0091710B" w:rsidRPr="00265C60">
        <w:rPr>
          <w:b/>
        </w:rPr>
        <w:t>3 721,0 млрд рублей,</w:t>
      </w:r>
      <w:r w:rsidR="0091710B" w:rsidRPr="00265C60">
        <w:t xml:space="preserve"> или на 10,2 %, больше оценки поступления доходов в 2025 году, </w:t>
      </w:r>
      <w:r w:rsidR="0091710B" w:rsidRPr="00265C60">
        <w:rPr>
          <w:b/>
        </w:rPr>
        <w:t xml:space="preserve">в 2027 году </w:t>
      </w:r>
      <w:r w:rsidR="0091710B" w:rsidRPr="00265C60">
        <w:t>–</w:t>
      </w:r>
      <w:r w:rsidR="0091710B" w:rsidRPr="00265C60">
        <w:rPr>
          <w:b/>
        </w:rPr>
        <w:t xml:space="preserve"> 42</w:t>
      </w:r>
      <w:r w:rsidR="0091710B" w:rsidRPr="00265C60">
        <w:rPr>
          <w:b/>
          <w:lang w:val="en-US"/>
        </w:rPr>
        <w:t> </w:t>
      </w:r>
      <w:r w:rsidR="0091710B" w:rsidRPr="00265C60">
        <w:rPr>
          <w:b/>
        </w:rPr>
        <w:t>910,4 млрд рублей</w:t>
      </w:r>
      <w:r w:rsidR="0091710B" w:rsidRPr="00265C60">
        <w:t xml:space="preserve">, что на 2 627,1 млрд рублей, или на 6,5 %, больше, чем в 2026 году, </w:t>
      </w:r>
      <w:r w:rsidR="0091710B" w:rsidRPr="00265C60">
        <w:rPr>
          <w:b/>
        </w:rPr>
        <w:t xml:space="preserve">в 2028 году </w:t>
      </w:r>
      <w:r w:rsidR="0091710B" w:rsidRPr="00265C60">
        <w:t>–</w:t>
      </w:r>
      <w:r w:rsidR="0091710B" w:rsidRPr="00265C60">
        <w:rPr>
          <w:b/>
        </w:rPr>
        <w:t xml:space="preserve"> 45 869,4 млрд рублей</w:t>
      </w:r>
      <w:r w:rsidR="0091710B" w:rsidRPr="00265C60">
        <w:t>, что на 2 959,0 млрд рублей, или на 6,9 %, больше, чем в 2027 году.</w:t>
      </w:r>
    </w:p>
    <w:p w:rsidR="0091710B" w:rsidRPr="00265C60" w:rsidRDefault="0091710B" w:rsidP="0091710B">
      <w:r w:rsidRPr="00265C60">
        <w:t>Информация о динамике доходов федерального бюджета в 2026–2028 годах представлена в следующей таблице.</w:t>
      </w:r>
    </w:p>
    <w:p w:rsidR="0091710B" w:rsidRPr="00265C60" w:rsidRDefault="0091710B" w:rsidP="0091710B">
      <w:pPr>
        <w:widowControl w:val="0"/>
        <w:autoSpaceDE w:val="0"/>
        <w:autoSpaceDN w:val="0"/>
        <w:adjustRightInd w:val="0"/>
        <w:spacing w:line="240" w:lineRule="auto"/>
        <w:ind w:right="-428" w:firstLine="539"/>
        <w:jc w:val="right"/>
        <w:rPr>
          <w:sz w:val="16"/>
          <w:szCs w:val="16"/>
          <w:lang w:val="en-US"/>
        </w:rPr>
      </w:pPr>
      <w:r w:rsidRPr="00265C60">
        <w:rPr>
          <w:sz w:val="16"/>
          <w:szCs w:val="16"/>
        </w:rPr>
        <w:t xml:space="preserve">                                                                                             (млрд рублей)</w:t>
      </w:r>
    </w:p>
    <w:tbl>
      <w:tblPr>
        <w:tblW w:w="10080" w:type="dxa"/>
        <w:tblInd w:w="93" w:type="dxa"/>
        <w:tblLayout w:type="fixed"/>
        <w:tblLook w:val="04A0" w:firstRow="1" w:lastRow="0" w:firstColumn="1" w:lastColumn="0" w:noHBand="0" w:noVBand="1"/>
      </w:tblPr>
      <w:tblGrid>
        <w:gridCol w:w="1575"/>
        <w:gridCol w:w="850"/>
        <w:gridCol w:w="851"/>
        <w:gridCol w:w="974"/>
        <w:gridCol w:w="779"/>
        <w:gridCol w:w="798"/>
        <w:gridCol w:w="851"/>
        <w:gridCol w:w="708"/>
        <w:gridCol w:w="708"/>
        <w:gridCol w:w="710"/>
        <w:gridCol w:w="709"/>
        <w:gridCol w:w="567"/>
      </w:tblGrid>
      <w:tr w:rsidR="0091710B" w:rsidRPr="00265C60" w:rsidTr="0091710B">
        <w:trPr>
          <w:trHeight w:val="255"/>
          <w:tblHeader/>
        </w:trPr>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Наименование</w:t>
            </w:r>
          </w:p>
        </w:tc>
        <w:tc>
          <w:tcPr>
            <w:tcW w:w="1701" w:type="dxa"/>
            <w:gridSpan w:val="2"/>
            <w:tcBorders>
              <w:top w:val="single" w:sz="4" w:space="0" w:color="auto"/>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2026 год</w:t>
            </w:r>
          </w:p>
        </w:tc>
        <w:tc>
          <w:tcPr>
            <w:tcW w:w="1753" w:type="dxa"/>
            <w:gridSpan w:val="2"/>
            <w:tcBorders>
              <w:top w:val="single" w:sz="4" w:space="0" w:color="auto"/>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2027 год</w:t>
            </w:r>
          </w:p>
        </w:tc>
        <w:tc>
          <w:tcPr>
            <w:tcW w:w="798" w:type="dxa"/>
            <w:vMerge w:val="restart"/>
            <w:tcBorders>
              <w:top w:val="single" w:sz="4" w:space="0" w:color="auto"/>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2028 год</w:t>
            </w:r>
          </w:p>
        </w:tc>
        <w:tc>
          <w:tcPr>
            <w:tcW w:w="4253" w:type="dxa"/>
            <w:gridSpan w:val="6"/>
            <w:tcBorders>
              <w:top w:val="single" w:sz="4" w:space="0" w:color="auto"/>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Отклонение</w:t>
            </w:r>
          </w:p>
        </w:tc>
      </w:tr>
      <w:tr w:rsidR="0091710B" w:rsidRPr="00265C60" w:rsidTr="0091710B">
        <w:trPr>
          <w:trHeight w:val="420"/>
          <w:tblHeader/>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850" w:type="dxa"/>
            <w:vMerge w:val="restart"/>
            <w:tcBorders>
              <w:top w:val="nil"/>
              <w:left w:val="single" w:sz="4" w:space="0" w:color="auto"/>
              <w:bottom w:val="single" w:sz="4" w:space="0" w:color="000000"/>
              <w:right w:val="single" w:sz="4" w:space="0" w:color="auto"/>
            </w:tcBorders>
            <w:vAlign w:val="center"/>
            <w:hideMark/>
          </w:tcPr>
          <w:p w:rsidR="0091710B" w:rsidRPr="00265C60" w:rsidRDefault="0091710B" w:rsidP="0091710B">
            <w:pPr>
              <w:spacing w:line="240" w:lineRule="auto"/>
              <w:ind w:left="-108" w:right="-108" w:firstLine="0"/>
              <w:jc w:val="center"/>
              <w:rPr>
                <w:b/>
                <w:bCs/>
                <w:sz w:val="16"/>
                <w:szCs w:val="16"/>
              </w:rPr>
            </w:pPr>
            <w:r w:rsidRPr="00265C60">
              <w:rPr>
                <w:b/>
                <w:bCs/>
                <w:sz w:val="16"/>
                <w:szCs w:val="16"/>
              </w:rPr>
              <w:t>Федераль-ный закон</w:t>
            </w:r>
            <w:r w:rsidRPr="00265C60">
              <w:rPr>
                <w:b/>
                <w:bCs/>
                <w:sz w:val="16"/>
                <w:szCs w:val="16"/>
              </w:rPr>
              <w:br/>
              <w:t>№ 419-ФЗ</w:t>
            </w:r>
          </w:p>
        </w:tc>
        <w:tc>
          <w:tcPr>
            <w:tcW w:w="851" w:type="dxa"/>
            <w:vMerge w:val="restart"/>
            <w:tcBorders>
              <w:top w:val="nil"/>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 xml:space="preserve">законо-проект </w:t>
            </w:r>
          </w:p>
        </w:tc>
        <w:tc>
          <w:tcPr>
            <w:tcW w:w="974" w:type="dxa"/>
            <w:vMerge w:val="restart"/>
            <w:tcBorders>
              <w:top w:val="nil"/>
              <w:left w:val="single" w:sz="4" w:space="0" w:color="auto"/>
              <w:bottom w:val="single" w:sz="4" w:space="0" w:color="000000"/>
              <w:right w:val="single" w:sz="4" w:space="0" w:color="auto"/>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Федераль-ный закон</w:t>
            </w:r>
            <w:r w:rsidRPr="00265C60">
              <w:rPr>
                <w:b/>
                <w:bCs/>
                <w:sz w:val="16"/>
                <w:szCs w:val="16"/>
              </w:rPr>
              <w:br/>
              <w:t>№ 419-ФЗ</w:t>
            </w:r>
          </w:p>
        </w:tc>
        <w:tc>
          <w:tcPr>
            <w:tcW w:w="779" w:type="dxa"/>
            <w:vMerge w:val="restart"/>
            <w:tcBorders>
              <w:top w:val="nil"/>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 xml:space="preserve">законо-проект </w:t>
            </w: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1559"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2026 года от Федерального закона</w:t>
            </w:r>
            <w:r w:rsidRPr="00265C60">
              <w:rPr>
                <w:b/>
                <w:bCs/>
                <w:sz w:val="16"/>
                <w:szCs w:val="16"/>
              </w:rPr>
              <w:br/>
              <w:t>№ 419-ФЗ</w:t>
            </w:r>
          </w:p>
        </w:tc>
        <w:tc>
          <w:tcPr>
            <w:tcW w:w="1418"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2027 года от Федерального закона</w:t>
            </w:r>
            <w:r w:rsidRPr="00265C60">
              <w:rPr>
                <w:b/>
                <w:bCs/>
                <w:sz w:val="16"/>
                <w:szCs w:val="16"/>
              </w:rPr>
              <w:br/>
              <w:t>№ 419-ФЗ</w:t>
            </w:r>
          </w:p>
        </w:tc>
        <w:tc>
          <w:tcPr>
            <w:tcW w:w="1276"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2028 года от</w:t>
            </w:r>
            <w:r w:rsidRPr="00265C60">
              <w:rPr>
                <w:b/>
                <w:bCs/>
                <w:sz w:val="16"/>
                <w:szCs w:val="16"/>
              </w:rPr>
              <w:br/>
              <w:t>2027 года</w:t>
            </w:r>
          </w:p>
        </w:tc>
      </w:tr>
      <w:tr w:rsidR="0091710B" w:rsidRPr="00265C60" w:rsidTr="0091710B">
        <w:trPr>
          <w:trHeight w:val="255"/>
          <w:tblHeader/>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974" w:type="dxa"/>
            <w:vMerge/>
            <w:tcBorders>
              <w:top w:val="nil"/>
              <w:left w:val="single" w:sz="4" w:space="0" w:color="auto"/>
              <w:bottom w:val="single" w:sz="4" w:space="0" w:color="000000"/>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779" w:type="dxa"/>
            <w:vMerge/>
            <w:tcBorders>
              <w:top w:val="nil"/>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1559" w:type="dxa"/>
            <w:gridSpan w:val="2"/>
            <w:vMerge/>
            <w:tcBorders>
              <w:top w:val="single" w:sz="4" w:space="0" w:color="auto"/>
              <w:left w:val="single" w:sz="4" w:space="0" w:color="auto"/>
              <w:bottom w:val="single" w:sz="4" w:space="0" w:color="000000"/>
              <w:right w:val="single" w:sz="4" w:space="0" w:color="000000"/>
            </w:tcBorders>
            <w:vAlign w:val="center"/>
            <w:hideMark/>
          </w:tcPr>
          <w:p w:rsidR="0091710B" w:rsidRPr="00265C60" w:rsidRDefault="0091710B" w:rsidP="0091710B">
            <w:pPr>
              <w:spacing w:line="240" w:lineRule="auto"/>
              <w:ind w:firstLine="0"/>
              <w:jc w:val="left"/>
              <w:rPr>
                <w:b/>
                <w:bCs/>
                <w:sz w:val="16"/>
                <w:szCs w:val="16"/>
              </w:rPr>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rsidR="0091710B" w:rsidRPr="00265C60" w:rsidRDefault="0091710B" w:rsidP="0091710B">
            <w:pPr>
              <w:spacing w:line="240" w:lineRule="auto"/>
              <w:ind w:firstLine="0"/>
              <w:jc w:val="left"/>
              <w:rPr>
                <w:b/>
                <w:bCs/>
                <w:sz w:val="16"/>
                <w:szCs w:val="16"/>
              </w:rPr>
            </w:pPr>
          </w:p>
        </w:tc>
        <w:tc>
          <w:tcPr>
            <w:tcW w:w="1276" w:type="dxa"/>
            <w:gridSpan w:val="2"/>
            <w:vMerge/>
            <w:tcBorders>
              <w:top w:val="single" w:sz="4" w:space="0" w:color="auto"/>
              <w:left w:val="single" w:sz="4" w:space="0" w:color="auto"/>
              <w:bottom w:val="single" w:sz="4" w:space="0" w:color="000000"/>
              <w:right w:val="single" w:sz="4" w:space="0" w:color="000000"/>
            </w:tcBorders>
            <w:vAlign w:val="center"/>
            <w:hideMark/>
          </w:tcPr>
          <w:p w:rsidR="0091710B" w:rsidRPr="00265C60" w:rsidRDefault="0091710B" w:rsidP="0091710B">
            <w:pPr>
              <w:spacing w:line="240" w:lineRule="auto"/>
              <w:ind w:firstLine="0"/>
              <w:jc w:val="left"/>
              <w:rPr>
                <w:b/>
                <w:bCs/>
                <w:sz w:val="16"/>
                <w:szCs w:val="16"/>
              </w:rPr>
            </w:pPr>
          </w:p>
        </w:tc>
      </w:tr>
      <w:tr w:rsidR="0091710B" w:rsidRPr="00265C60" w:rsidTr="0091710B">
        <w:trPr>
          <w:trHeight w:val="184"/>
          <w:tblHeader/>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974" w:type="dxa"/>
            <w:vMerge/>
            <w:tcBorders>
              <w:top w:val="nil"/>
              <w:left w:val="single" w:sz="4" w:space="0" w:color="auto"/>
              <w:bottom w:val="single" w:sz="4" w:space="0" w:color="000000"/>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779" w:type="dxa"/>
            <w:vMerge/>
            <w:tcBorders>
              <w:top w:val="nil"/>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1559" w:type="dxa"/>
            <w:gridSpan w:val="2"/>
            <w:vMerge/>
            <w:tcBorders>
              <w:top w:val="single" w:sz="4" w:space="0" w:color="auto"/>
              <w:left w:val="single" w:sz="4" w:space="0" w:color="auto"/>
              <w:bottom w:val="single" w:sz="4" w:space="0" w:color="000000"/>
              <w:right w:val="single" w:sz="4" w:space="0" w:color="000000"/>
            </w:tcBorders>
            <w:vAlign w:val="center"/>
            <w:hideMark/>
          </w:tcPr>
          <w:p w:rsidR="0091710B" w:rsidRPr="00265C60" w:rsidRDefault="0091710B" w:rsidP="0091710B">
            <w:pPr>
              <w:spacing w:line="240" w:lineRule="auto"/>
              <w:ind w:firstLine="0"/>
              <w:jc w:val="left"/>
              <w:rPr>
                <w:b/>
                <w:bCs/>
                <w:sz w:val="16"/>
                <w:szCs w:val="16"/>
              </w:rPr>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rsidR="0091710B" w:rsidRPr="00265C60" w:rsidRDefault="0091710B" w:rsidP="0091710B">
            <w:pPr>
              <w:spacing w:line="240" w:lineRule="auto"/>
              <w:ind w:firstLine="0"/>
              <w:jc w:val="left"/>
              <w:rPr>
                <w:b/>
                <w:bCs/>
                <w:sz w:val="16"/>
                <w:szCs w:val="16"/>
              </w:rPr>
            </w:pPr>
          </w:p>
        </w:tc>
        <w:tc>
          <w:tcPr>
            <w:tcW w:w="1276" w:type="dxa"/>
            <w:gridSpan w:val="2"/>
            <w:vMerge/>
            <w:tcBorders>
              <w:top w:val="single" w:sz="4" w:space="0" w:color="auto"/>
              <w:left w:val="single" w:sz="4" w:space="0" w:color="auto"/>
              <w:bottom w:val="single" w:sz="4" w:space="0" w:color="000000"/>
              <w:right w:val="single" w:sz="4" w:space="0" w:color="000000"/>
            </w:tcBorders>
            <w:vAlign w:val="center"/>
            <w:hideMark/>
          </w:tcPr>
          <w:p w:rsidR="0091710B" w:rsidRPr="00265C60" w:rsidRDefault="0091710B" w:rsidP="0091710B">
            <w:pPr>
              <w:spacing w:line="240" w:lineRule="auto"/>
              <w:ind w:firstLine="0"/>
              <w:jc w:val="left"/>
              <w:rPr>
                <w:b/>
                <w:bCs/>
                <w:sz w:val="16"/>
                <w:szCs w:val="16"/>
              </w:rPr>
            </w:pPr>
          </w:p>
        </w:tc>
      </w:tr>
      <w:tr w:rsidR="0091710B" w:rsidRPr="00265C60" w:rsidTr="0091710B">
        <w:trPr>
          <w:trHeight w:val="50"/>
          <w:tblHeader/>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974" w:type="dxa"/>
            <w:vMerge/>
            <w:tcBorders>
              <w:top w:val="nil"/>
              <w:left w:val="single" w:sz="4" w:space="0" w:color="auto"/>
              <w:bottom w:val="single" w:sz="4" w:space="0" w:color="000000"/>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779" w:type="dxa"/>
            <w:vMerge/>
            <w:tcBorders>
              <w:top w:val="nil"/>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left"/>
              <w:rPr>
                <w:b/>
                <w:bCs/>
                <w:sz w:val="16"/>
                <w:szCs w:val="16"/>
              </w:rPr>
            </w:pPr>
          </w:p>
        </w:tc>
        <w:tc>
          <w:tcPr>
            <w:tcW w:w="851"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w:t>
            </w:r>
          </w:p>
        </w:tc>
        <w:tc>
          <w:tcPr>
            <w:tcW w:w="708"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w:t>
            </w:r>
          </w:p>
        </w:tc>
        <w:tc>
          <w:tcPr>
            <w:tcW w:w="708"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w:t>
            </w:r>
          </w:p>
        </w:tc>
        <w:tc>
          <w:tcPr>
            <w:tcW w:w="710"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w:t>
            </w:r>
          </w:p>
        </w:tc>
        <w:tc>
          <w:tcPr>
            <w:tcW w:w="709"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w:t>
            </w:r>
          </w:p>
        </w:tc>
        <w:tc>
          <w:tcPr>
            <w:tcW w:w="567"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w:t>
            </w:r>
          </w:p>
        </w:tc>
      </w:tr>
      <w:tr w:rsidR="0091710B" w:rsidRPr="00265C60" w:rsidTr="0091710B">
        <w:trPr>
          <w:trHeight w:val="50"/>
          <w:tblHeader/>
        </w:trPr>
        <w:tc>
          <w:tcPr>
            <w:tcW w:w="1575" w:type="dxa"/>
            <w:tcBorders>
              <w:top w:val="nil"/>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jc w:val="center"/>
              <w:rPr>
                <w:sz w:val="16"/>
                <w:szCs w:val="16"/>
              </w:rPr>
            </w:pPr>
            <w:r w:rsidRPr="00265C60">
              <w:rPr>
                <w:sz w:val="16"/>
                <w:szCs w:val="16"/>
              </w:rPr>
              <w:t>1</w:t>
            </w:r>
          </w:p>
        </w:tc>
        <w:tc>
          <w:tcPr>
            <w:tcW w:w="850"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sz w:val="16"/>
                <w:szCs w:val="16"/>
              </w:rPr>
            </w:pPr>
            <w:r w:rsidRPr="00265C60">
              <w:rPr>
                <w:sz w:val="16"/>
                <w:szCs w:val="16"/>
              </w:rPr>
              <w:t>2</w:t>
            </w:r>
          </w:p>
        </w:tc>
        <w:tc>
          <w:tcPr>
            <w:tcW w:w="851"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sz w:val="16"/>
                <w:szCs w:val="16"/>
              </w:rPr>
            </w:pPr>
            <w:r w:rsidRPr="00265C60">
              <w:rPr>
                <w:sz w:val="16"/>
                <w:szCs w:val="16"/>
              </w:rPr>
              <w:t>3</w:t>
            </w:r>
          </w:p>
        </w:tc>
        <w:tc>
          <w:tcPr>
            <w:tcW w:w="974"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sz w:val="16"/>
                <w:szCs w:val="16"/>
              </w:rPr>
            </w:pPr>
            <w:r w:rsidRPr="00265C60">
              <w:rPr>
                <w:sz w:val="16"/>
                <w:szCs w:val="16"/>
              </w:rPr>
              <w:t>4</w:t>
            </w:r>
          </w:p>
        </w:tc>
        <w:tc>
          <w:tcPr>
            <w:tcW w:w="779"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sz w:val="16"/>
                <w:szCs w:val="16"/>
              </w:rPr>
            </w:pPr>
            <w:r w:rsidRPr="00265C60">
              <w:rPr>
                <w:sz w:val="16"/>
                <w:szCs w:val="16"/>
              </w:rPr>
              <w:t>5</w:t>
            </w:r>
          </w:p>
        </w:tc>
        <w:tc>
          <w:tcPr>
            <w:tcW w:w="798"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sz w:val="16"/>
                <w:szCs w:val="16"/>
              </w:rPr>
            </w:pPr>
            <w:r w:rsidRPr="00265C60">
              <w:rPr>
                <w:sz w:val="16"/>
                <w:szCs w:val="16"/>
              </w:rPr>
              <w:t>6</w:t>
            </w:r>
          </w:p>
        </w:tc>
        <w:tc>
          <w:tcPr>
            <w:tcW w:w="851"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sz w:val="16"/>
                <w:szCs w:val="16"/>
              </w:rPr>
            </w:pPr>
            <w:r w:rsidRPr="00265C60">
              <w:rPr>
                <w:sz w:val="16"/>
                <w:szCs w:val="16"/>
              </w:rPr>
              <w:t>7</w:t>
            </w:r>
          </w:p>
        </w:tc>
        <w:tc>
          <w:tcPr>
            <w:tcW w:w="708"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sz w:val="16"/>
                <w:szCs w:val="16"/>
              </w:rPr>
            </w:pPr>
            <w:r w:rsidRPr="00265C60">
              <w:rPr>
                <w:sz w:val="16"/>
                <w:szCs w:val="16"/>
              </w:rPr>
              <w:t>8</w:t>
            </w:r>
          </w:p>
        </w:tc>
        <w:tc>
          <w:tcPr>
            <w:tcW w:w="708"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sz w:val="16"/>
                <w:szCs w:val="16"/>
              </w:rPr>
            </w:pPr>
            <w:r w:rsidRPr="00265C60">
              <w:rPr>
                <w:sz w:val="16"/>
                <w:szCs w:val="16"/>
              </w:rPr>
              <w:t>9</w:t>
            </w:r>
          </w:p>
        </w:tc>
        <w:tc>
          <w:tcPr>
            <w:tcW w:w="710"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sz w:val="16"/>
                <w:szCs w:val="16"/>
              </w:rPr>
            </w:pPr>
            <w:r w:rsidRPr="00265C60">
              <w:rPr>
                <w:sz w:val="16"/>
                <w:szCs w:val="16"/>
              </w:rPr>
              <w:t>10</w:t>
            </w:r>
          </w:p>
        </w:tc>
        <w:tc>
          <w:tcPr>
            <w:tcW w:w="709"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sz w:val="16"/>
                <w:szCs w:val="16"/>
              </w:rPr>
            </w:pPr>
            <w:r w:rsidRPr="00265C60">
              <w:rPr>
                <w:sz w:val="16"/>
                <w:szCs w:val="16"/>
              </w:rPr>
              <w:t>11</w:t>
            </w:r>
          </w:p>
        </w:tc>
        <w:tc>
          <w:tcPr>
            <w:tcW w:w="567" w:type="dxa"/>
            <w:tcBorders>
              <w:top w:val="nil"/>
              <w:left w:val="nil"/>
              <w:bottom w:val="single" w:sz="4" w:space="0" w:color="auto"/>
              <w:right w:val="single" w:sz="4" w:space="0" w:color="auto"/>
            </w:tcBorders>
            <w:vAlign w:val="center"/>
            <w:hideMark/>
          </w:tcPr>
          <w:p w:rsidR="0091710B" w:rsidRPr="00265C60" w:rsidRDefault="0091710B" w:rsidP="0091710B">
            <w:pPr>
              <w:spacing w:line="240" w:lineRule="auto"/>
              <w:ind w:firstLine="0"/>
              <w:jc w:val="center"/>
              <w:rPr>
                <w:sz w:val="16"/>
                <w:szCs w:val="16"/>
              </w:rPr>
            </w:pPr>
            <w:r w:rsidRPr="00265C60">
              <w:rPr>
                <w:sz w:val="16"/>
                <w:szCs w:val="16"/>
              </w:rPr>
              <w:t>12</w:t>
            </w:r>
          </w:p>
        </w:tc>
      </w:tr>
      <w:tr w:rsidR="0091710B" w:rsidRPr="00265C60" w:rsidTr="0091710B">
        <w:trPr>
          <w:trHeight w:val="50"/>
        </w:trPr>
        <w:tc>
          <w:tcPr>
            <w:tcW w:w="1575" w:type="dxa"/>
            <w:tcBorders>
              <w:top w:val="nil"/>
              <w:left w:val="single" w:sz="4" w:space="0" w:color="auto"/>
              <w:bottom w:val="single" w:sz="4" w:space="0" w:color="auto"/>
              <w:right w:val="single" w:sz="4" w:space="0" w:color="auto"/>
            </w:tcBorders>
            <w:shd w:val="clear" w:color="auto" w:fill="FFFFFF"/>
            <w:vAlign w:val="center"/>
            <w:hideMark/>
          </w:tcPr>
          <w:p w:rsidR="0091710B" w:rsidRPr="00265C60" w:rsidRDefault="0091710B" w:rsidP="00BD42C1">
            <w:pPr>
              <w:spacing w:line="240" w:lineRule="auto"/>
              <w:ind w:firstLineChars="100" w:firstLine="160"/>
              <w:jc w:val="left"/>
              <w:rPr>
                <w:b/>
                <w:bCs/>
                <w:sz w:val="16"/>
                <w:szCs w:val="16"/>
              </w:rPr>
            </w:pPr>
            <w:r w:rsidRPr="00265C60">
              <w:rPr>
                <w:b/>
                <w:bCs/>
                <w:sz w:val="16"/>
                <w:szCs w:val="16"/>
              </w:rPr>
              <w:t>Доходы, всего</w:t>
            </w:r>
          </w:p>
        </w:tc>
        <w:tc>
          <w:tcPr>
            <w:tcW w:w="850"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bCs/>
                <w:sz w:val="16"/>
                <w:szCs w:val="16"/>
              </w:rPr>
            </w:pPr>
            <w:r w:rsidRPr="00265C60">
              <w:rPr>
                <w:bCs/>
                <w:sz w:val="16"/>
                <w:szCs w:val="16"/>
              </w:rPr>
              <w:t>41 840,9</w:t>
            </w:r>
          </w:p>
        </w:tc>
        <w:tc>
          <w:tcPr>
            <w:tcW w:w="851"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b/>
                <w:bCs/>
                <w:sz w:val="16"/>
                <w:szCs w:val="16"/>
              </w:rPr>
            </w:pPr>
            <w:r w:rsidRPr="00265C60">
              <w:rPr>
                <w:b/>
                <w:bCs/>
                <w:sz w:val="16"/>
                <w:szCs w:val="16"/>
              </w:rPr>
              <w:t>40 283,3</w:t>
            </w:r>
          </w:p>
        </w:tc>
        <w:tc>
          <w:tcPr>
            <w:tcW w:w="974"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bCs/>
                <w:sz w:val="16"/>
                <w:szCs w:val="16"/>
              </w:rPr>
            </w:pPr>
            <w:r w:rsidRPr="00265C60">
              <w:rPr>
                <w:bCs/>
                <w:sz w:val="16"/>
                <w:szCs w:val="16"/>
              </w:rPr>
              <w:t>43 154,2</w:t>
            </w:r>
          </w:p>
        </w:tc>
        <w:tc>
          <w:tcPr>
            <w:tcW w:w="779"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b/>
                <w:bCs/>
                <w:sz w:val="16"/>
                <w:szCs w:val="16"/>
              </w:rPr>
            </w:pPr>
            <w:r w:rsidRPr="00265C60">
              <w:rPr>
                <w:b/>
                <w:bCs/>
                <w:sz w:val="16"/>
                <w:szCs w:val="16"/>
              </w:rPr>
              <w:t>42 910,4</w:t>
            </w:r>
          </w:p>
        </w:tc>
        <w:tc>
          <w:tcPr>
            <w:tcW w:w="798"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b/>
                <w:bCs/>
                <w:sz w:val="16"/>
                <w:szCs w:val="16"/>
              </w:rPr>
            </w:pPr>
            <w:r w:rsidRPr="00265C60">
              <w:rPr>
                <w:b/>
                <w:bCs/>
                <w:sz w:val="16"/>
                <w:szCs w:val="16"/>
              </w:rPr>
              <w:t>45 869,4</w:t>
            </w:r>
          </w:p>
        </w:tc>
        <w:tc>
          <w:tcPr>
            <w:tcW w:w="851"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bCs/>
                <w:sz w:val="16"/>
                <w:szCs w:val="16"/>
              </w:rPr>
            </w:pPr>
            <w:r w:rsidRPr="00265C60">
              <w:rPr>
                <w:bCs/>
                <w:sz w:val="16"/>
                <w:szCs w:val="16"/>
              </w:rPr>
              <w:t>-1 557,6</w:t>
            </w:r>
          </w:p>
        </w:tc>
        <w:tc>
          <w:tcPr>
            <w:tcW w:w="708"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bCs/>
                <w:sz w:val="16"/>
                <w:szCs w:val="16"/>
              </w:rPr>
            </w:pPr>
            <w:r w:rsidRPr="00265C60">
              <w:rPr>
                <w:bCs/>
                <w:sz w:val="16"/>
                <w:szCs w:val="16"/>
              </w:rPr>
              <w:t>96,3</w:t>
            </w:r>
          </w:p>
        </w:tc>
        <w:tc>
          <w:tcPr>
            <w:tcW w:w="708"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bCs/>
                <w:sz w:val="16"/>
                <w:szCs w:val="16"/>
              </w:rPr>
            </w:pPr>
            <w:r w:rsidRPr="00265C60">
              <w:rPr>
                <w:bCs/>
                <w:sz w:val="16"/>
                <w:szCs w:val="16"/>
              </w:rPr>
              <w:t>-243,8</w:t>
            </w:r>
          </w:p>
        </w:tc>
        <w:tc>
          <w:tcPr>
            <w:tcW w:w="710"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bCs/>
                <w:sz w:val="16"/>
                <w:szCs w:val="16"/>
              </w:rPr>
            </w:pPr>
            <w:r w:rsidRPr="00265C60">
              <w:rPr>
                <w:bCs/>
                <w:sz w:val="16"/>
                <w:szCs w:val="16"/>
              </w:rPr>
              <w:t>99,4</w:t>
            </w:r>
          </w:p>
        </w:tc>
        <w:tc>
          <w:tcPr>
            <w:tcW w:w="709"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bCs/>
                <w:sz w:val="16"/>
                <w:szCs w:val="16"/>
              </w:rPr>
            </w:pPr>
            <w:r w:rsidRPr="00265C60">
              <w:rPr>
                <w:bCs/>
                <w:sz w:val="16"/>
                <w:szCs w:val="16"/>
              </w:rPr>
              <w:t>2 959,0</w:t>
            </w:r>
          </w:p>
        </w:tc>
        <w:tc>
          <w:tcPr>
            <w:tcW w:w="567"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left="-108" w:firstLine="0"/>
              <w:jc w:val="center"/>
              <w:rPr>
                <w:bCs/>
                <w:sz w:val="16"/>
                <w:szCs w:val="16"/>
              </w:rPr>
            </w:pPr>
            <w:r w:rsidRPr="00265C60">
              <w:rPr>
                <w:bCs/>
                <w:sz w:val="16"/>
                <w:szCs w:val="16"/>
              </w:rPr>
              <w:t>106,9</w:t>
            </w:r>
          </w:p>
        </w:tc>
      </w:tr>
      <w:tr w:rsidR="0091710B" w:rsidRPr="00265C60" w:rsidTr="0091710B">
        <w:trPr>
          <w:trHeight w:val="50"/>
        </w:trPr>
        <w:tc>
          <w:tcPr>
            <w:tcW w:w="1575" w:type="dxa"/>
            <w:tcBorders>
              <w:top w:val="nil"/>
              <w:left w:val="single" w:sz="4" w:space="0" w:color="auto"/>
              <w:bottom w:val="single" w:sz="4" w:space="0" w:color="auto"/>
              <w:right w:val="single" w:sz="4" w:space="0" w:color="auto"/>
            </w:tcBorders>
            <w:vAlign w:val="center"/>
            <w:hideMark/>
          </w:tcPr>
          <w:p w:rsidR="0091710B" w:rsidRPr="00265C60" w:rsidRDefault="0091710B" w:rsidP="0091710B">
            <w:pPr>
              <w:spacing w:line="240" w:lineRule="auto"/>
              <w:ind w:firstLine="0"/>
              <w:rPr>
                <w:sz w:val="16"/>
                <w:szCs w:val="16"/>
              </w:rPr>
            </w:pPr>
            <w:r w:rsidRPr="00265C60">
              <w:rPr>
                <w:sz w:val="16"/>
                <w:szCs w:val="16"/>
              </w:rPr>
              <w:t>в том числе:</w:t>
            </w:r>
          </w:p>
        </w:tc>
        <w:tc>
          <w:tcPr>
            <w:tcW w:w="850"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bCs/>
                <w:sz w:val="16"/>
                <w:szCs w:val="16"/>
              </w:rPr>
            </w:pPr>
            <w:r w:rsidRPr="00265C60">
              <w:rPr>
                <w:bCs/>
                <w:sz w:val="16"/>
                <w:szCs w:val="16"/>
              </w:rPr>
              <w:t> </w:t>
            </w:r>
          </w:p>
        </w:tc>
        <w:tc>
          <w:tcPr>
            <w:tcW w:w="851" w:type="dxa"/>
            <w:tcBorders>
              <w:top w:val="nil"/>
              <w:left w:val="nil"/>
              <w:bottom w:val="single" w:sz="4" w:space="0" w:color="auto"/>
              <w:right w:val="single" w:sz="4" w:space="0" w:color="auto"/>
            </w:tcBorders>
            <w:shd w:val="clear" w:color="auto" w:fill="FFFFFF"/>
            <w:vAlign w:val="center"/>
          </w:tcPr>
          <w:p w:rsidR="0091710B" w:rsidRPr="00265C60" w:rsidRDefault="0091710B" w:rsidP="0091710B">
            <w:pPr>
              <w:spacing w:line="240" w:lineRule="auto"/>
              <w:ind w:firstLine="0"/>
              <w:jc w:val="center"/>
              <w:rPr>
                <w:b/>
                <w:sz w:val="16"/>
                <w:szCs w:val="16"/>
              </w:rPr>
            </w:pPr>
          </w:p>
        </w:tc>
        <w:tc>
          <w:tcPr>
            <w:tcW w:w="974" w:type="dxa"/>
            <w:tcBorders>
              <w:top w:val="nil"/>
              <w:left w:val="nil"/>
              <w:bottom w:val="single" w:sz="4" w:space="0" w:color="auto"/>
              <w:right w:val="single" w:sz="4" w:space="0" w:color="auto"/>
            </w:tcBorders>
            <w:shd w:val="clear" w:color="auto" w:fill="FFFFFF"/>
            <w:vAlign w:val="center"/>
          </w:tcPr>
          <w:p w:rsidR="0091710B" w:rsidRPr="00265C60" w:rsidRDefault="0091710B" w:rsidP="0091710B">
            <w:pPr>
              <w:spacing w:line="240" w:lineRule="auto"/>
              <w:ind w:firstLine="0"/>
              <w:jc w:val="center"/>
              <w:rPr>
                <w:sz w:val="16"/>
                <w:szCs w:val="16"/>
              </w:rPr>
            </w:pPr>
            <w:r w:rsidRPr="00265C60">
              <w:rPr>
                <w:sz w:val="16"/>
                <w:szCs w:val="16"/>
              </w:rPr>
              <w:t> </w:t>
            </w:r>
          </w:p>
        </w:tc>
        <w:tc>
          <w:tcPr>
            <w:tcW w:w="779" w:type="dxa"/>
            <w:tcBorders>
              <w:top w:val="nil"/>
              <w:left w:val="nil"/>
              <w:bottom w:val="single" w:sz="4" w:space="0" w:color="auto"/>
              <w:right w:val="single" w:sz="4" w:space="0" w:color="auto"/>
            </w:tcBorders>
            <w:shd w:val="clear" w:color="auto" w:fill="FFFFFF"/>
            <w:vAlign w:val="center"/>
          </w:tcPr>
          <w:p w:rsidR="0091710B" w:rsidRPr="00265C60" w:rsidRDefault="0091710B" w:rsidP="0091710B">
            <w:pPr>
              <w:spacing w:line="240" w:lineRule="auto"/>
              <w:ind w:firstLine="0"/>
              <w:jc w:val="center"/>
              <w:rPr>
                <w:b/>
                <w:bCs/>
                <w:sz w:val="16"/>
                <w:szCs w:val="16"/>
              </w:rPr>
            </w:pPr>
          </w:p>
        </w:tc>
        <w:tc>
          <w:tcPr>
            <w:tcW w:w="798" w:type="dxa"/>
            <w:tcBorders>
              <w:top w:val="nil"/>
              <w:left w:val="nil"/>
              <w:bottom w:val="single" w:sz="4" w:space="0" w:color="auto"/>
              <w:right w:val="single" w:sz="4" w:space="0" w:color="auto"/>
            </w:tcBorders>
            <w:shd w:val="clear" w:color="auto" w:fill="FFFFFF"/>
            <w:vAlign w:val="center"/>
          </w:tcPr>
          <w:p w:rsidR="0091710B" w:rsidRPr="00265C60" w:rsidRDefault="0091710B" w:rsidP="0091710B">
            <w:pPr>
              <w:spacing w:line="240" w:lineRule="auto"/>
              <w:ind w:firstLine="0"/>
              <w:jc w:val="center"/>
              <w:rPr>
                <w:b/>
                <w:sz w:val="16"/>
                <w:szCs w:val="16"/>
              </w:rPr>
            </w:pPr>
          </w:p>
        </w:tc>
        <w:tc>
          <w:tcPr>
            <w:tcW w:w="851"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b/>
                <w:bCs/>
                <w:sz w:val="16"/>
                <w:szCs w:val="16"/>
              </w:rPr>
            </w:pPr>
          </w:p>
        </w:tc>
        <w:tc>
          <w:tcPr>
            <w:tcW w:w="708"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sz w:val="16"/>
                <w:szCs w:val="16"/>
              </w:rPr>
            </w:pPr>
          </w:p>
        </w:tc>
        <w:tc>
          <w:tcPr>
            <w:tcW w:w="708"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b/>
                <w:bCs/>
                <w:sz w:val="16"/>
                <w:szCs w:val="16"/>
              </w:rPr>
            </w:pPr>
          </w:p>
        </w:tc>
        <w:tc>
          <w:tcPr>
            <w:tcW w:w="710"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sz w:val="16"/>
                <w:szCs w:val="16"/>
              </w:rPr>
            </w:pPr>
          </w:p>
        </w:tc>
        <w:tc>
          <w:tcPr>
            <w:tcW w:w="709"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b/>
                <w:bCs/>
                <w:sz w:val="16"/>
                <w:szCs w:val="16"/>
              </w:rPr>
            </w:pPr>
          </w:p>
        </w:tc>
        <w:tc>
          <w:tcPr>
            <w:tcW w:w="567"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left="-108" w:firstLine="0"/>
              <w:jc w:val="center"/>
              <w:rPr>
                <w:sz w:val="16"/>
                <w:szCs w:val="16"/>
              </w:rPr>
            </w:pPr>
          </w:p>
        </w:tc>
      </w:tr>
      <w:tr w:rsidR="0091710B" w:rsidRPr="00265C60" w:rsidTr="0091710B">
        <w:trPr>
          <w:trHeight w:val="50"/>
        </w:trPr>
        <w:tc>
          <w:tcPr>
            <w:tcW w:w="1575" w:type="dxa"/>
            <w:tcBorders>
              <w:top w:val="nil"/>
              <w:left w:val="single" w:sz="4" w:space="0" w:color="auto"/>
              <w:bottom w:val="single" w:sz="4" w:space="0" w:color="auto"/>
              <w:right w:val="single" w:sz="4" w:space="0" w:color="auto"/>
            </w:tcBorders>
            <w:shd w:val="clear" w:color="auto" w:fill="FFFFFF"/>
            <w:vAlign w:val="center"/>
            <w:hideMark/>
          </w:tcPr>
          <w:p w:rsidR="0091710B" w:rsidRPr="00265C60" w:rsidRDefault="0091710B" w:rsidP="00BD42C1">
            <w:pPr>
              <w:spacing w:line="240" w:lineRule="auto"/>
              <w:ind w:firstLineChars="100" w:firstLine="160"/>
              <w:jc w:val="left"/>
              <w:rPr>
                <w:b/>
                <w:bCs/>
                <w:sz w:val="16"/>
                <w:szCs w:val="16"/>
              </w:rPr>
            </w:pPr>
            <w:r w:rsidRPr="00265C60">
              <w:rPr>
                <w:b/>
                <w:bCs/>
                <w:sz w:val="16"/>
                <w:szCs w:val="16"/>
              </w:rPr>
              <w:t>Нефтегазовые доходы</w:t>
            </w:r>
          </w:p>
        </w:tc>
        <w:tc>
          <w:tcPr>
            <w:tcW w:w="850"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sz w:val="16"/>
                <w:szCs w:val="16"/>
              </w:rPr>
            </w:pPr>
            <w:r w:rsidRPr="00265C60">
              <w:rPr>
                <w:sz w:val="16"/>
                <w:szCs w:val="16"/>
              </w:rPr>
              <w:t>10 564,3</w:t>
            </w:r>
          </w:p>
        </w:tc>
        <w:tc>
          <w:tcPr>
            <w:tcW w:w="851" w:type="dxa"/>
            <w:tcBorders>
              <w:top w:val="nil"/>
              <w:left w:val="nil"/>
              <w:bottom w:val="single" w:sz="4" w:space="0" w:color="auto"/>
              <w:right w:val="single" w:sz="4" w:space="0" w:color="auto"/>
            </w:tcBorders>
            <w:shd w:val="clear" w:color="auto" w:fill="FFFFFF"/>
            <w:vAlign w:val="center"/>
          </w:tcPr>
          <w:p w:rsidR="0091710B" w:rsidRPr="00265C60" w:rsidRDefault="0091710B" w:rsidP="0091710B">
            <w:pPr>
              <w:spacing w:line="240" w:lineRule="auto"/>
              <w:ind w:firstLine="0"/>
              <w:jc w:val="center"/>
              <w:rPr>
                <w:b/>
                <w:sz w:val="16"/>
                <w:szCs w:val="16"/>
              </w:rPr>
            </w:pPr>
            <w:r w:rsidRPr="00265C60">
              <w:rPr>
                <w:b/>
                <w:sz w:val="16"/>
                <w:szCs w:val="16"/>
              </w:rPr>
              <w:t>8 918,5</w:t>
            </w:r>
          </w:p>
        </w:tc>
        <w:tc>
          <w:tcPr>
            <w:tcW w:w="974" w:type="dxa"/>
            <w:tcBorders>
              <w:top w:val="nil"/>
              <w:left w:val="nil"/>
              <w:bottom w:val="single" w:sz="4" w:space="0" w:color="auto"/>
              <w:right w:val="single" w:sz="4" w:space="0" w:color="auto"/>
            </w:tcBorders>
            <w:shd w:val="clear" w:color="auto" w:fill="FFFFFF"/>
            <w:vAlign w:val="center"/>
          </w:tcPr>
          <w:p w:rsidR="0091710B" w:rsidRPr="00265C60" w:rsidRDefault="0091710B" w:rsidP="0091710B">
            <w:pPr>
              <w:spacing w:line="240" w:lineRule="auto"/>
              <w:ind w:firstLine="0"/>
              <w:jc w:val="center"/>
              <w:rPr>
                <w:sz w:val="16"/>
                <w:szCs w:val="16"/>
              </w:rPr>
            </w:pPr>
            <w:r w:rsidRPr="00265C60">
              <w:rPr>
                <w:sz w:val="16"/>
                <w:szCs w:val="16"/>
              </w:rPr>
              <w:t>9 766,1</w:t>
            </w:r>
          </w:p>
        </w:tc>
        <w:tc>
          <w:tcPr>
            <w:tcW w:w="779" w:type="dxa"/>
            <w:tcBorders>
              <w:top w:val="nil"/>
              <w:left w:val="nil"/>
              <w:bottom w:val="single" w:sz="4" w:space="0" w:color="auto"/>
              <w:right w:val="single" w:sz="4" w:space="0" w:color="auto"/>
            </w:tcBorders>
            <w:shd w:val="clear" w:color="auto" w:fill="FFFFFF"/>
            <w:vAlign w:val="center"/>
          </w:tcPr>
          <w:p w:rsidR="0091710B" w:rsidRPr="00265C60" w:rsidRDefault="0091710B" w:rsidP="0091710B">
            <w:pPr>
              <w:spacing w:line="240" w:lineRule="auto"/>
              <w:ind w:firstLine="0"/>
              <w:jc w:val="center"/>
              <w:rPr>
                <w:b/>
                <w:sz w:val="16"/>
                <w:szCs w:val="16"/>
              </w:rPr>
            </w:pPr>
            <w:r w:rsidRPr="00265C60">
              <w:rPr>
                <w:b/>
                <w:sz w:val="16"/>
                <w:szCs w:val="16"/>
              </w:rPr>
              <w:t>9 050,5</w:t>
            </w:r>
          </w:p>
        </w:tc>
        <w:tc>
          <w:tcPr>
            <w:tcW w:w="798" w:type="dxa"/>
            <w:tcBorders>
              <w:top w:val="nil"/>
              <w:left w:val="nil"/>
              <w:bottom w:val="single" w:sz="4" w:space="0" w:color="auto"/>
              <w:right w:val="single" w:sz="4" w:space="0" w:color="auto"/>
            </w:tcBorders>
            <w:shd w:val="clear" w:color="auto" w:fill="FFFFFF"/>
            <w:vAlign w:val="center"/>
          </w:tcPr>
          <w:p w:rsidR="0091710B" w:rsidRPr="00265C60" w:rsidRDefault="0091710B" w:rsidP="0091710B">
            <w:pPr>
              <w:spacing w:line="240" w:lineRule="auto"/>
              <w:ind w:firstLine="0"/>
              <w:jc w:val="center"/>
              <w:rPr>
                <w:b/>
                <w:sz w:val="16"/>
                <w:szCs w:val="16"/>
              </w:rPr>
            </w:pPr>
            <w:r w:rsidRPr="00265C60">
              <w:rPr>
                <w:b/>
                <w:sz w:val="16"/>
                <w:szCs w:val="16"/>
              </w:rPr>
              <w:t>9 704,8</w:t>
            </w:r>
          </w:p>
        </w:tc>
        <w:tc>
          <w:tcPr>
            <w:tcW w:w="851"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sz w:val="16"/>
                <w:szCs w:val="16"/>
              </w:rPr>
            </w:pPr>
            <w:r w:rsidRPr="00265C60">
              <w:rPr>
                <w:sz w:val="16"/>
                <w:szCs w:val="16"/>
              </w:rPr>
              <w:t>-1 645,8</w:t>
            </w:r>
          </w:p>
        </w:tc>
        <w:tc>
          <w:tcPr>
            <w:tcW w:w="708"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sz w:val="16"/>
                <w:szCs w:val="16"/>
              </w:rPr>
            </w:pPr>
            <w:r w:rsidRPr="00265C60">
              <w:rPr>
                <w:sz w:val="16"/>
                <w:szCs w:val="16"/>
              </w:rPr>
              <w:t>84,4</w:t>
            </w:r>
          </w:p>
        </w:tc>
        <w:tc>
          <w:tcPr>
            <w:tcW w:w="708"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sz w:val="16"/>
                <w:szCs w:val="16"/>
              </w:rPr>
            </w:pPr>
            <w:r w:rsidRPr="00265C60">
              <w:rPr>
                <w:sz w:val="16"/>
                <w:szCs w:val="16"/>
              </w:rPr>
              <w:t>-715,6</w:t>
            </w:r>
          </w:p>
        </w:tc>
        <w:tc>
          <w:tcPr>
            <w:tcW w:w="710"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sz w:val="16"/>
                <w:szCs w:val="16"/>
              </w:rPr>
            </w:pPr>
            <w:r w:rsidRPr="00265C60">
              <w:rPr>
                <w:sz w:val="16"/>
                <w:szCs w:val="16"/>
              </w:rPr>
              <w:t>92,7</w:t>
            </w:r>
          </w:p>
        </w:tc>
        <w:tc>
          <w:tcPr>
            <w:tcW w:w="709"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sz w:val="16"/>
                <w:szCs w:val="16"/>
              </w:rPr>
            </w:pPr>
            <w:r w:rsidRPr="00265C60">
              <w:rPr>
                <w:sz w:val="16"/>
                <w:szCs w:val="16"/>
              </w:rPr>
              <w:t>654,3</w:t>
            </w:r>
          </w:p>
        </w:tc>
        <w:tc>
          <w:tcPr>
            <w:tcW w:w="567"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left="-108" w:firstLine="0"/>
              <w:jc w:val="center"/>
              <w:rPr>
                <w:sz w:val="16"/>
                <w:szCs w:val="16"/>
              </w:rPr>
            </w:pPr>
            <w:r w:rsidRPr="00265C60">
              <w:rPr>
                <w:sz w:val="16"/>
                <w:szCs w:val="16"/>
              </w:rPr>
              <w:t>107,2</w:t>
            </w:r>
          </w:p>
        </w:tc>
      </w:tr>
      <w:tr w:rsidR="0091710B" w:rsidRPr="00265C60" w:rsidTr="0091710B">
        <w:trPr>
          <w:trHeight w:val="50"/>
        </w:trPr>
        <w:tc>
          <w:tcPr>
            <w:tcW w:w="1575" w:type="dxa"/>
            <w:tcBorders>
              <w:top w:val="nil"/>
              <w:left w:val="single" w:sz="4" w:space="0" w:color="auto"/>
              <w:bottom w:val="single" w:sz="4" w:space="0" w:color="auto"/>
              <w:right w:val="single" w:sz="4" w:space="0" w:color="auto"/>
            </w:tcBorders>
            <w:shd w:val="clear" w:color="auto" w:fill="FFFFFF"/>
            <w:vAlign w:val="center"/>
            <w:hideMark/>
          </w:tcPr>
          <w:p w:rsidR="0091710B" w:rsidRPr="00265C60" w:rsidRDefault="0091710B" w:rsidP="00BD42C1">
            <w:pPr>
              <w:spacing w:line="240" w:lineRule="auto"/>
              <w:ind w:right="-108" w:firstLineChars="100" w:firstLine="160"/>
              <w:jc w:val="left"/>
              <w:rPr>
                <w:b/>
                <w:bCs/>
                <w:sz w:val="16"/>
                <w:szCs w:val="16"/>
              </w:rPr>
            </w:pPr>
            <w:r w:rsidRPr="00265C60">
              <w:rPr>
                <w:b/>
                <w:bCs/>
                <w:sz w:val="16"/>
                <w:szCs w:val="16"/>
              </w:rPr>
              <w:t>Ненефтегазовые доходы</w:t>
            </w:r>
          </w:p>
        </w:tc>
        <w:tc>
          <w:tcPr>
            <w:tcW w:w="850"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sz w:val="16"/>
                <w:szCs w:val="16"/>
              </w:rPr>
            </w:pPr>
            <w:r w:rsidRPr="00265C60">
              <w:rPr>
                <w:sz w:val="16"/>
                <w:szCs w:val="16"/>
              </w:rPr>
              <w:t>31 276,6</w:t>
            </w:r>
          </w:p>
        </w:tc>
        <w:tc>
          <w:tcPr>
            <w:tcW w:w="851" w:type="dxa"/>
            <w:tcBorders>
              <w:top w:val="nil"/>
              <w:left w:val="nil"/>
              <w:bottom w:val="single" w:sz="4" w:space="0" w:color="auto"/>
              <w:right w:val="single" w:sz="4" w:space="0" w:color="auto"/>
            </w:tcBorders>
            <w:shd w:val="clear" w:color="auto" w:fill="FFFFFF"/>
            <w:vAlign w:val="center"/>
          </w:tcPr>
          <w:p w:rsidR="0091710B" w:rsidRPr="00265C60" w:rsidRDefault="0091710B" w:rsidP="0091710B">
            <w:pPr>
              <w:spacing w:line="240" w:lineRule="auto"/>
              <w:ind w:firstLine="0"/>
              <w:jc w:val="center"/>
              <w:rPr>
                <w:b/>
                <w:sz w:val="16"/>
                <w:szCs w:val="16"/>
              </w:rPr>
            </w:pPr>
            <w:r w:rsidRPr="00265C60">
              <w:rPr>
                <w:b/>
                <w:sz w:val="16"/>
                <w:szCs w:val="16"/>
              </w:rPr>
              <w:t>31 364,7</w:t>
            </w:r>
          </w:p>
        </w:tc>
        <w:tc>
          <w:tcPr>
            <w:tcW w:w="974" w:type="dxa"/>
            <w:tcBorders>
              <w:top w:val="nil"/>
              <w:left w:val="nil"/>
              <w:bottom w:val="single" w:sz="4" w:space="0" w:color="auto"/>
              <w:right w:val="single" w:sz="4" w:space="0" w:color="auto"/>
            </w:tcBorders>
            <w:shd w:val="clear" w:color="auto" w:fill="FFFFFF"/>
            <w:vAlign w:val="center"/>
          </w:tcPr>
          <w:p w:rsidR="0091710B" w:rsidRPr="00265C60" w:rsidRDefault="0091710B" w:rsidP="0091710B">
            <w:pPr>
              <w:spacing w:line="240" w:lineRule="auto"/>
              <w:ind w:firstLine="0"/>
              <w:jc w:val="center"/>
              <w:rPr>
                <w:sz w:val="16"/>
                <w:szCs w:val="16"/>
              </w:rPr>
            </w:pPr>
            <w:r w:rsidRPr="00265C60">
              <w:rPr>
                <w:sz w:val="16"/>
                <w:szCs w:val="16"/>
              </w:rPr>
              <w:t>33 388,1</w:t>
            </w:r>
          </w:p>
        </w:tc>
        <w:tc>
          <w:tcPr>
            <w:tcW w:w="779" w:type="dxa"/>
            <w:tcBorders>
              <w:top w:val="nil"/>
              <w:left w:val="nil"/>
              <w:bottom w:val="single" w:sz="4" w:space="0" w:color="auto"/>
              <w:right w:val="single" w:sz="4" w:space="0" w:color="auto"/>
            </w:tcBorders>
            <w:shd w:val="clear" w:color="auto" w:fill="FFFFFF"/>
            <w:vAlign w:val="center"/>
          </w:tcPr>
          <w:p w:rsidR="0091710B" w:rsidRPr="00265C60" w:rsidRDefault="0091710B" w:rsidP="0091710B">
            <w:pPr>
              <w:spacing w:line="240" w:lineRule="auto"/>
              <w:ind w:firstLine="0"/>
              <w:jc w:val="center"/>
              <w:rPr>
                <w:b/>
                <w:sz w:val="16"/>
                <w:szCs w:val="16"/>
              </w:rPr>
            </w:pPr>
            <w:r w:rsidRPr="00265C60">
              <w:rPr>
                <w:b/>
                <w:sz w:val="16"/>
                <w:szCs w:val="16"/>
              </w:rPr>
              <w:t>33 859,9</w:t>
            </w:r>
          </w:p>
        </w:tc>
        <w:tc>
          <w:tcPr>
            <w:tcW w:w="798" w:type="dxa"/>
            <w:tcBorders>
              <w:top w:val="nil"/>
              <w:left w:val="nil"/>
              <w:bottom w:val="single" w:sz="4" w:space="0" w:color="auto"/>
              <w:right w:val="single" w:sz="4" w:space="0" w:color="auto"/>
            </w:tcBorders>
            <w:shd w:val="clear" w:color="auto" w:fill="FFFFFF"/>
            <w:vAlign w:val="center"/>
          </w:tcPr>
          <w:p w:rsidR="0091710B" w:rsidRPr="00265C60" w:rsidRDefault="0091710B" w:rsidP="0091710B">
            <w:pPr>
              <w:spacing w:line="240" w:lineRule="auto"/>
              <w:ind w:firstLine="0"/>
              <w:jc w:val="center"/>
              <w:rPr>
                <w:b/>
                <w:sz w:val="16"/>
                <w:szCs w:val="16"/>
              </w:rPr>
            </w:pPr>
            <w:r w:rsidRPr="00265C60">
              <w:rPr>
                <w:b/>
                <w:sz w:val="16"/>
                <w:szCs w:val="16"/>
              </w:rPr>
              <w:t>36 164,6</w:t>
            </w:r>
          </w:p>
        </w:tc>
        <w:tc>
          <w:tcPr>
            <w:tcW w:w="851"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sz w:val="16"/>
                <w:szCs w:val="16"/>
              </w:rPr>
            </w:pPr>
            <w:r w:rsidRPr="00265C60">
              <w:rPr>
                <w:sz w:val="16"/>
                <w:szCs w:val="16"/>
              </w:rPr>
              <w:t>88,1</w:t>
            </w:r>
          </w:p>
        </w:tc>
        <w:tc>
          <w:tcPr>
            <w:tcW w:w="708"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sz w:val="16"/>
                <w:szCs w:val="16"/>
              </w:rPr>
            </w:pPr>
            <w:r w:rsidRPr="00265C60">
              <w:rPr>
                <w:sz w:val="16"/>
                <w:szCs w:val="16"/>
              </w:rPr>
              <w:t>100,3</w:t>
            </w:r>
          </w:p>
        </w:tc>
        <w:tc>
          <w:tcPr>
            <w:tcW w:w="708"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sz w:val="16"/>
                <w:szCs w:val="16"/>
              </w:rPr>
            </w:pPr>
            <w:r w:rsidRPr="00265C60">
              <w:rPr>
                <w:sz w:val="16"/>
                <w:szCs w:val="16"/>
              </w:rPr>
              <w:t>471,8</w:t>
            </w:r>
          </w:p>
        </w:tc>
        <w:tc>
          <w:tcPr>
            <w:tcW w:w="710"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sz w:val="16"/>
                <w:szCs w:val="16"/>
              </w:rPr>
            </w:pPr>
            <w:r w:rsidRPr="00265C60">
              <w:rPr>
                <w:sz w:val="16"/>
                <w:szCs w:val="16"/>
              </w:rPr>
              <w:t>101,4</w:t>
            </w:r>
          </w:p>
        </w:tc>
        <w:tc>
          <w:tcPr>
            <w:tcW w:w="709"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firstLine="0"/>
              <w:jc w:val="center"/>
              <w:rPr>
                <w:sz w:val="16"/>
                <w:szCs w:val="16"/>
              </w:rPr>
            </w:pPr>
            <w:r w:rsidRPr="00265C60">
              <w:rPr>
                <w:sz w:val="16"/>
                <w:szCs w:val="16"/>
              </w:rPr>
              <w:t>2 304,7</w:t>
            </w:r>
          </w:p>
        </w:tc>
        <w:tc>
          <w:tcPr>
            <w:tcW w:w="567" w:type="dxa"/>
            <w:tcBorders>
              <w:top w:val="nil"/>
              <w:left w:val="nil"/>
              <w:bottom w:val="single" w:sz="4" w:space="0" w:color="auto"/>
              <w:right w:val="single" w:sz="4" w:space="0" w:color="auto"/>
            </w:tcBorders>
            <w:vAlign w:val="center"/>
          </w:tcPr>
          <w:p w:rsidR="0091710B" w:rsidRPr="00265C60" w:rsidRDefault="0091710B" w:rsidP="0091710B">
            <w:pPr>
              <w:spacing w:line="240" w:lineRule="auto"/>
              <w:ind w:left="-108" w:firstLine="0"/>
              <w:jc w:val="center"/>
              <w:rPr>
                <w:sz w:val="16"/>
                <w:szCs w:val="16"/>
              </w:rPr>
            </w:pPr>
            <w:r w:rsidRPr="00265C60">
              <w:rPr>
                <w:sz w:val="16"/>
                <w:szCs w:val="16"/>
              </w:rPr>
              <w:t>106,8</w:t>
            </w:r>
          </w:p>
        </w:tc>
      </w:tr>
    </w:tbl>
    <w:p w:rsidR="0091710B" w:rsidRPr="00265C60" w:rsidRDefault="0091710B" w:rsidP="0091710B">
      <w:pPr>
        <w:widowControl w:val="0"/>
        <w:autoSpaceDE w:val="0"/>
        <w:autoSpaceDN w:val="0"/>
        <w:adjustRightInd w:val="0"/>
        <w:spacing w:line="240" w:lineRule="auto"/>
        <w:ind w:firstLine="0"/>
        <w:jc w:val="right"/>
        <w:rPr>
          <w:sz w:val="16"/>
          <w:szCs w:val="16"/>
          <w:lang w:val="en-US"/>
        </w:rPr>
      </w:pPr>
    </w:p>
    <w:p w:rsidR="0091710B" w:rsidRPr="00265C60" w:rsidRDefault="0091710B" w:rsidP="0091710B">
      <w:pPr>
        <w:ind w:firstLine="540"/>
      </w:pPr>
      <w:r w:rsidRPr="00265C60">
        <w:t>Структура основных доходов федерального бюджета на 2025–2028 годы представлена в следующей таблице.</w:t>
      </w:r>
    </w:p>
    <w:p w:rsidR="0091710B" w:rsidRPr="00265C60" w:rsidRDefault="0091710B" w:rsidP="008F2572">
      <w:pPr>
        <w:widowControl w:val="0"/>
        <w:autoSpaceDE w:val="0"/>
        <w:autoSpaceDN w:val="0"/>
        <w:adjustRightInd w:val="0"/>
        <w:spacing w:line="240" w:lineRule="auto"/>
        <w:ind w:right="-428" w:firstLine="539"/>
        <w:jc w:val="right"/>
        <w:rPr>
          <w:sz w:val="16"/>
          <w:szCs w:val="16"/>
        </w:rPr>
      </w:pPr>
      <w:r w:rsidRPr="00265C60">
        <w:rPr>
          <w:sz w:val="16"/>
          <w:szCs w:val="16"/>
        </w:rPr>
        <w:t xml:space="preserve">                                                                                                  (% к общей сумме доходов)</w:t>
      </w:r>
    </w:p>
    <w:tbl>
      <w:tblPr>
        <w:tblW w:w="1005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391"/>
        <w:gridCol w:w="1080"/>
        <w:gridCol w:w="1330"/>
        <w:gridCol w:w="1275"/>
        <w:gridCol w:w="1276"/>
      </w:tblGrid>
      <w:tr w:rsidR="0091710B" w:rsidRPr="00265C60" w:rsidTr="0091710B">
        <w:trPr>
          <w:trHeight w:val="300"/>
          <w:tblHeader/>
        </w:trPr>
        <w:tc>
          <w:tcPr>
            <w:tcW w:w="3701" w:type="dxa"/>
            <w:vMerge w:val="restart"/>
            <w:shd w:val="clear" w:color="auto" w:fill="auto"/>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Основные виды доходов </w:t>
            </w:r>
          </w:p>
        </w:tc>
        <w:tc>
          <w:tcPr>
            <w:tcW w:w="2471" w:type="dxa"/>
            <w:gridSpan w:val="2"/>
            <w:shd w:val="clear" w:color="auto" w:fill="auto"/>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2025 год</w:t>
            </w:r>
          </w:p>
        </w:tc>
        <w:tc>
          <w:tcPr>
            <w:tcW w:w="3881" w:type="dxa"/>
            <w:gridSpan w:val="3"/>
            <w:shd w:val="clear" w:color="auto" w:fill="auto"/>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Прогноз</w:t>
            </w:r>
          </w:p>
        </w:tc>
      </w:tr>
      <w:tr w:rsidR="0091710B" w:rsidRPr="00265C60" w:rsidTr="0091710B">
        <w:trPr>
          <w:trHeight w:val="300"/>
          <w:tblHeader/>
        </w:trPr>
        <w:tc>
          <w:tcPr>
            <w:tcW w:w="3701" w:type="dxa"/>
            <w:vMerge/>
            <w:vAlign w:val="center"/>
            <w:hideMark/>
          </w:tcPr>
          <w:p w:rsidR="0091710B" w:rsidRPr="00265C60" w:rsidRDefault="0091710B" w:rsidP="0091710B">
            <w:pPr>
              <w:spacing w:line="240" w:lineRule="auto"/>
              <w:ind w:firstLine="0"/>
              <w:jc w:val="left"/>
              <w:rPr>
                <w:b/>
                <w:bCs/>
                <w:sz w:val="16"/>
                <w:szCs w:val="16"/>
              </w:rPr>
            </w:pPr>
          </w:p>
        </w:tc>
        <w:tc>
          <w:tcPr>
            <w:tcW w:w="1391" w:type="dxa"/>
            <w:vMerge w:val="restart"/>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Федеральный закон</w:t>
            </w:r>
            <w:r w:rsidRPr="00265C60">
              <w:rPr>
                <w:sz w:val="16"/>
                <w:szCs w:val="16"/>
              </w:rPr>
              <w:br/>
              <w:t>№ 419-ФЗ (с изменениями)</w:t>
            </w:r>
          </w:p>
        </w:tc>
        <w:tc>
          <w:tcPr>
            <w:tcW w:w="1080" w:type="dxa"/>
            <w:vMerge w:val="restart"/>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оценка</w:t>
            </w:r>
          </w:p>
        </w:tc>
        <w:tc>
          <w:tcPr>
            <w:tcW w:w="1330" w:type="dxa"/>
            <w:vMerge w:val="restart"/>
            <w:shd w:val="clear" w:color="auto" w:fill="auto"/>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2026 год</w:t>
            </w:r>
          </w:p>
        </w:tc>
        <w:tc>
          <w:tcPr>
            <w:tcW w:w="1275" w:type="dxa"/>
            <w:vMerge w:val="restart"/>
            <w:shd w:val="clear" w:color="auto" w:fill="auto"/>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2027 год</w:t>
            </w:r>
          </w:p>
        </w:tc>
        <w:tc>
          <w:tcPr>
            <w:tcW w:w="1276" w:type="dxa"/>
            <w:vMerge w:val="restart"/>
            <w:shd w:val="clear" w:color="auto" w:fill="auto"/>
            <w:vAlign w:val="center"/>
            <w:hideMark/>
          </w:tcPr>
          <w:p w:rsidR="0091710B" w:rsidRPr="00265C60" w:rsidRDefault="0091710B" w:rsidP="0091710B">
            <w:pPr>
              <w:spacing w:line="240" w:lineRule="auto"/>
              <w:ind w:firstLine="0"/>
              <w:jc w:val="center"/>
              <w:rPr>
                <w:b/>
                <w:bCs/>
                <w:sz w:val="16"/>
                <w:szCs w:val="16"/>
              </w:rPr>
            </w:pPr>
            <w:r w:rsidRPr="00265C60">
              <w:rPr>
                <w:b/>
                <w:bCs/>
                <w:sz w:val="16"/>
                <w:szCs w:val="16"/>
              </w:rPr>
              <w:t>2028 год</w:t>
            </w:r>
          </w:p>
        </w:tc>
      </w:tr>
      <w:tr w:rsidR="0091710B" w:rsidRPr="00265C60" w:rsidTr="0091710B">
        <w:trPr>
          <w:trHeight w:val="184"/>
          <w:tblHeader/>
        </w:trPr>
        <w:tc>
          <w:tcPr>
            <w:tcW w:w="3701" w:type="dxa"/>
            <w:vMerge/>
            <w:vAlign w:val="center"/>
            <w:hideMark/>
          </w:tcPr>
          <w:p w:rsidR="0091710B" w:rsidRPr="00265C60" w:rsidRDefault="0091710B" w:rsidP="0091710B">
            <w:pPr>
              <w:spacing w:line="240" w:lineRule="auto"/>
              <w:ind w:firstLine="0"/>
              <w:jc w:val="left"/>
              <w:rPr>
                <w:b/>
                <w:bCs/>
                <w:sz w:val="16"/>
                <w:szCs w:val="16"/>
              </w:rPr>
            </w:pPr>
          </w:p>
        </w:tc>
        <w:tc>
          <w:tcPr>
            <w:tcW w:w="1391" w:type="dxa"/>
            <w:vMerge/>
            <w:vAlign w:val="center"/>
            <w:hideMark/>
          </w:tcPr>
          <w:p w:rsidR="0091710B" w:rsidRPr="00265C60" w:rsidRDefault="0091710B" w:rsidP="0091710B">
            <w:pPr>
              <w:spacing w:line="240" w:lineRule="auto"/>
              <w:ind w:firstLine="0"/>
              <w:jc w:val="left"/>
              <w:rPr>
                <w:sz w:val="16"/>
                <w:szCs w:val="16"/>
              </w:rPr>
            </w:pPr>
          </w:p>
        </w:tc>
        <w:tc>
          <w:tcPr>
            <w:tcW w:w="1080" w:type="dxa"/>
            <w:vMerge/>
            <w:vAlign w:val="center"/>
            <w:hideMark/>
          </w:tcPr>
          <w:p w:rsidR="0091710B" w:rsidRPr="00265C60" w:rsidRDefault="0091710B" w:rsidP="0091710B">
            <w:pPr>
              <w:spacing w:line="240" w:lineRule="auto"/>
              <w:ind w:firstLine="0"/>
              <w:jc w:val="left"/>
              <w:rPr>
                <w:sz w:val="16"/>
                <w:szCs w:val="16"/>
              </w:rPr>
            </w:pPr>
          </w:p>
        </w:tc>
        <w:tc>
          <w:tcPr>
            <w:tcW w:w="1330" w:type="dxa"/>
            <w:vMerge/>
            <w:vAlign w:val="center"/>
            <w:hideMark/>
          </w:tcPr>
          <w:p w:rsidR="0091710B" w:rsidRPr="00265C60" w:rsidRDefault="0091710B" w:rsidP="0091710B">
            <w:pPr>
              <w:spacing w:line="240" w:lineRule="auto"/>
              <w:ind w:firstLine="0"/>
              <w:jc w:val="left"/>
              <w:rPr>
                <w:b/>
                <w:bCs/>
                <w:sz w:val="16"/>
                <w:szCs w:val="16"/>
              </w:rPr>
            </w:pPr>
          </w:p>
        </w:tc>
        <w:tc>
          <w:tcPr>
            <w:tcW w:w="1275" w:type="dxa"/>
            <w:vMerge/>
            <w:vAlign w:val="center"/>
            <w:hideMark/>
          </w:tcPr>
          <w:p w:rsidR="0091710B" w:rsidRPr="00265C60" w:rsidRDefault="0091710B" w:rsidP="0091710B">
            <w:pPr>
              <w:spacing w:line="240" w:lineRule="auto"/>
              <w:ind w:firstLine="0"/>
              <w:jc w:val="left"/>
              <w:rPr>
                <w:b/>
                <w:bCs/>
                <w:sz w:val="16"/>
                <w:szCs w:val="16"/>
              </w:rPr>
            </w:pPr>
          </w:p>
        </w:tc>
        <w:tc>
          <w:tcPr>
            <w:tcW w:w="1276" w:type="dxa"/>
            <w:vMerge/>
            <w:vAlign w:val="center"/>
            <w:hideMark/>
          </w:tcPr>
          <w:p w:rsidR="0091710B" w:rsidRPr="00265C60" w:rsidRDefault="0091710B" w:rsidP="0091710B">
            <w:pPr>
              <w:spacing w:line="240" w:lineRule="auto"/>
              <w:ind w:firstLine="0"/>
              <w:jc w:val="left"/>
              <w:rPr>
                <w:b/>
                <w:bCs/>
                <w:sz w:val="16"/>
                <w:szCs w:val="16"/>
              </w:rPr>
            </w:pPr>
          </w:p>
        </w:tc>
      </w:tr>
      <w:tr w:rsidR="0091710B" w:rsidRPr="00265C60" w:rsidTr="0091710B">
        <w:trPr>
          <w:trHeight w:val="50"/>
          <w:tblHeader/>
        </w:trPr>
        <w:tc>
          <w:tcPr>
            <w:tcW w:w="3701" w:type="dxa"/>
            <w:shd w:val="clear" w:color="auto" w:fill="auto"/>
            <w:vAlign w:val="center"/>
            <w:hideMark/>
          </w:tcPr>
          <w:p w:rsidR="0091710B" w:rsidRPr="00265C60" w:rsidRDefault="0091710B" w:rsidP="0091710B">
            <w:pPr>
              <w:spacing w:line="240" w:lineRule="auto"/>
              <w:ind w:firstLine="0"/>
              <w:jc w:val="center"/>
              <w:rPr>
                <w:sz w:val="15"/>
                <w:szCs w:val="15"/>
              </w:rPr>
            </w:pPr>
            <w:r w:rsidRPr="00265C60">
              <w:rPr>
                <w:sz w:val="15"/>
                <w:szCs w:val="15"/>
              </w:rPr>
              <w:t>1</w:t>
            </w:r>
          </w:p>
        </w:tc>
        <w:tc>
          <w:tcPr>
            <w:tcW w:w="1391" w:type="dxa"/>
            <w:shd w:val="clear" w:color="auto" w:fill="auto"/>
            <w:vAlign w:val="center"/>
            <w:hideMark/>
          </w:tcPr>
          <w:p w:rsidR="0091710B" w:rsidRPr="00265C60" w:rsidRDefault="0091710B" w:rsidP="0091710B">
            <w:pPr>
              <w:spacing w:line="240" w:lineRule="auto"/>
              <w:ind w:firstLine="0"/>
              <w:jc w:val="center"/>
              <w:rPr>
                <w:sz w:val="15"/>
                <w:szCs w:val="15"/>
              </w:rPr>
            </w:pPr>
            <w:r w:rsidRPr="00265C60">
              <w:rPr>
                <w:sz w:val="15"/>
                <w:szCs w:val="15"/>
              </w:rPr>
              <w:t>2</w:t>
            </w:r>
          </w:p>
        </w:tc>
        <w:tc>
          <w:tcPr>
            <w:tcW w:w="1080" w:type="dxa"/>
            <w:shd w:val="clear" w:color="auto" w:fill="auto"/>
            <w:vAlign w:val="center"/>
            <w:hideMark/>
          </w:tcPr>
          <w:p w:rsidR="0091710B" w:rsidRPr="00265C60" w:rsidRDefault="0091710B" w:rsidP="0091710B">
            <w:pPr>
              <w:spacing w:line="240" w:lineRule="auto"/>
              <w:ind w:firstLine="0"/>
              <w:jc w:val="center"/>
              <w:rPr>
                <w:sz w:val="15"/>
                <w:szCs w:val="15"/>
              </w:rPr>
            </w:pPr>
            <w:r w:rsidRPr="00265C60">
              <w:rPr>
                <w:sz w:val="15"/>
                <w:szCs w:val="15"/>
              </w:rPr>
              <w:t>3</w:t>
            </w:r>
          </w:p>
        </w:tc>
        <w:tc>
          <w:tcPr>
            <w:tcW w:w="1330" w:type="dxa"/>
            <w:shd w:val="clear" w:color="auto" w:fill="auto"/>
            <w:vAlign w:val="center"/>
            <w:hideMark/>
          </w:tcPr>
          <w:p w:rsidR="0091710B" w:rsidRPr="00265C60" w:rsidRDefault="0091710B" w:rsidP="0091710B">
            <w:pPr>
              <w:spacing w:line="240" w:lineRule="auto"/>
              <w:ind w:firstLine="0"/>
              <w:jc w:val="center"/>
              <w:rPr>
                <w:sz w:val="15"/>
                <w:szCs w:val="15"/>
              </w:rPr>
            </w:pPr>
            <w:r w:rsidRPr="00265C60">
              <w:rPr>
                <w:sz w:val="15"/>
                <w:szCs w:val="15"/>
              </w:rPr>
              <w:t>4</w:t>
            </w:r>
          </w:p>
        </w:tc>
        <w:tc>
          <w:tcPr>
            <w:tcW w:w="1275" w:type="dxa"/>
            <w:shd w:val="clear" w:color="auto" w:fill="auto"/>
            <w:vAlign w:val="center"/>
            <w:hideMark/>
          </w:tcPr>
          <w:p w:rsidR="0091710B" w:rsidRPr="00265C60" w:rsidRDefault="0091710B" w:rsidP="0091710B">
            <w:pPr>
              <w:spacing w:line="240" w:lineRule="auto"/>
              <w:ind w:firstLine="0"/>
              <w:jc w:val="center"/>
              <w:rPr>
                <w:sz w:val="15"/>
                <w:szCs w:val="15"/>
              </w:rPr>
            </w:pPr>
            <w:r w:rsidRPr="00265C60">
              <w:rPr>
                <w:sz w:val="15"/>
                <w:szCs w:val="15"/>
              </w:rPr>
              <w:t>5</w:t>
            </w:r>
          </w:p>
        </w:tc>
        <w:tc>
          <w:tcPr>
            <w:tcW w:w="1276" w:type="dxa"/>
            <w:shd w:val="clear" w:color="auto" w:fill="auto"/>
            <w:vAlign w:val="center"/>
            <w:hideMark/>
          </w:tcPr>
          <w:p w:rsidR="0091710B" w:rsidRPr="00265C60" w:rsidRDefault="0091710B" w:rsidP="0091710B">
            <w:pPr>
              <w:spacing w:line="240" w:lineRule="auto"/>
              <w:ind w:firstLine="0"/>
              <w:jc w:val="center"/>
              <w:rPr>
                <w:sz w:val="15"/>
                <w:szCs w:val="15"/>
              </w:rPr>
            </w:pPr>
            <w:r w:rsidRPr="00265C60">
              <w:rPr>
                <w:sz w:val="15"/>
                <w:szCs w:val="15"/>
              </w:rPr>
              <w:t>6</w:t>
            </w:r>
          </w:p>
        </w:tc>
      </w:tr>
      <w:tr w:rsidR="0091710B" w:rsidRPr="00265C60" w:rsidTr="0091710B">
        <w:trPr>
          <w:trHeight w:val="50"/>
        </w:trPr>
        <w:tc>
          <w:tcPr>
            <w:tcW w:w="3701" w:type="dxa"/>
            <w:shd w:val="clear" w:color="auto" w:fill="auto"/>
            <w:vAlign w:val="center"/>
            <w:hideMark/>
          </w:tcPr>
          <w:p w:rsidR="0091710B" w:rsidRPr="00265C60" w:rsidRDefault="0091710B" w:rsidP="0091710B">
            <w:pPr>
              <w:spacing w:line="240" w:lineRule="auto"/>
              <w:ind w:firstLine="0"/>
              <w:rPr>
                <w:sz w:val="16"/>
                <w:szCs w:val="16"/>
              </w:rPr>
            </w:pPr>
            <w:r w:rsidRPr="00265C60">
              <w:rPr>
                <w:sz w:val="16"/>
                <w:szCs w:val="16"/>
              </w:rPr>
              <w:t>Налог на прибыль организаций</w:t>
            </w:r>
          </w:p>
        </w:tc>
        <w:tc>
          <w:tcPr>
            <w:tcW w:w="1391"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10,8</w:t>
            </w:r>
          </w:p>
        </w:tc>
        <w:tc>
          <w:tcPr>
            <w:tcW w:w="108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10,9</w:t>
            </w:r>
          </w:p>
        </w:tc>
        <w:tc>
          <w:tcPr>
            <w:tcW w:w="133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10,0</w:t>
            </w:r>
          </w:p>
        </w:tc>
        <w:tc>
          <w:tcPr>
            <w:tcW w:w="1275"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10,2</w:t>
            </w:r>
          </w:p>
        </w:tc>
        <w:tc>
          <w:tcPr>
            <w:tcW w:w="1276"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10,4</w:t>
            </w:r>
          </w:p>
        </w:tc>
      </w:tr>
      <w:tr w:rsidR="0091710B" w:rsidRPr="00265C60" w:rsidTr="0091710B">
        <w:trPr>
          <w:trHeight w:val="50"/>
        </w:trPr>
        <w:tc>
          <w:tcPr>
            <w:tcW w:w="3701" w:type="dxa"/>
            <w:shd w:val="clear" w:color="auto" w:fill="auto"/>
            <w:vAlign w:val="center"/>
          </w:tcPr>
          <w:p w:rsidR="0091710B" w:rsidRPr="00265C60" w:rsidRDefault="0091710B" w:rsidP="0091710B">
            <w:pPr>
              <w:spacing w:line="240" w:lineRule="auto"/>
              <w:ind w:firstLine="0"/>
              <w:rPr>
                <w:sz w:val="16"/>
                <w:szCs w:val="16"/>
              </w:rPr>
            </w:pPr>
            <w:r w:rsidRPr="00265C60">
              <w:rPr>
                <w:sz w:val="16"/>
                <w:szCs w:val="16"/>
              </w:rPr>
              <w:t>НДФЛ</w:t>
            </w:r>
          </w:p>
        </w:tc>
        <w:tc>
          <w:tcPr>
            <w:tcW w:w="1391"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2,2</w:t>
            </w:r>
          </w:p>
        </w:tc>
        <w:tc>
          <w:tcPr>
            <w:tcW w:w="1080"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2,1</w:t>
            </w:r>
          </w:p>
        </w:tc>
        <w:tc>
          <w:tcPr>
            <w:tcW w:w="1330"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2,6</w:t>
            </w:r>
          </w:p>
        </w:tc>
        <w:tc>
          <w:tcPr>
            <w:tcW w:w="1275"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2,0</w:t>
            </w:r>
          </w:p>
        </w:tc>
        <w:tc>
          <w:tcPr>
            <w:tcW w:w="1276"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1,8</w:t>
            </w:r>
          </w:p>
        </w:tc>
      </w:tr>
      <w:tr w:rsidR="0091710B" w:rsidRPr="00265C60" w:rsidTr="0091710B">
        <w:trPr>
          <w:trHeight w:val="50"/>
        </w:trPr>
        <w:tc>
          <w:tcPr>
            <w:tcW w:w="3701" w:type="dxa"/>
            <w:shd w:val="clear" w:color="auto" w:fill="auto"/>
            <w:vAlign w:val="center"/>
            <w:hideMark/>
          </w:tcPr>
          <w:p w:rsidR="0091710B" w:rsidRPr="00265C60" w:rsidRDefault="0091710B" w:rsidP="0091710B">
            <w:pPr>
              <w:spacing w:line="240" w:lineRule="auto"/>
              <w:ind w:firstLine="0"/>
              <w:rPr>
                <w:sz w:val="16"/>
                <w:szCs w:val="16"/>
              </w:rPr>
            </w:pPr>
            <w:r w:rsidRPr="00265C60">
              <w:rPr>
                <w:sz w:val="16"/>
                <w:szCs w:val="16"/>
              </w:rPr>
              <w:t xml:space="preserve">Налог на добавленную стоимость </w:t>
            </w:r>
          </w:p>
        </w:tc>
        <w:tc>
          <w:tcPr>
            <w:tcW w:w="1391"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40,8</w:t>
            </w:r>
          </w:p>
        </w:tc>
        <w:tc>
          <w:tcPr>
            <w:tcW w:w="108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36,0</w:t>
            </w:r>
          </w:p>
        </w:tc>
        <w:tc>
          <w:tcPr>
            <w:tcW w:w="133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43,5</w:t>
            </w:r>
          </w:p>
        </w:tc>
        <w:tc>
          <w:tcPr>
            <w:tcW w:w="1275"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45,0</w:t>
            </w:r>
          </w:p>
        </w:tc>
        <w:tc>
          <w:tcPr>
            <w:tcW w:w="1276"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45,2</w:t>
            </w:r>
          </w:p>
        </w:tc>
      </w:tr>
      <w:tr w:rsidR="0091710B" w:rsidRPr="00265C60" w:rsidTr="0091710B">
        <w:trPr>
          <w:trHeight w:val="59"/>
        </w:trPr>
        <w:tc>
          <w:tcPr>
            <w:tcW w:w="3701" w:type="dxa"/>
            <w:shd w:val="clear" w:color="auto" w:fill="auto"/>
            <w:vAlign w:val="center"/>
            <w:hideMark/>
          </w:tcPr>
          <w:p w:rsidR="0091710B" w:rsidRPr="00265C60" w:rsidRDefault="0091710B" w:rsidP="0091710B">
            <w:pPr>
              <w:spacing w:line="240" w:lineRule="auto"/>
              <w:ind w:firstLine="0"/>
              <w:rPr>
                <w:sz w:val="16"/>
                <w:szCs w:val="16"/>
              </w:rPr>
            </w:pPr>
            <w:r w:rsidRPr="00265C60">
              <w:rPr>
                <w:sz w:val="16"/>
                <w:szCs w:val="16"/>
              </w:rPr>
              <w:t>Акцизы (без учета нефтегазовых доходов)</w:t>
            </w:r>
          </w:p>
        </w:tc>
        <w:tc>
          <w:tcPr>
            <w:tcW w:w="1391"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4,1</w:t>
            </w:r>
          </w:p>
        </w:tc>
        <w:tc>
          <w:tcPr>
            <w:tcW w:w="108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3,9</w:t>
            </w:r>
          </w:p>
        </w:tc>
        <w:tc>
          <w:tcPr>
            <w:tcW w:w="133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4,2</w:t>
            </w:r>
          </w:p>
        </w:tc>
        <w:tc>
          <w:tcPr>
            <w:tcW w:w="1275"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4,0</w:t>
            </w:r>
          </w:p>
        </w:tc>
        <w:tc>
          <w:tcPr>
            <w:tcW w:w="1276"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3,7</w:t>
            </w:r>
          </w:p>
        </w:tc>
      </w:tr>
      <w:tr w:rsidR="0091710B" w:rsidRPr="00265C60" w:rsidTr="0091710B">
        <w:trPr>
          <w:trHeight w:val="50"/>
        </w:trPr>
        <w:tc>
          <w:tcPr>
            <w:tcW w:w="3701" w:type="dxa"/>
            <w:shd w:val="clear" w:color="auto" w:fill="auto"/>
            <w:vAlign w:val="center"/>
          </w:tcPr>
          <w:p w:rsidR="0091710B" w:rsidRPr="00265C60" w:rsidRDefault="0091710B" w:rsidP="0091710B">
            <w:pPr>
              <w:spacing w:line="240" w:lineRule="auto"/>
              <w:ind w:firstLine="0"/>
              <w:rPr>
                <w:sz w:val="16"/>
                <w:szCs w:val="16"/>
              </w:rPr>
            </w:pPr>
            <w:r w:rsidRPr="00265C60">
              <w:rPr>
                <w:sz w:val="16"/>
                <w:szCs w:val="16"/>
              </w:rPr>
              <w:t>Налог на игорный бизнес</w:t>
            </w:r>
          </w:p>
        </w:tc>
        <w:tc>
          <w:tcPr>
            <w:tcW w:w="1391"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w:t>
            </w:r>
          </w:p>
        </w:tc>
        <w:tc>
          <w:tcPr>
            <w:tcW w:w="1080"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w:t>
            </w:r>
          </w:p>
        </w:tc>
        <w:tc>
          <w:tcPr>
            <w:tcW w:w="1330"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0,2</w:t>
            </w:r>
          </w:p>
        </w:tc>
        <w:tc>
          <w:tcPr>
            <w:tcW w:w="1275"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0,2</w:t>
            </w:r>
          </w:p>
        </w:tc>
        <w:tc>
          <w:tcPr>
            <w:tcW w:w="1276"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0,2</w:t>
            </w:r>
          </w:p>
        </w:tc>
      </w:tr>
      <w:tr w:rsidR="0091710B" w:rsidRPr="00265C60" w:rsidTr="0091710B">
        <w:trPr>
          <w:trHeight w:val="50"/>
        </w:trPr>
        <w:tc>
          <w:tcPr>
            <w:tcW w:w="3701" w:type="dxa"/>
            <w:shd w:val="clear" w:color="auto" w:fill="auto"/>
            <w:vAlign w:val="center"/>
            <w:hideMark/>
          </w:tcPr>
          <w:p w:rsidR="0091710B" w:rsidRPr="00265C60" w:rsidRDefault="0091710B" w:rsidP="0091710B">
            <w:pPr>
              <w:spacing w:line="240" w:lineRule="auto"/>
              <w:ind w:firstLine="0"/>
              <w:rPr>
                <w:sz w:val="16"/>
                <w:szCs w:val="16"/>
              </w:rPr>
            </w:pPr>
            <w:r w:rsidRPr="00265C60">
              <w:rPr>
                <w:sz w:val="16"/>
                <w:szCs w:val="16"/>
              </w:rPr>
              <w:t xml:space="preserve">Налог на добычу полезных ископаемых </w:t>
            </w:r>
          </w:p>
        </w:tc>
        <w:tc>
          <w:tcPr>
            <w:tcW w:w="1391"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24,4</w:t>
            </w:r>
          </w:p>
        </w:tc>
        <w:tc>
          <w:tcPr>
            <w:tcW w:w="108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25,4</w:t>
            </w:r>
          </w:p>
        </w:tc>
        <w:tc>
          <w:tcPr>
            <w:tcW w:w="133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24,3</w:t>
            </w:r>
          </w:p>
        </w:tc>
        <w:tc>
          <w:tcPr>
            <w:tcW w:w="1275"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23,0</w:t>
            </w:r>
          </w:p>
        </w:tc>
        <w:tc>
          <w:tcPr>
            <w:tcW w:w="1276"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22,9</w:t>
            </w:r>
          </w:p>
        </w:tc>
      </w:tr>
      <w:tr w:rsidR="0091710B" w:rsidRPr="00265C60" w:rsidTr="0091710B">
        <w:trPr>
          <w:trHeight w:val="50"/>
        </w:trPr>
        <w:tc>
          <w:tcPr>
            <w:tcW w:w="3701" w:type="dxa"/>
            <w:shd w:val="clear" w:color="auto" w:fill="auto"/>
            <w:vAlign w:val="center"/>
          </w:tcPr>
          <w:p w:rsidR="0091710B" w:rsidRPr="00265C60" w:rsidRDefault="0091710B" w:rsidP="0091710B">
            <w:pPr>
              <w:spacing w:line="240" w:lineRule="auto"/>
              <w:ind w:firstLine="0"/>
              <w:rPr>
                <w:sz w:val="16"/>
                <w:szCs w:val="16"/>
              </w:rPr>
            </w:pPr>
            <w:r w:rsidRPr="00265C60">
              <w:rPr>
                <w:sz w:val="16"/>
                <w:szCs w:val="16"/>
              </w:rPr>
              <w:t>Государственная пошлина</w:t>
            </w:r>
          </w:p>
        </w:tc>
        <w:tc>
          <w:tcPr>
            <w:tcW w:w="1391"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0,7</w:t>
            </w:r>
          </w:p>
        </w:tc>
        <w:tc>
          <w:tcPr>
            <w:tcW w:w="1080"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0,7</w:t>
            </w:r>
          </w:p>
        </w:tc>
        <w:tc>
          <w:tcPr>
            <w:tcW w:w="1330"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0,7</w:t>
            </w:r>
          </w:p>
        </w:tc>
        <w:tc>
          <w:tcPr>
            <w:tcW w:w="1275"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0,6</w:t>
            </w:r>
          </w:p>
        </w:tc>
        <w:tc>
          <w:tcPr>
            <w:tcW w:w="1276"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0,6</w:t>
            </w:r>
          </w:p>
        </w:tc>
      </w:tr>
      <w:tr w:rsidR="0091710B" w:rsidRPr="00265C60" w:rsidTr="0091710B">
        <w:trPr>
          <w:trHeight w:val="50"/>
        </w:trPr>
        <w:tc>
          <w:tcPr>
            <w:tcW w:w="3701" w:type="dxa"/>
            <w:shd w:val="clear" w:color="auto" w:fill="auto"/>
            <w:vAlign w:val="center"/>
            <w:hideMark/>
          </w:tcPr>
          <w:p w:rsidR="0091710B" w:rsidRPr="00265C60" w:rsidRDefault="0091710B" w:rsidP="0091710B">
            <w:pPr>
              <w:spacing w:line="240" w:lineRule="auto"/>
              <w:ind w:firstLine="0"/>
              <w:rPr>
                <w:sz w:val="16"/>
                <w:szCs w:val="16"/>
              </w:rPr>
            </w:pPr>
            <w:r w:rsidRPr="00265C60">
              <w:rPr>
                <w:sz w:val="16"/>
                <w:szCs w:val="16"/>
              </w:rPr>
              <w:t xml:space="preserve">Вывозные таможенные пошлины </w:t>
            </w:r>
          </w:p>
        </w:tc>
        <w:tc>
          <w:tcPr>
            <w:tcW w:w="1391"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2,0</w:t>
            </w:r>
          </w:p>
        </w:tc>
        <w:tc>
          <w:tcPr>
            <w:tcW w:w="108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1,5</w:t>
            </w:r>
          </w:p>
        </w:tc>
        <w:tc>
          <w:tcPr>
            <w:tcW w:w="133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1,8</w:t>
            </w:r>
          </w:p>
        </w:tc>
        <w:tc>
          <w:tcPr>
            <w:tcW w:w="1275"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1,9</w:t>
            </w:r>
          </w:p>
        </w:tc>
        <w:tc>
          <w:tcPr>
            <w:tcW w:w="1276"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1,9</w:t>
            </w:r>
          </w:p>
        </w:tc>
      </w:tr>
      <w:tr w:rsidR="0091710B" w:rsidRPr="00265C60" w:rsidTr="0091710B">
        <w:trPr>
          <w:trHeight w:val="165"/>
        </w:trPr>
        <w:tc>
          <w:tcPr>
            <w:tcW w:w="3701" w:type="dxa"/>
            <w:shd w:val="clear" w:color="auto" w:fill="auto"/>
            <w:vAlign w:val="center"/>
            <w:hideMark/>
          </w:tcPr>
          <w:p w:rsidR="0091710B" w:rsidRPr="00265C60" w:rsidRDefault="0091710B" w:rsidP="0091710B">
            <w:pPr>
              <w:spacing w:line="240" w:lineRule="auto"/>
              <w:ind w:firstLine="0"/>
              <w:rPr>
                <w:sz w:val="16"/>
                <w:szCs w:val="16"/>
              </w:rPr>
            </w:pPr>
            <w:r w:rsidRPr="00265C60">
              <w:rPr>
                <w:sz w:val="16"/>
                <w:szCs w:val="16"/>
              </w:rPr>
              <w:t>Ввозные таможенные пошлины</w:t>
            </w:r>
          </w:p>
        </w:tc>
        <w:tc>
          <w:tcPr>
            <w:tcW w:w="1391"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3,4</w:t>
            </w:r>
          </w:p>
        </w:tc>
        <w:tc>
          <w:tcPr>
            <w:tcW w:w="108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3,1</w:t>
            </w:r>
          </w:p>
        </w:tc>
        <w:tc>
          <w:tcPr>
            <w:tcW w:w="133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2,9</w:t>
            </w:r>
          </w:p>
        </w:tc>
        <w:tc>
          <w:tcPr>
            <w:tcW w:w="1275"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3,0</w:t>
            </w:r>
          </w:p>
        </w:tc>
        <w:tc>
          <w:tcPr>
            <w:tcW w:w="1276"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3,1</w:t>
            </w:r>
          </w:p>
        </w:tc>
      </w:tr>
      <w:tr w:rsidR="0091710B" w:rsidRPr="00265C60" w:rsidTr="0091710B">
        <w:trPr>
          <w:trHeight w:val="50"/>
        </w:trPr>
        <w:tc>
          <w:tcPr>
            <w:tcW w:w="3701" w:type="dxa"/>
            <w:shd w:val="clear" w:color="auto" w:fill="auto"/>
            <w:vAlign w:val="center"/>
          </w:tcPr>
          <w:p w:rsidR="0091710B" w:rsidRPr="00265C60" w:rsidRDefault="0091710B" w:rsidP="0091710B">
            <w:pPr>
              <w:spacing w:line="240" w:lineRule="auto"/>
              <w:ind w:firstLine="0"/>
              <w:rPr>
                <w:sz w:val="16"/>
                <w:szCs w:val="16"/>
              </w:rPr>
            </w:pPr>
            <w:r w:rsidRPr="00265C60">
              <w:rPr>
                <w:sz w:val="16"/>
                <w:szCs w:val="16"/>
              </w:rPr>
              <w:t>Доходов в виде дивидендов по акциям, принадлежащим Российской Федерации</w:t>
            </w:r>
          </w:p>
        </w:tc>
        <w:tc>
          <w:tcPr>
            <w:tcW w:w="1391"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1,1</w:t>
            </w:r>
          </w:p>
        </w:tc>
        <w:tc>
          <w:tcPr>
            <w:tcW w:w="1080"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1,1</w:t>
            </w:r>
          </w:p>
        </w:tc>
        <w:tc>
          <w:tcPr>
            <w:tcW w:w="1330"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0,8</w:t>
            </w:r>
          </w:p>
        </w:tc>
        <w:tc>
          <w:tcPr>
            <w:tcW w:w="1275"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0,8</w:t>
            </w:r>
          </w:p>
        </w:tc>
        <w:tc>
          <w:tcPr>
            <w:tcW w:w="1276"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0,9</w:t>
            </w:r>
          </w:p>
        </w:tc>
      </w:tr>
      <w:tr w:rsidR="0091710B" w:rsidRPr="00265C60" w:rsidTr="0091710B">
        <w:trPr>
          <w:trHeight w:val="50"/>
        </w:trPr>
        <w:tc>
          <w:tcPr>
            <w:tcW w:w="3701" w:type="dxa"/>
            <w:shd w:val="clear" w:color="auto" w:fill="auto"/>
            <w:vAlign w:val="center"/>
            <w:hideMark/>
          </w:tcPr>
          <w:p w:rsidR="0091710B" w:rsidRPr="00265C60" w:rsidRDefault="0091710B" w:rsidP="0091710B">
            <w:pPr>
              <w:spacing w:line="240" w:lineRule="auto"/>
              <w:ind w:firstLine="0"/>
              <w:rPr>
                <w:sz w:val="16"/>
                <w:szCs w:val="16"/>
              </w:rPr>
            </w:pPr>
            <w:r w:rsidRPr="00265C60">
              <w:rPr>
                <w:sz w:val="16"/>
                <w:szCs w:val="16"/>
              </w:rPr>
              <w:t>Доходы от управления средствами Фонда национального благосостояния</w:t>
            </w:r>
          </w:p>
        </w:tc>
        <w:tc>
          <w:tcPr>
            <w:tcW w:w="1391"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1,3</w:t>
            </w:r>
          </w:p>
        </w:tc>
        <w:tc>
          <w:tcPr>
            <w:tcW w:w="108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1,5</w:t>
            </w:r>
          </w:p>
        </w:tc>
        <w:tc>
          <w:tcPr>
            <w:tcW w:w="133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1,5</w:t>
            </w:r>
          </w:p>
        </w:tc>
        <w:tc>
          <w:tcPr>
            <w:tcW w:w="1275"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1,3</w:t>
            </w:r>
          </w:p>
        </w:tc>
        <w:tc>
          <w:tcPr>
            <w:tcW w:w="1276"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1,3</w:t>
            </w:r>
          </w:p>
        </w:tc>
      </w:tr>
      <w:tr w:rsidR="0091710B" w:rsidRPr="00265C60" w:rsidTr="0091710B">
        <w:trPr>
          <w:trHeight w:val="50"/>
        </w:trPr>
        <w:tc>
          <w:tcPr>
            <w:tcW w:w="3701" w:type="dxa"/>
            <w:shd w:val="clear" w:color="auto" w:fill="auto"/>
            <w:vAlign w:val="center"/>
            <w:hideMark/>
          </w:tcPr>
          <w:p w:rsidR="0091710B" w:rsidRPr="00265C60" w:rsidRDefault="0091710B" w:rsidP="0091710B">
            <w:pPr>
              <w:spacing w:line="240" w:lineRule="auto"/>
              <w:ind w:firstLine="0"/>
              <w:rPr>
                <w:sz w:val="16"/>
                <w:szCs w:val="16"/>
              </w:rPr>
            </w:pPr>
            <w:r w:rsidRPr="00265C60">
              <w:rPr>
                <w:sz w:val="16"/>
                <w:szCs w:val="16"/>
              </w:rPr>
              <w:t>Доходы от операций по управлению остатками средств на едином казначейском счете, зачисляемые в федеральный бюджет</w:t>
            </w:r>
          </w:p>
        </w:tc>
        <w:tc>
          <w:tcPr>
            <w:tcW w:w="1391"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3,6</w:t>
            </w:r>
          </w:p>
        </w:tc>
        <w:tc>
          <w:tcPr>
            <w:tcW w:w="108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3,0</w:t>
            </w:r>
          </w:p>
        </w:tc>
        <w:tc>
          <w:tcPr>
            <w:tcW w:w="133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1,7</w:t>
            </w:r>
          </w:p>
        </w:tc>
        <w:tc>
          <w:tcPr>
            <w:tcW w:w="1275"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1,0</w:t>
            </w:r>
          </w:p>
        </w:tc>
        <w:tc>
          <w:tcPr>
            <w:tcW w:w="1276"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0,9</w:t>
            </w:r>
          </w:p>
        </w:tc>
      </w:tr>
      <w:tr w:rsidR="0091710B" w:rsidRPr="00265C60" w:rsidTr="0091710B">
        <w:trPr>
          <w:trHeight w:val="50"/>
        </w:trPr>
        <w:tc>
          <w:tcPr>
            <w:tcW w:w="3701" w:type="dxa"/>
            <w:shd w:val="clear" w:color="auto" w:fill="auto"/>
            <w:vAlign w:val="center"/>
          </w:tcPr>
          <w:p w:rsidR="0091710B" w:rsidRPr="00265C60" w:rsidRDefault="0091710B" w:rsidP="0091710B">
            <w:pPr>
              <w:spacing w:line="240" w:lineRule="auto"/>
              <w:ind w:firstLine="0"/>
              <w:rPr>
                <w:sz w:val="16"/>
                <w:szCs w:val="16"/>
              </w:rPr>
            </w:pPr>
            <w:r w:rsidRPr="00265C60">
              <w:rPr>
                <w:sz w:val="16"/>
                <w:szCs w:val="16"/>
              </w:rPr>
              <w:t>Доходы от перечисления части прибыли Центрального банка Российской Федерации</w:t>
            </w:r>
          </w:p>
        </w:tc>
        <w:tc>
          <w:tcPr>
            <w:tcW w:w="1391"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0,4</w:t>
            </w:r>
          </w:p>
        </w:tc>
        <w:tc>
          <w:tcPr>
            <w:tcW w:w="1080"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0,4</w:t>
            </w:r>
          </w:p>
        </w:tc>
        <w:tc>
          <w:tcPr>
            <w:tcW w:w="1330"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w:t>
            </w:r>
          </w:p>
        </w:tc>
        <w:tc>
          <w:tcPr>
            <w:tcW w:w="1275"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0,5</w:t>
            </w:r>
          </w:p>
        </w:tc>
        <w:tc>
          <w:tcPr>
            <w:tcW w:w="1276"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0,5</w:t>
            </w:r>
          </w:p>
        </w:tc>
      </w:tr>
      <w:tr w:rsidR="0091710B" w:rsidRPr="00265C60" w:rsidTr="0091710B">
        <w:trPr>
          <w:trHeight w:val="50"/>
        </w:trPr>
        <w:tc>
          <w:tcPr>
            <w:tcW w:w="3701" w:type="dxa"/>
            <w:shd w:val="clear" w:color="auto" w:fill="auto"/>
            <w:vAlign w:val="center"/>
            <w:hideMark/>
          </w:tcPr>
          <w:p w:rsidR="0091710B" w:rsidRPr="00265C60" w:rsidRDefault="0091710B" w:rsidP="0091710B">
            <w:pPr>
              <w:spacing w:line="240" w:lineRule="auto"/>
              <w:ind w:firstLine="0"/>
              <w:rPr>
                <w:sz w:val="16"/>
                <w:szCs w:val="16"/>
              </w:rPr>
            </w:pPr>
            <w:r w:rsidRPr="00265C60">
              <w:rPr>
                <w:sz w:val="16"/>
                <w:szCs w:val="16"/>
              </w:rPr>
              <w:t>Платежи при пользовании природными ресурсами</w:t>
            </w:r>
          </w:p>
        </w:tc>
        <w:tc>
          <w:tcPr>
            <w:tcW w:w="1391"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4,5</w:t>
            </w:r>
          </w:p>
        </w:tc>
        <w:tc>
          <w:tcPr>
            <w:tcW w:w="108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3,6</w:t>
            </w:r>
          </w:p>
        </w:tc>
        <w:tc>
          <w:tcPr>
            <w:tcW w:w="133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4,6</w:t>
            </w:r>
          </w:p>
        </w:tc>
        <w:tc>
          <w:tcPr>
            <w:tcW w:w="1275"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5,1</w:t>
            </w:r>
          </w:p>
        </w:tc>
        <w:tc>
          <w:tcPr>
            <w:tcW w:w="1276"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5,5</w:t>
            </w:r>
          </w:p>
        </w:tc>
      </w:tr>
      <w:tr w:rsidR="0091710B" w:rsidRPr="00265C60" w:rsidTr="0091710B">
        <w:trPr>
          <w:trHeight w:val="50"/>
        </w:trPr>
        <w:tc>
          <w:tcPr>
            <w:tcW w:w="3701" w:type="dxa"/>
            <w:shd w:val="clear" w:color="auto" w:fill="auto"/>
            <w:vAlign w:val="center"/>
            <w:hideMark/>
          </w:tcPr>
          <w:p w:rsidR="0091710B" w:rsidRPr="00265C60" w:rsidRDefault="0091710B" w:rsidP="0091710B">
            <w:pPr>
              <w:spacing w:line="240" w:lineRule="auto"/>
              <w:ind w:firstLine="0"/>
              <w:rPr>
                <w:sz w:val="16"/>
                <w:szCs w:val="16"/>
              </w:rPr>
            </w:pPr>
            <w:r w:rsidRPr="00265C60">
              <w:rPr>
                <w:sz w:val="16"/>
                <w:szCs w:val="16"/>
              </w:rPr>
              <w:t>Штрафы, санкции, возмещение ущерба</w:t>
            </w:r>
          </w:p>
        </w:tc>
        <w:tc>
          <w:tcPr>
            <w:tcW w:w="1391"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0,7</w:t>
            </w:r>
          </w:p>
        </w:tc>
        <w:tc>
          <w:tcPr>
            <w:tcW w:w="108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0,9</w:t>
            </w:r>
          </w:p>
        </w:tc>
        <w:tc>
          <w:tcPr>
            <w:tcW w:w="133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0,7</w:t>
            </w:r>
          </w:p>
        </w:tc>
        <w:tc>
          <w:tcPr>
            <w:tcW w:w="1275"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0,7</w:t>
            </w:r>
          </w:p>
        </w:tc>
        <w:tc>
          <w:tcPr>
            <w:tcW w:w="1276"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0,7</w:t>
            </w:r>
          </w:p>
        </w:tc>
      </w:tr>
      <w:tr w:rsidR="0091710B" w:rsidRPr="00265C60" w:rsidTr="0091710B">
        <w:trPr>
          <w:trHeight w:val="50"/>
        </w:trPr>
        <w:tc>
          <w:tcPr>
            <w:tcW w:w="3701" w:type="dxa"/>
            <w:shd w:val="clear" w:color="auto" w:fill="auto"/>
            <w:vAlign w:val="center"/>
            <w:hideMark/>
          </w:tcPr>
          <w:p w:rsidR="0091710B" w:rsidRPr="00265C60" w:rsidRDefault="0091710B" w:rsidP="0091710B">
            <w:pPr>
              <w:spacing w:line="240" w:lineRule="auto"/>
              <w:ind w:firstLine="0"/>
              <w:rPr>
                <w:sz w:val="16"/>
                <w:szCs w:val="16"/>
              </w:rPr>
            </w:pPr>
            <w:r w:rsidRPr="00265C60">
              <w:rPr>
                <w:sz w:val="16"/>
                <w:szCs w:val="16"/>
              </w:rPr>
              <w:t xml:space="preserve">Прочие доходы </w:t>
            </w:r>
          </w:p>
        </w:tc>
        <w:tc>
          <w:tcPr>
            <w:tcW w:w="1391" w:type="dxa"/>
            <w:shd w:val="clear" w:color="auto" w:fill="auto"/>
            <w:vAlign w:val="center"/>
          </w:tcPr>
          <w:p w:rsidR="0091710B" w:rsidRPr="00265C60" w:rsidRDefault="0091710B" w:rsidP="0091710B">
            <w:pPr>
              <w:spacing w:line="240" w:lineRule="auto"/>
              <w:ind w:firstLine="0"/>
              <w:jc w:val="center"/>
              <w:rPr>
                <w:sz w:val="16"/>
                <w:szCs w:val="16"/>
              </w:rPr>
            </w:pPr>
            <w:r w:rsidRPr="00265C60">
              <w:rPr>
                <w:sz w:val="16"/>
                <w:szCs w:val="16"/>
              </w:rPr>
              <w:t>0,0</w:t>
            </w:r>
          </w:p>
        </w:tc>
        <w:tc>
          <w:tcPr>
            <w:tcW w:w="108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5,9</w:t>
            </w:r>
          </w:p>
        </w:tc>
        <w:tc>
          <w:tcPr>
            <w:tcW w:w="1330"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0,6</w:t>
            </w:r>
          </w:p>
        </w:tc>
        <w:tc>
          <w:tcPr>
            <w:tcW w:w="1275"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0,7</w:t>
            </w:r>
          </w:p>
        </w:tc>
        <w:tc>
          <w:tcPr>
            <w:tcW w:w="1276" w:type="dxa"/>
            <w:shd w:val="clear" w:color="auto" w:fill="auto"/>
            <w:vAlign w:val="center"/>
            <w:hideMark/>
          </w:tcPr>
          <w:p w:rsidR="0091710B" w:rsidRPr="00265C60" w:rsidRDefault="0091710B" w:rsidP="0091710B">
            <w:pPr>
              <w:spacing w:line="240" w:lineRule="auto"/>
              <w:ind w:firstLine="0"/>
              <w:jc w:val="center"/>
              <w:rPr>
                <w:sz w:val="16"/>
                <w:szCs w:val="16"/>
              </w:rPr>
            </w:pPr>
            <w:r w:rsidRPr="00265C60">
              <w:rPr>
                <w:sz w:val="16"/>
                <w:szCs w:val="16"/>
              </w:rPr>
              <w:t>0,4</w:t>
            </w:r>
          </w:p>
        </w:tc>
      </w:tr>
    </w:tbl>
    <w:p w:rsidR="0091710B" w:rsidRPr="00265C60" w:rsidRDefault="0091710B" w:rsidP="0091710B">
      <w:pPr>
        <w:widowControl w:val="0"/>
        <w:autoSpaceDE w:val="0"/>
        <w:autoSpaceDN w:val="0"/>
        <w:adjustRightInd w:val="0"/>
        <w:spacing w:line="240" w:lineRule="auto"/>
        <w:ind w:firstLine="0"/>
        <w:rPr>
          <w:sz w:val="16"/>
          <w:szCs w:val="16"/>
        </w:rPr>
      </w:pPr>
    </w:p>
    <w:p w:rsidR="0091710B" w:rsidRPr="00265C60" w:rsidRDefault="0091710B" w:rsidP="0091710B">
      <w:r w:rsidRPr="00265C60">
        <w:t>Основную долю доходов федерального бюджета в 2026, 2027 и 2028 годах будут составлять доходы от уплаты налога на добавленную стоимость (43,5 %, 45 % и 45,2 % соответственно), налога на добычу полезных ископаемых (далее – НДПИ) (24,3 %, 23 % и 22,9 % соответственно), налога на прибыль организаций (10 %, 10,2 % и 10,4 % соответственно), акцизы (без учета нефтегазовых доходов) (4,2 %, 4 % и 3,7 % соответственно).</w:t>
      </w:r>
    </w:p>
    <w:p w:rsidR="0091710B" w:rsidRPr="00265C60" w:rsidRDefault="003F0603" w:rsidP="0091710B">
      <w:pPr>
        <w:overflowPunct w:val="0"/>
        <w:autoSpaceDE w:val="0"/>
        <w:autoSpaceDN w:val="0"/>
        <w:adjustRightInd w:val="0"/>
        <w:textAlignment w:val="baseline"/>
      </w:pPr>
      <w:r w:rsidRPr="00265C60">
        <w:rPr>
          <w:b/>
        </w:rPr>
        <w:t>3.2.</w:t>
      </w:r>
      <w:r w:rsidR="0091710B" w:rsidRPr="00265C60">
        <w:rPr>
          <w:b/>
        </w:rPr>
        <w:t>8</w:t>
      </w:r>
      <w:r w:rsidR="00E258F5" w:rsidRPr="00265C60">
        <w:rPr>
          <w:b/>
        </w:rPr>
        <w:t>.</w:t>
      </w:r>
      <w:r w:rsidR="00E258F5" w:rsidRPr="00265C60">
        <w:t xml:space="preserve"> </w:t>
      </w:r>
      <w:r w:rsidR="0091710B" w:rsidRPr="00265C60">
        <w:t xml:space="preserve">При расчете прогнозируемого объема доходов федерального бюджета на 2026 год и на плановый период 2027 и 2028 годов учитывался прогноз, представленный Министерством экономического развития Российской Федерации, а также </w:t>
      </w:r>
      <w:r w:rsidR="0091710B" w:rsidRPr="00265C60">
        <w:rPr>
          <w:b/>
        </w:rPr>
        <w:t xml:space="preserve">изменения законодательства </w:t>
      </w:r>
      <w:r w:rsidR="0091710B" w:rsidRPr="00265C60">
        <w:t>Российской Федерации и нормативных правовых актов Правительства Российской Федерации, оказавшие влияние на доходы, принятые и проектируемые к</w:t>
      </w:r>
      <w:r w:rsidR="008F2572">
        <w:t> </w:t>
      </w:r>
      <w:r w:rsidR="0091710B" w:rsidRPr="00265C60">
        <w:t>введению в действие с 1 января 2026 года и представленные в приложении № 2 «Оценка изменений доходов федерального бюджета в связи с изменениями законодательства Российской Федерации и нормативных актов Правительства Российской Федерации» к</w:t>
      </w:r>
      <w:r w:rsidR="008F2572">
        <w:t> </w:t>
      </w:r>
      <w:r w:rsidR="0091710B" w:rsidRPr="00265C60">
        <w:t xml:space="preserve">пояснительной записке к </w:t>
      </w:r>
      <w:r w:rsidR="008B075D">
        <w:t>законопроекту</w:t>
      </w:r>
      <w:r w:rsidR="0091710B" w:rsidRPr="00265C60">
        <w:t xml:space="preserve"> (далее – приложение № 2 к пояснительной записке к законопроекту).</w:t>
      </w:r>
    </w:p>
    <w:p w:rsidR="0091710B" w:rsidRPr="00265C60" w:rsidRDefault="0091710B" w:rsidP="0091710B">
      <w:pPr>
        <w:overflowPunct w:val="0"/>
        <w:autoSpaceDE w:val="0"/>
        <w:autoSpaceDN w:val="0"/>
        <w:adjustRightInd w:val="0"/>
        <w:spacing w:line="336" w:lineRule="auto"/>
        <w:textAlignment w:val="baseline"/>
        <w:rPr>
          <w:bCs/>
        </w:rPr>
      </w:pPr>
      <w:r w:rsidRPr="00265C60">
        <w:rPr>
          <w:b/>
        </w:rPr>
        <w:t xml:space="preserve">3.2.8.1. Совокупный эффект указанных </w:t>
      </w:r>
      <w:r w:rsidRPr="00265C60">
        <w:rPr>
          <w:b/>
          <w:bCs/>
        </w:rPr>
        <w:t>изменений</w:t>
      </w:r>
      <w:r w:rsidRPr="00265C60">
        <w:rPr>
          <w:bCs/>
        </w:rPr>
        <w:t xml:space="preserve"> законодательства Российской Федерации и нормативных правовых актов Правительства Российской Федерации составит: </w:t>
      </w:r>
      <w:r w:rsidRPr="00265C60">
        <w:rPr>
          <w:b/>
          <w:bCs/>
        </w:rPr>
        <w:t xml:space="preserve">в 2026 году – 1 782,3 млрд рублей </w:t>
      </w:r>
      <w:r w:rsidRPr="00265C60">
        <w:rPr>
          <w:bCs/>
        </w:rPr>
        <w:t>(0,8 % ВВП)</w:t>
      </w:r>
      <w:r w:rsidRPr="00265C60">
        <w:rPr>
          <w:b/>
          <w:bCs/>
        </w:rPr>
        <w:t xml:space="preserve">, в 2027 году – 2 683,8 млрд рублей </w:t>
      </w:r>
      <w:r w:rsidRPr="00265C60">
        <w:rPr>
          <w:bCs/>
        </w:rPr>
        <w:t>(1,1 % ВВП)</w:t>
      </w:r>
      <w:r w:rsidRPr="00265C60">
        <w:rPr>
          <w:b/>
          <w:bCs/>
        </w:rPr>
        <w:t xml:space="preserve">, в 2028 году – 3 082,3 млрд рублей </w:t>
      </w:r>
      <w:r w:rsidRPr="00265C60">
        <w:rPr>
          <w:bCs/>
        </w:rPr>
        <w:t>(1,1 % ВВП).</w:t>
      </w:r>
    </w:p>
    <w:p w:rsidR="0091710B" w:rsidRPr="00265C60" w:rsidRDefault="0091710B" w:rsidP="0091710B">
      <w:pPr>
        <w:rPr>
          <w:rFonts w:eastAsia="Calibri"/>
          <w:lang w:eastAsia="en-US"/>
        </w:rPr>
      </w:pPr>
      <w:r w:rsidRPr="00265C60">
        <w:rPr>
          <w:rFonts w:eastAsia="Calibri"/>
          <w:lang w:eastAsia="en-US"/>
        </w:rPr>
        <w:t xml:space="preserve">Основные </w:t>
      </w:r>
      <w:r w:rsidRPr="00265C60">
        <w:rPr>
          <w:rFonts w:eastAsia="Calibri"/>
          <w:b/>
          <w:lang w:eastAsia="en-US"/>
        </w:rPr>
        <w:t>изменения доходов</w:t>
      </w:r>
      <w:r w:rsidRPr="00265C60">
        <w:rPr>
          <w:rFonts w:eastAsia="Calibri"/>
          <w:lang w:eastAsia="en-US"/>
        </w:rPr>
        <w:t xml:space="preserve"> сформированы в части:</w:t>
      </w:r>
    </w:p>
    <w:p w:rsidR="0091710B" w:rsidRPr="00265C60" w:rsidRDefault="0091710B" w:rsidP="0091710B">
      <w:pPr>
        <w:rPr>
          <w:rFonts w:eastAsia="Calibri"/>
          <w:lang w:eastAsia="en-US"/>
        </w:rPr>
      </w:pPr>
      <w:r w:rsidRPr="00265C60">
        <w:rPr>
          <w:rFonts w:eastAsia="Calibri"/>
          <w:lang w:eastAsia="en-US"/>
        </w:rPr>
        <w:t xml:space="preserve">повышения с 1 января 2026 года ставки </w:t>
      </w:r>
      <w:r w:rsidRPr="00265C60">
        <w:rPr>
          <w:rFonts w:eastAsia="Calibri"/>
          <w:b/>
          <w:lang w:eastAsia="en-US"/>
        </w:rPr>
        <w:t xml:space="preserve">налога на добавленную стоимость </w:t>
      </w:r>
      <w:r w:rsidRPr="00265C60">
        <w:rPr>
          <w:rFonts w:eastAsia="Calibri"/>
          <w:lang w:eastAsia="en-US"/>
        </w:rPr>
        <w:t xml:space="preserve">на 2 процентных пункта, за исключением товаров, облагаемых по льготным ставкам (пункт 1.2.2.1 приложения № 2 к пояснительной записке к законопроекту), в объеме </w:t>
      </w:r>
      <w:r w:rsidRPr="00265C60">
        <w:rPr>
          <w:rFonts w:eastAsia="Calibri"/>
          <w:b/>
          <w:lang w:eastAsia="en-US"/>
        </w:rPr>
        <w:t>1 186,7 млрд рублей в 2026 году,</w:t>
      </w:r>
      <w:r w:rsidRPr="00265C60">
        <w:rPr>
          <w:rFonts w:eastAsia="Calibri"/>
          <w:lang w:eastAsia="en-US"/>
        </w:rPr>
        <w:t xml:space="preserve"> 1 559,5 млрд рублей в 2027 году, 1 676,8 млрд рублей в</w:t>
      </w:r>
      <w:r w:rsidR="008F2572">
        <w:rPr>
          <w:rFonts w:eastAsia="Calibri"/>
          <w:lang w:eastAsia="en-US"/>
        </w:rPr>
        <w:t> </w:t>
      </w:r>
      <w:r w:rsidRPr="00265C60">
        <w:rPr>
          <w:rFonts w:eastAsia="Calibri"/>
          <w:lang w:eastAsia="en-US"/>
        </w:rPr>
        <w:t>2028 году;</w:t>
      </w:r>
    </w:p>
    <w:p w:rsidR="0091710B" w:rsidRPr="00265C60" w:rsidRDefault="0091710B" w:rsidP="0091710B">
      <w:pPr>
        <w:rPr>
          <w:rFonts w:eastAsia="Calibri"/>
          <w:lang w:eastAsia="en-US"/>
        </w:rPr>
      </w:pPr>
      <w:r w:rsidRPr="00265C60">
        <w:rPr>
          <w:rFonts w:eastAsia="Calibri"/>
          <w:lang w:eastAsia="en-US"/>
        </w:rPr>
        <w:t>проектируемого продления на 2027 и 2028 годы применения ценовых</w:t>
      </w:r>
      <w:r w:rsidR="008B075D">
        <w:rPr>
          <w:rFonts w:eastAsia="Calibri"/>
          <w:lang w:eastAsia="en-US"/>
        </w:rPr>
        <w:t xml:space="preserve"> </w:t>
      </w:r>
      <w:r w:rsidRPr="00265C60">
        <w:rPr>
          <w:rFonts w:eastAsia="Calibri"/>
          <w:lang w:eastAsia="en-US"/>
        </w:rPr>
        <w:t xml:space="preserve">дифференциалов на произведенный на территории Российской Федерации автомобильный бензин АИ-92 и дизельное топливо класса 5 (коэффициент Вспр) в части расчета </w:t>
      </w:r>
      <w:r w:rsidRPr="00265C60">
        <w:rPr>
          <w:rFonts w:eastAsia="Calibri"/>
          <w:b/>
          <w:lang w:eastAsia="en-US"/>
        </w:rPr>
        <w:t>налога на</w:t>
      </w:r>
      <w:r w:rsidR="007A5917">
        <w:rPr>
          <w:rFonts w:eastAsia="Calibri"/>
          <w:b/>
          <w:lang w:eastAsia="en-US"/>
        </w:rPr>
        <w:t> </w:t>
      </w:r>
      <w:r w:rsidRPr="00265C60">
        <w:rPr>
          <w:rFonts w:eastAsia="Calibri"/>
          <w:b/>
          <w:lang w:eastAsia="en-US"/>
        </w:rPr>
        <w:t xml:space="preserve">добычу полезных ископаемых на нефть </w:t>
      </w:r>
      <w:r w:rsidRPr="00265C60">
        <w:rPr>
          <w:rFonts w:eastAsia="Calibri"/>
          <w:lang w:eastAsia="en-US"/>
        </w:rPr>
        <w:t>(пункт 1.1.2) в объеме 422,8 млрд рублей в</w:t>
      </w:r>
      <w:r w:rsidR="007A5917">
        <w:rPr>
          <w:rFonts w:eastAsia="Calibri"/>
          <w:lang w:eastAsia="en-US"/>
        </w:rPr>
        <w:t> </w:t>
      </w:r>
      <w:r w:rsidRPr="00265C60">
        <w:rPr>
          <w:rFonts w:eastAsia="Calibri"/>
          <w:lang w:eastAsia="en-US"/>
        </w:rPr>
        <w:t>2027 году, 493,1 млрд рублей в 2028 году;</w:t>
      </w:r>
    </w:p>
    <w:p w:rsidR="0091710B" w:rsidRPr="00265C60" w:rsidRDefault="0091710B" w:rsidP="0091710B">
      <w:pPr>
        <w:rPr>
          <w:rFonts w:eastAsia="Calibri"/>
          <w:lang w:eastAsia="en-US"/>
        </w:rPr>
      </w:pPr>
      <w:r w:rsidRPr="00265C60">
        <w:rPr>
          <w:rFonts w:eastAsia="Calibri"/>
          <w:lang w:eastAsia="en-US"/>
        </w:rPr>
        <w:t xml:space="preserve">снижения порога по выручке для плательщиков упрощенной системы налогообложения (УСН) с 60 млн рублей до 10 млн рублей, при котором возникает обязанность уплачивать </w:t>
      </w:r>
      <w:r w:rsidRPr="00265C60">
        <w:rPr>
          <w:rFonts w:eastAsia="Calibri"/>
          <w:b/>
          <w:lang w:eastAsia="en-US"/>
        </w:rPr>
        <w:t xml:space="preserve">налог на добавленную стоимость </w:t>
      </w:r>
      <w:r w:rsidRPr="00265C60">
        <w:rPr>
          <w:rFonts w:eastAsia="Calibri"/>
          <w:lang w:eastAsia="en-US"/>
        </w:rPr>
        <w:t>(пункт 1.2.2.2)</w:t>
      </w:r>
      <w:r w:rsidRPr="00977AAF">
        <w:rPr>
          <w:rFonts w:eastAsia="Calibri"/>
          <w:lang w:eastAsia="en-US"/>
        </w:rPr>
        <w:t>,</w:t>
      </w:r>
      <w:r w:rsidRPr="00265C60">
        <w:rPr>
          <w:rFonts w:eastAsia="Calibri"/>
          <w:lang w:eastAsia="en-US"/>
        </w:rPr>
        <w:t xml:space="preserve"> в объеме </w:t>
      </w:r>
      <w:r w:rsidRPr="00265C60">
        <w:rPr>
          <w:rFonts w:eastAsia="Calibri"/>
          <w:b/>
          <w:lang w:eastAsia="en-US"/>
        </w:rPr>
        <w:t>200,0 млрд рублей ежегодно в 2026</w:t>
      </w:r>
      <w:r w:rsidR="00D07A8B">
        <w:rPr>
          <w:rFonts w:eastAsia="Calibri"/>
          <w:lang w:eastAsia="en-US"/>
        </w:rPr>
        <w:t>–</w:t>
      </w:r>
      <w:r w:rsidRPr="00265C60">
        <w:rPr>
          <w:rFonts w:eastAsia="Calibri"/>
          <w:lang w:eastAsia="en-US"/>
        </w:rPr>
        <w:t>2028 годах;</w:t>
      </w:r>
    </w:p>
    <w:p w:rsidR="0091710B" w:rsidRPr="00265C60" w:rsidRDefault="0091710B" w:rsidP="0091710B">
      <w:pPr>
        <w:rPr>
          <w:rFonts w:eastAsia="Calibri"/>
          <w:lang w:eastAsia="en-US"/>
        </w:rPr>
      </w:pPr>
      <w:r w:rsidRPr="00265C60">
        <w:rPr>
          <w:rFonts w:eastAsia="Calibri"/>
          <w:lang w:eastAsia="en-US"/>
        </w:rPr>
        <w:t xml:space="preserve">проектируемого установления условных значений средних оптовых цен реализации моторного топлива на 2028 год, используемых при расчете демпфирующей компоненты </w:t>
      </w:r>
      <w:r w:rsidRPr="00265C60">
        <w:rPr>
          <w:rFonts w:eastAsia="Calibri"/>
          <w:b/>
          <w:lang w:eastAsia="en-US"/>
        </w:rPr>
        <w:t>акциза на нефтяное сырье, направленное на переработку</w:t>
      </w:r>
      <w:r w:rsidRPr="00265C60">
        <w:rPr>
          <w:rFonts w:eastAsia="Calibri"/>
          <w:lang w:eastAsia="en-US"/>
        </w:rPr>
        <w:t xml:space="preserve"> (пункт 1.1.3) в объеме 115,9 млрд рублей в 2028 году;</w:t>
      </w:r>
    </w:p>
    <w:p w:rsidR="0091710B" w:rsidRPr="00265C60" w:rsidRDefault="0091710B" w:rsidP="0091710B">
      <w:pPr>
        <w:rPr>
          <w:rFonts w:eastAsia="Calibri"/>
          <w:lang w:eastAsia="en-US"/>
        </w:rPr>
      </w:pPr>
      <w:r w:rsidRPr="00265C60">
        <w:rPr>
          <w:rFonts w:eastAsia="Calibri"/>
          <w:lang w:eastAsia="en-US"/>
        </w:rPr>
        <w:t xml:space="preserve">повышения ставок </w:t>
      </w:r>
      <w:r w:rsidRPr="00265C60">
        <w:rPr>
          <w:rFonts w:eastAsia="Calibri"/>
          <w:b/>
          <w:lang w:eastAsia="en-US"/>
        </w:rPr>
        <w:t>налога на игорный бизнес для тотализаторов и букмекеров</w:t>
      </w:r>
      <w:r w:rsidRPr="00265C60">
        <w:rPr>
          <w:rFonts w:eastAsia="Calibri"/>
          <w:lang w:eastAsia="en-US"/>
        </w:rPr>
        <w:t xml:space="preserve"> и зачисления налога на игорный бизнес в федеральный бюджет (пункт 1.2.4.1) в объеме </w:t>
      </w:r>
      <w:r w:rsidRPr="00265C60">
        <w:rPr>
          <w:rFonts w:eastAsia="Calibri"/>
          <w:b/>
          <w:lang w:eastAsia="en-US"/>
        </w:rPr>
        <w:t>74,2 млрд рублей в 2026 году,</w:t>
      </w:r>
      <w:r w:rsidRPr="00265C60">
        <w:rPr>
          <w:rFonts w:eastAsia="Calibri"/>
          <w:lang w:eastAsia="en-US"/>
        </w:rPr>
        <w:t xml:space="preserve"> 101,9 млрд рублей в 2027 году и 105,9 млрд рублей в</w:t>
      </w:r>
      <w:r w:rsidR="007A5917">
        <w:rPr>
          <w:rFonts w:eastAsia="Calibri"/>
          <w:lang w:eastAsia="en-US"/>
        </w:rPr>
        <w:t> </w:t>
      </w:r>
      <w:r w:rsidRPr="00265C60">
        <w:rPr>
          <w:rFonts w:eastAsia="Calibri"/>
          <w:lang w:eastAsia="en-US"/>
        </w:rPr>
        <w:t>2028 году;</w:t>
      </w:r>
    </w:p>
    <w:p w:rsidR="0091710B" w:rsidRPr="00265C60" w:rsidRDefault="0091710B" w:rsidP="0091710B">
      <w:pPr>
        <w:rPr>
          <w:rFonts w:eastAsia="Calibri"/>
          <w:lang w:eastAsia="en-US"/>
        </w:rPr>
      </w:pPr>
      <w:r w:rsidRPr="00265C60">
        <w:rPr>
          <w:rFonts w:eastAsia="Calibri"/>
          <w:lang w:eastAsia="en-US"/>
        </w:rPr>
        <w:t xml:space="preserve">продления действия повышенных ставок </w:t>
      </w:r>
      <w:r w:rsidRPr="00265C60">
        <w:rPr>
          <w:rFonts w:eastAsia="Calibri"/>
          <w:b/>
          <w:lang w:eastAsia="en-US"/>
        </w:rPr>
        <w:t>ввозных таможенных пошлин</w:t>
      </w:r>
      <w:r w:rsidRPr="00265C60">
        <w:rPr>
          <w:rFonts w:eastAsia="Calibri"/>
          <w:lang w:eastAsia="en-US"/>
        </w:rPr>
        <w:t xml:space="preserve"> на товары из недружественных стран в соответствии с постановлением Правительства Российской Федерации от 7 декабря 2022 г. № 2240 (пункт 1.2.11.2) в объеме </w:t>
      </w:r>
      <w:r w:rsidRPr="00265C60">
        <w:rPr>
          <w:rFonts w:eastAsia="Calibri"/>
          <w:b/>
          <w:lang w:eastAsia="en-US"/>
        </w:rPr>
        <w:t>71,9 млрд рублей в</w:t>
      </w:r>
      <w:r w:rsidR="007A5917">
        <w:rPr>
          <w:rFonts w:eastAsia="Calibri"/>
          <w:b/>
          <w:lang w:eastAsia="en-US"/>
        </w:rPr>
        <w:t> </w:t>
      </w:r>
      <w:r w:rsidRPr="00265C60">
        <w:rPr>
          <w:rFonts w:eastAsia="Calibri"/>
          <w:b/>
          <w:lang w:eastAsia="en-US"/>
        </w:rPr>
        <w:t>2026 году,</w:t>
      </w:r>
      <w:r w:rsidRPr="00265C60">
        <w:rPr>
          <w:rFonts w:eastAsia="Calibri"/>
          <w:lang w:eastAsia="en-US"/>
        </w:rPr>
        <w:t xml:space="preserve"> 67,0 млрд рублей в 2027 году и 62,1 млрд рублей в 2028 году;</w:t>
      </w:r>
    </w:p>
    <w:p w:rsidR="0091710B" w:rsidRPr="00265C60" w:rsidRDefault="0091710B" w:rsidP="0091710B">
      <w:pPr>
        <w:rPr>
          <w:rFonts w:eastAsia="Calibri"/>
          <w:lang w:eastAsia="en-US"/>
        </w:rPr>
      </w:pPr>
      <w:r w:rsidRPr="00265C60">
        <w:rPr>
          <w:rFonts w:eastAsia="Calibri"/>
          <w:lang w:eastAsia="en-US"/>
        </w:rPr>
        <w:t xml:space="preserve">проектируемого дополнительного повышения ставок </w:t>
      </w:r>
      <w:r w:rsidRPr="004F31BA">
        <w:rPr>
          <w:rFonts w:eastAsia="Calibri"/>
          <w:b/>
          <w:lang w:eastAsia="en-US"/>
        </w:rPr>
        <w:t>акцизов</w:t>
      </w:r>
      <w:r w:rsidR="004F31BA">
        <w:rPr>
          <w:rFonts w:eastAsia="Calibri"/>
          <w:b/>
          <w:lang w:eastAsia="en-US"/>
        </w:rPr>
        <w:t xml:space="preserve"> </w:t>
      </w:r>
      <w:r w:rsidRPr="00265C60">
        <w:rPr>
          <w:rFonts w:eastAsia="Calibri"/>
          <w:lang w:eastAsia="en-US"/>
        </w:rPr>
        <w:t>с 1 января 2026 года на</w:t>
      </w:r>
      <w:r w:rsidR="007A5917">
        <w:rPr>
          <w:rFonts w:eastAsia="Calibri"/>
          <w:lang w:eastAsia="en-US"/>
        </w:rPr>
        <w:t> </w:t>
      </w:r>
      <w:r w:rsidRPr="00265C60">
        <w:rPr>
          <w:rFonts w:eastAsia="Calibri"/>
          <w:lang w:eastAsia="en-US"/>
        </w:rPr>
        <w:t xml:space="preserve">все виды табачной, алкогольной, спиртосодержащей продукций и сахаросодержащие напитки (пункт 1.2.3.1) в объеме </w:t>
      </w:r>
      <w:r w:rsidRPr="00265C60">
        <w:rPr>
          <w:rFonts w:eastAsia="Calibri"/>
          <w:b/>
          <w:lang w:eastAsia="en-US"/>
        </w:rPr>
        <w:t>65,7 млрд рублей в 2026 году,</w:t>
      </w:r>
      <w:r w:rsidRPr="00265C60">
        <w:rPr>
          <w:rFonts w:eastAsia="Calibri"/>
          <w:lang w:eastAsia="en-US"/>
        </w:rPr>
        <w:t xml:space="preserve"> 72,6 млрд рублей в 2027 году и 75,4 млрд рублей в 2028 году;</w:t>
      </w:r>
    </w:p>
    <w:p w:rsidR="0091710B" w:rsidRPr="00265C60" w:rsidRDefault="0091710B" w:rsidP="0091710B">
      <w:pPr>
        <w:rPr>
          <w:rFonts w:eastAsia="Calibri"/>
          <w:lang w:eastAsia="en-US"/>
        </w:rPr>
      </w:pPr>
      <w:r w:rsidRPr="00265C60">
        <w:rPr>
          <w:rFonts w:eastAsia="Calibri"/>
          <w:lang w:eastAsia="en-US"/>
        </w:rPr>
        <w:t xml:space="preserve">проектируемого установления ставок </w:t>
      </w:r>
      <w:r w:rsidRPr="00265C60">
        <w:rPr>
          <w:rFonts w:eastAsia="Calibri"/>
          <w:b/>
          <w:lang w:eastAsia="en-US"/>
        </w:rPr>
        <w:t>акцизов</w:t>
      </w:r>
      <w:r w:rsidRPr="00265C60">
        <w:rPr>
          <w:rFonts w:eastAsia="Calibri"/>
          <w:lang w:eastAsia="en-US"/>
        </w:rPr>
        <w:t xml:space="preserve"> на 2028 год с учетом прогнозируемого уровня инфляции (пункт 1.2.10.1) в объеме 72,4 млрд рублей;</w:t>
      </w:r>
    </w:p>
    <w:p w:rsidR="0091710B" w:rsidRPr="00265C60" w:rsidRDefault="0091710B" w:rsidP="0091710B">
      <w:pPr>
        <w:rPr>
          <w:rFonts w:eastAsia="Calibri"/>
          <w:lang w:eastAsia="en-US"/>
        </w:rPr>
      </w:pPr>
      <w:r w:rsidRPr="00265C60">
        <w:rPr>
          <w:rFonts w:eastAsia="Calibri"/>
          <w:lang w:eastAsia="en-US"/>
        </w:rPr>
        <w:t xml:space="preserve">введения системы подтверждения ожидания товаров в части </w:t>
      </w:r>
      <w:r w:rsidRPr="00265C60">
        <w:rPr>
          <w:rFonts w:eastAsia="Calibri"/>
          <w:b/>
          <w:lang w:eastAsia="en-US"/>
        </w:rPr>
        <w:t>НДС на товары, ввозимые</w:t>
      </w:r>
      <w:r w:rsidRPr="00265C60">
        <w:rPr>
          <w:rFonts w:eastAsia="Calibri"/>
          <w:lang w:eastAsia="en-US"/>
        </w:rPr>
        <w:t xml:space="preserve"> на территорию Российской Федерации (пункт 1.2.2.4), в объеме </w:t>
      </w:r>
      <w:r w:rsidRPr="00265C60">
        <w:rPr>
          <w:rFonts w:eastAsia="Calibri"/>
          <w:b/>
          <w:lang w:eastAsia="en-US"/>
        </w:rPr>
        <w:t>50,0 млрд рублей,</w:t>
      </w:r>
      <w:r w:rsidRPr="00265C60">
        <w:rPr>
          <w:rFonts w:eastAsia="Calibri"/>
          <w:lang w:eastAsia="en-US"/>
        </w:rPr>
        <w:t xml:space="preserve"> 100,0 млрд рублей, 150,0 млрд рублей </w:t>
      </w:r>
      <w:r w:rsidRPr="00265C60">
        <w:rPr>
          <w:rFonts w:eastAsia="Calibri"/>
          <w:b/>
          <w:lang w:eastAsia="en-US"/>
        </w:rPr>
        <w:t>в 2026</w:t>
      </w:r>
      <w:r w:rsidRPr="00265C60">
        <w:rPr>
          <w:rFonts w:eastAsia="Calibri"/>
          <w:lang w:eastAsia="en-US"/>
        </w:rPr>
        <w:t>, 2027 и 2028 годах, соответственно;</w:t>
      </w:r>
    </w:p>
    <w:p w:rsidR="0091710B" w:rsidRPr="00265C60" w:rsidRDefault="0091710B" w:rsidP="0091710B">
      <w:pPr>
        <w:rPr>
          <w:rFonts w:eastAsia="Calibri"/>
          <w:lang w:eastAsia="en-US"/>
        </w:rPr>
      </w:pPr>
      <w:r w:rsidRPr="00265C60">
        <w:rPr>
          <w:rFonts w:eastAsia="Calibri"/>
          <w:lang w:eastAsia="en-US"/>
        </w:rPr>
        <w:t xml:space="preserve">увеличения действующих и установления новых размеров </w:t>
      </w:r>
      <w:r w:rsidRPr="00265C60">
        <w:rPr>
          <w:rFonts w:eastAsia="Calibri"/>
          <w:b/>
          <w:lang w:eastAsia="en-US"/>
        </w:rPr>
        <w:t>государственной пошлины</w:t>
      </w:r>
      <w:r w:rsidRPr="00265C60">
        <w:rPr>
          <w:rFonts w:eastAsia="Calibri"/>
          <w:lang w:eastAsia="en-US"/>
        </w:rPr>
        <w:t xml:space="preserve"> за совершение действий, связанных с пребыванием иностранных граждан в</w:t>
      </w:r>
      <w:r w:rsidR="007A5917">
        <w:rPr>
          <w:rFonts w:eastAsia="Calibri"/>
          <w:lang w:eastAsia="en-US"/>
        </w:rPr>
        <w:t> </w:t>
      </w:r>
      <w:r w:rsidRPr="00265C60">
        <w:rPr>
          <w:rFonts w:eastAsia="Calibri"/>
          <w:lang w:eastAsia="en-US"/>
        </w:rPr>
        <w:t xml:space="preserve">Российской Федерации, за регистрационные действия в отношении транспортных средств, за совершение регистрационных действий в сфере оборота гражданского и служебного оружия, а также за выдачу водительского удостоверения, государственных регистрационных знаков на автомобили, свидетельства о регистрации транспортного средства, паспорта транспортного средства (пункт 1.2.7.2) в объеме </w:t>
      </w:r>
      <w:r w:rsidRPr="00265C60">
        <w:rPr>
          <w:rFonts w:eastAsia="Calibri"/>
          <w:b/>
          <w:lang w:eastAsia="en-US"/>
        </w:rPr>
        <w:t xml:space="preserve">45,2 млрд рублей ежегодно </w:t>
      </w:r>
      <w:r w:rsidRPr="00265C60">
        <w:rPr>
          <w:rFonts w:eastAsia="Calibri"/>
          <w:b/>
          <w:lang w:eastAsia="en-US"/>
        </w:rPr>
        <w:br/>
        <w:t>в 2026</w:t>
      </w:r>
      <w:r w:rsidR="007A5917">
        <w:rPr>
          <w:rFonts w:eastAsia="Calibri"/>
          <w:lang w:eastAsia="en-US"/>
        </w:rPr>
        <w:t>–</w:t>
      </w:r>
      <w:r w:rsidRPr="00265C60">
        <w:rPr>
          <w:rFonts w:eastAsia="Calibri"/>
          <w:lang w:eastAsia="en-US"/>
        </w:rPr>
        <w:t>2028 годах;</w:t>
      </w:r>
    </w:p>
    <w:p w:rsidR="0091710B" w:rsidRPr="00265C60" w:rsidRDefault="0091710B" w:rsidP="0091710B">
      <w:pPr>
        <w:rPr>
          <w:rFonts w:eastAsia="Calibri"/>
          <w:lang w:eastAsia="en-US"/>
        </w:rPr>
      </w:pPr>
      <w:r w:rsidRPr="00265C60">
        <w:rPr>
          <w:rFonts w:eastAsia="Calibri"/>
          <w:lang w:eastAsia="en-US"/>
        </w:rPr>
        <w:t>определения размера платы за заключение новых договоров пользования рыболовными участками для осуществления промышленного рыболовства и организации любительского рыболовства</w:t>
      </w:r>
      <w:r w:rsidR="008B075D">
        <w:rPr>
          <w:rFonts w:eastAsia="Calibri"/>
          <w:lang w:eastAsia="en-US"/>
        </w:rPr>
        <w:t>,</w:t>
      </w:r>
      <w:r w:rsidRPr="00265C60">
        <w:rPr>
          <w:rFonts w:eastAsia="Calibri"/>
          <w:lang w:eastAsia="en-US"/>
        </w:rPr>
        <w:t xml:space="preserve"> предусмотренного постановлением Правительства Российской Федерации от 13 июля 2024 г. № 959 «Об утверждении Правил определения размера и взимания платы за заключение в соответствии с частью 7 статьи 33</w:t>
      </w:r>
      <w:r w:rsidRPr="00265C60">
        <w:rPr>
          <w:rFonts w:eastAsia="Calibri"/>
          <w:vertAlign w:val="superscript"/>
          <w:lang w:eastAsia="en-US"/>
        </w:rPr>
        <w:t>3</w:t>
      </w:r>
      <w:r w:rsidRPr="00265C60">
        <w:rPr>
          <w:rFonts w:eastAsia="Calibri"/>
          <w:lang w:eastAsia="en-US"/>
        </w:rPr>
        <w:t xml:space="preserve"> Федерального закона «О рыболовстве и сохранении водных биологических ресурсов» (пункт 1.2.8.2)</w:t>
      </w:r>
      <w:r w:rsidR="008B075D">
        <w:rPr>
          <w:rFonts w:eastAsia="Calibri"/>
          <w:lang w:eastAsia="en-US"/>
        </w:rPr>
        <w:t>,</w:t>
      </w:r>
      <w:r w:rsidRPr="00265C60">
        <w:rPr>
          <w:rFonts w:eastAsia="Calibri"/>
          <w:lang w:eastAsia="en-US"/>
        </w:rPr>
        <w:t xml:space="preserve"> в объеме </w:t>
      </w:r>
      <w:r w:rsidRPr="00265C60">
        <w:rPr>
          <w:rFonts w:eastAsia="Calibri"/>
          <w:b/>
          <w:lang w:eastAsia="en-US"/>
        </w:rPr>
        <w:t>27,8 млрд рублей в 2026 году,</w:t>
      </w:r>
      <w:r w:rsidRPr="00265C60">
        <w:rPr>
          <w:rFonts w:eastAsia="Calibri"/>
          <w:lang w:eastAsia="en-US"/>
        </w:rPr>
        <w:t xml:space="preserve"> 21,6 млрд рублей в 2027 году и 36,1 млрд рублей в 2028 году;</w:t>
      </w:r>
    </w:p>
    <w:p w:rsidR="0091710B" w:rsidRPr="00265C60" w:rsidRDefault="0091710B" w:rsidP="0091710B">
      <w:pPr>
        <w:rPr>
          <w:rFonts w:eastAsia="Calibri"/>
          <w:lang w:eastAsia="en-US"/>
        </w:rPr>
      </w:pPr>
      <w:r w:rsidRPr="00265C60">
        <w:rPr>
          <w:rFonts w:eastAsia="Calibri"/>
          <w:lang w:eastAsia="en-US"/>
        </w:rPr>
        <w:t xml:space="preserve">проектируемого продления действия повышенных ставок </w:t>
      </w:r>
      <w:r w:rsidRPr="00265C60">
        <w:rPr>
          <w:rFonts w:eastAsia="Calibri"/>
          <w:b/>
          <w:lang w:eastAsia="en-US"/>
        </w:rPr>
        <w:t>вывозных таможенных пошлин</w:t>
      </w:r>
      <w:r w:rsidRPr="00265C60">
        <w:rPr>
          <w:rFonts w:eastAsia="Calibri"/>
          <w:lang w:eastAsia="en-US"/>
        </w:rPr>
        <w:t xml:space="preserve"> на семена подсолнечника, масло подсолнечное и шрот подсолнечный до 31 августа 2028 года (пункт 1.2.11.1) в объеме </w:t>
      </w:r>
      <w:r w:rsidRPr="00265C60">
        <w:rPr>
          <w:rFonts w:eastAsia="Calibri"/>
          <w:b/>
          <w:lang w:eastAsia="en-US"/>
        </w:rPr>
        <w:t>24,2 млрд рублей в 2026 году,</w:t>
      </w:r>
      <w:r w:rsidRPr="00265C60">
        <w:rPr>
          <w:rFonts w:eastAsia="Calibri"/>
          <w:lang w:eastAsia="en-US"/>
        </w:rPr>
        <w:t xml:space="preserve"> 84,4 млрд рублей в</w:t>
      </w:r>
      <w:r w:rsidR="007A5917">
        <w:rPr>
          <w:rFonts w:eastAsia="Calibri"/>
          <w:lang w:eastAsia="en-US"/>
        </w:rPr>
        <w:t> </w:t>
      </w:r>
      <w:r w:rsidRPr="00265C60">
        <w:rPr>
          <w:rFonts w:eastAsia="Calibri"/>
          <w:lang w:eastAsia="en-US"/>
        </w:rPr>
        <w:t>2027 году и 65,4 млрд рублей в 2028 году;</w:t>
      </w:r>
    </w:p>
    <w:p w:rsidR="0091710B" w:rsidRPr="00265C60" w:rsidRDefault="0091710B" w:rsidP="0091710B">
      <w:pPr>
        <w:rPr>
          <w:rFonts w:eastAsia="Calibri"/>
          <w:lang w:eastAsia="en-US"/>
        </w:rPr>
      </w:pPr>
      <w:r w:rsidRPr="00265C60">
        <w:rPr>
          <w:rFonts w:eastAsia="Calibri"/>
          <w:lang w:eastAsia="en-US"/>
        </w:rPr>
        <w:t xml:space="preserve">изменения применяемых при определении </w:t>
      </w:r>
      <w:r w:rsidRPr="00265C60">
        <w:rPr>
          <w:rFonts w:eastAsia="Calibri"/>
          <w:b/>
          <w:lang w:eastAsia="en-US"/>
        </w:rPr>
        <w:t>арендной платы</w:t>
      </w:r>
      <w:r w:rsidRPr="00265C60">
        <w:rPr>
          <w:rFonts w:eastAsia="Calibri"/>
          <w:lang w:eastAsia="en-US"/>
        </w:rPr>
        <w:t xml:space="preserve"> ставок платы за единицу площади лесного участка, находящегося в федеральной собственности</w:t>
      </w:r>
      <w:r w:rsidR="008B075D">
        <w:rPr>
          <w:rFonts w:eastAsia="Calibri"/>
          <w:lang w:eastAsia="en-US"/>
        </w:rPr>
        <w:t>,</w:t>
      </w:r>
      <w:r w:rsidRPr="00265C60">
        <w:rPr>
          <w:rFonts w:eastAsia="Calibri"/>
          <w:lang w:eastAsia="en-US"/>
        </w:rPr>
        <w:t xml:space="preserve"> предусмотренных постановлением Правительства Российской Федерации от 30 июня 2025 г. № 983 «О внесении изменений в постановление Правительства Российской Федерации от 22 мая 2007 г. № 310» (пункт 1.2.8.1)</w:t>
      </w:r>
      <w:r w:rsidR="008B075D">
        <w:rPr>
          <w:rFonts w:eastAsia="Calibri"/>
          <w:lang w:eastAsia="en-US"/>
        </w:rPr>
        <w:t>,</w:t>
      </w:r>
      <w:r w:rsidRPr="00265C60">
        <w:rPr>
          <w:rFonts w:eastAsia="Calibri"/>
          <w:lang w:eastAsia="en-US"/>
        </w:rPr>
        <w:t xml:space="preserve"> в объеме </w:t>
      </w:r>
      <w:r w:rsidRPr="00265C60">
        <w:rPr>
          <w:rFonts w:eastAsia="Calibri"/>
          <w:b/>
          <w:lang w:eastAsia="en-US"/>
        </w:rPr>
        <w:t>18,3 млрд рублей в 2026 году,</w:t>
      </w:r>
      <w:r w:rsidRPr="00265C60">
        <w:rPr>
          <w:rFonts w:eastAsia="Calibri"/>
          <w:lang w:eastAsia="en-US"/>
        </w:rPr>
        <w:t xml:space="preserve"> 18,3 млрд рублей в 2027 году и 18,3 млрд рублей в 2028 году;</w:t>
      </w:r>
    </w:p>
    <w:p w:rsidR="0091710B" w:rsidRPr="00265C60" w:rsidRDefault="0091710B" w:rsidP="0091710B">
      <w:pPr>
        <w:rPr>
          <w:rFonts w:eastAsia="Calibri"/>
          <w:lang w:eastAsia="en-US"/>
        </w:rPr>
      </w:pPr>
      <w:r w:rsidRPr="00265C60">
        <w:rPr>
          <w:rFonts w:eastAsia="Calibri"/>
          <w:lang w:eastAsia="en-US"/>
        </w:rPr>
        <w:t xml:space="preserve">увеличения </w:t>
      </w:r>
      <w:r w:rsidRPr="00265C60">
        <w:rPr>
          <w:rFonts w:eastAsia="Calibri"/>
          <w:b/>
          <w:lang w:eastAsia="en-US"/>
        </w:rPr>
        <w:t>прочих неналоговых доходов</w:t>
      </w:r>
      <w:r w:rsidRPr="00265C60">
        <w:rPr>
          <w:rFonts w:eastAsia="Calibri"/>
          <w:lang w:eastAsia="en-US"/>
        </w:rPr>
        <w:t xml:space="preserve"> в части установления обязательных отчислений, предусмотренных частью 1 статьи 18.2 Федерального закона «О рекламе» (пункт 1.2.9.1)</w:t>
      </w:r>
      <w:r w:rsidR="008B075D">
        <w:rPr>
          <w:rFonts w:eastAsia="Calibri"/>
          <w:lang w:eastAsia="en-US"/>
        </w:rPr>
        <w:t>,</w:t>
      </w:r>
      <w:r w:rsidRPr="00265C60">
        <w:rPr>
          <w:rFonts w:eastAsia="Calibri"/>
          <w:lang w:eastAsia="en-US"/>
        </w:rPr>
        <w:t xml:space="preserve"> в объеме </w:t>
      </w:r>
      <w:r w:rsidRPr="00265C60">
        <w:rPr>
          <w:rFonts w:eastAsia="Calibri"/>
          <w:b/>
          <w:lang w:eastAsia="en-US"/>
        </w:rPr>
        <w:t>12,0 млрд рублей ежегодно в 2026</w:t>
      </w:r>
      <w:r w:rsidR="00D07A8B">
        <w:rPr>
          <w:rFonts w:eastAsia="Calibri"/>
          <w:lang w:eastAsia="en-US"/>
        </w:rPr>
        <w:t>–</w:t>
      </w:r>
      <w:r w:rsidRPr="00265C60">
        <w:rPr>
          <w:rFonts w:eastAsia="Calibri"/>
          <w:lang w:eastAsia="en-US"/>
        </w:rPr>
        <w:t>2028 годах;</w:t>
      </w:r>
    </w:p>
    <w:p w:rsidR="0091710B" w:rsidRPr="00265C60" w:rsidRDefault="0091710B" w:rsidP="0091710B">
      <w:pPr>
        <w:rPr>
          <w:rFonts w:eastAsia="Calibri"/>
          <w:lang w:eastAsia="en-US"/>
        </w:rPr>
      </w:pPr>
      <w:r w:rsidRPr="00265C60">
        <w:rPr>
          <w:rFonts w:eastAsia="Calibri"/>
          <w:lang w:eastAsia="en-US"/>
        </w:rPr>
        <w:t xml:space="preserve">проектируемого введения с октября 2025 года повышенных ставок </w:t>
      </w:r>
      <w:r w:rsidRPr="00265C60">
        <w:rPr>
          <w:rFonts w:eastAsia="Calibri"/>
          <w:b/>
          <w:lang w:eastAsia="en-US"/>
        </w:rPr>
        <w:t>вывозных таможенных пошлин</w:t>
      </w:r>
      <w:r w:rsidRPr="00265C60">
        <w:rPr>
          <w:rFonts w:eastAsia="Calibri"/>
          <w:lang w:eastAsia="en-US"/>
        </w:rPr>
        <w:t xml:space="preserve"> на лен масличный в размере 10 % до 31 августа 2026 года (пункт 1.2.6.3) в объеме </w:t>
      </w:r>
      <w:r w:rsidRPr="00265C60">
        <w:rPr>
          <w:rFonts w:eastAsia="Calibri"/>
          <w:b/>
          <w:lang w:eastAsia="en-US"/>
        </w:rPr>
        <w:t>5,5 млрд рублей в 2026 году</w:t>
      </w:r>
      <w:r w:rsidRPr="00265C60">
        <w:rPr>
          <w:rFonts w:eastAsia="Calibri"/>
          <w:lang w:eastAsia="en-US"/>
        </w:rPr>
        <w:t>;</w:t>
      </w:r>
    </w:p>
    <w:p w:rsidR="0091710B" w:rsidRPr="00265C60" w:rsidRDefault="0091710B" w:rsidP="0091710B">
      <w:pPr>
        <w:rPr>
          <w:rFonts w:eastAsia="Calibri"/>
          <w:lang w:eastAsia="en-US"/>
        </w:rPr>
      </w:pPr>
      <w:r w:rsidRPr="00265C60">
        <w:rPr>
          <w:rFonts w:eastAsia="Calibri"/>
          <w:lang w:eastAsia="en-US"/>
        </w:rPr>
        <w:t xml:space="preserve">уточнения ранее установленных ставок </w:t>
      </w:r>
      <w:r w:rsidRPr="00265C60">
        <w:rPr>
          <w:rFonts w:eastAsia="Calibri"/>
          <w:b/>
          <w:lang w:eastAsia="en-US"/>
        </w:rPr>
        <w:t>акцизов на нефтепродукты и автомобили</w:t>
      </w:r>
      <w:r w:rsidRPr="00265C60">
        <w:rPr>
          <w:rFonts w:eastAsia="Calibri"/>
          <w:lang w:eastAsia="en-US"/>
        </w:rPr>
        <w:t xml:space="preserve"> на 2026</w:t>
      </w:r>
      <w:r w:rsidR="007A5917">
        <w:rPr>
          <w:rFonts w:eastAsia="Calibri"/>
          <w:lang w:eastAsia="en-US"/>
        </w:rPr>
        <w:t>–</w:t>
      </w:r>
      <w:r w:rsidRPr="00265C60">
        <w:rPr>
          <w:rFonts w:eastAsia="Calibri"/>
          <w:lang w:eastAsia="en-US"/>
        </w:rPr>
        <w:t>2027 г</w:t>
      </w:r>
      <w:r w:rsidR="007A5917">
        <w:rPr>
          <w:rFonts w:eastAsia="Calibri"/>
          <w:lang w:eastAsia="en-US"/>
        </w:rPr>
        <w:t>оды</w:t>
      </w:r>
      <w:r w:rsidRPr="00265C60">
        <w:rPr>
          <w:rFonts w:eastAsia="Calibri"/>
          <w:lang w:eastAsia="en-US"/>
        </w:rPr>
        <w:t xml:space="preserve"> с учетом фактически сложившегося уровня инфляции (пункт 1.2.10.2) в</w:t>
      </w:r>
      <w:r w:rsidR="007A5917">
        <w:rPr>
          <w:rFonts w:eastAsia="Calibri"/>
          <w:lang w:eastAsia="en-US"/>
        </w:rPr>
        <w:t> </w:t>
      </w:r>
      <w:r w:rsidRPr="00265C60">
        <w:rPr>
          <w:rFonts w:eastAsia="Calibri"/>
          <w:lang w:eastAsia="en-US"/>
        </w:rPr>
        <w:t xml:space="preserve">объеме </w:t>
      </w:r>
      <w:r w:rsidRPr="00265C60">
        <w:rPr>
          <w:rFonts w:eastAsia="Calibri"/>
          <w:b/>
          <w:lang w:eastAsia="en-US"/>
        </w:rPr>
        <w:t>4,9 млрд рублей в 2026 году,</w:t>
      </w:r>
      <w:r w:rsidRPr="00265C60">
        <w:rPr>
          <w:rFonts w:eastAsia="Calibri"/>
          <w:lang w:eastAsia="en-US"/>
        </w:rPr>
        <w:t xml:space="preserve"> 5,6 млрд рублей в 2027 году;</w:t>
      </w:r>
    </w:p>
    <w:p w:rsidR="0091710B" w:rsidRPr="00265C60" w:rsidRDefault="0091710B" w:rsidP="0091710B">
      <w:pPr>
        <w:rPr>
          <w:rFonts w:eastAsia="Calibri"/>
          <w:lang w:eastAsia="en-US"/>
        </w:rPr>
      </w:pPr>
      <w:r w:rsidRPr="00265C60">
        <w:rPr>
          <w:rFonts w:eastAsia="Calibri"/>
          <w:lang w:eastAsia="en-US"/>
        </w:rPr>
        <w:t xml:space="preserve">прекращения с 1 января 2026 года действия налоговых преференций для участников ОЭЗ в Магаданской области в части </w:t>
      </w:r>
      <w:r w:rsidRPr="00265C60">
        <w:rPr>
          <w:rFonts w:eastAsia="Calibri"/>
          <w:b/>
          <w:lang w:eastAsia="en-US"/>
        </w:rPr>
        <w:t xml:space="preserve">НДПИ на прочие полезные ископаемые </w:t>
      </w:r>
      <w:r w:rsidRPr="00265C60">
        <w:rPr>
          <w:rFonts w:eastAsia="Calibri"/>
          <w:lang w:eastAsia="en-US"/>
        </w:rPr>
        <w:t xml:space="preserve">(пункт 1.2.5.1) в объеме </w:t>
      </w:r>
      <w:r w:rsidRPr="00265C60">
        <w:rPr>
          <w:rFonts w:eastAsia="Calibri"/>
          <w:b/>
          <w:lang w:eastAsia="en-US"/>
        </w:rPr>
        <w:t>2,4 млрд рублей в 2026 году,</w:t>
      </w:r>
      <w:r w:rsidRPr="00265C60">
        <w:rPr>
          <w:rFonts w:eastAsia="Calibri"/>
          <w:lang w:eastAsia="en-US"/>
        </w:rPr>
        <w:t xml:space="preserve"> 2,5 млрд рублей в 2027 году и 2,6 млрд рублей в 2028 году;</w:t>
      </w:r>
    </w:p>
    <w:p w:rsidR="0091710B" w:rsidRPr="00265C60" w:rsidRDefault="0091710B" w:rsidP="0091710B">
      <w:pPr>
        <w:rPr>
          <w:rFonts w:eastAsia="Calibri"/>
          <w:lang w:eastAsia="en-US"/>
        </w:rPr>
      </w:pPr>
      <w:r w:rsidRPr="00265C60">
        <w:rPr>
          <w:rFonts w:eastAsia="Calibri"/>
          <w:lang w:eastAsia="en-US"/>
        </w:rPr>
        <w:t>проектируемо</w:t>
      </w:r>
      <w:r w:rsidR="008B075D">
        <w:rPr>
          <w:rFonts w:eastAsia="Calibri"/>
          <w:lang w:eastAsia="en-US"/>
        </w:rPr>
        <w:t>й</w:t>
      </w:r>
      <w:r w:rsidRPr="00265C60">
        <w:rPr>
          <w:rFonts w:eastAsia="Calibri"/>
          <w:lang w:eastAsia="en-US"/>
        </w:rPr>
        <w:t xml:space="preserve"> с 1 января 2026 года отмены льготы в виде освобождения от уплаты </w:t>
      </w:r>
      <w:r w:rsidRPr="00265C60">
        <w:rPr>
          <w:rFonts w:eastAsia="Calibri"/>
          <w:b/>
          <w:lang w:eastAsia="en-US"/>
        </w:rPr>
        <w:t>налога на прибыль организаций</w:t>
      </w:r>
      <w:r w:rsidRPr="00265C60">
        <w:rPr>
          <w:rFonts w:eastAsia="Calibri"/>
          <w:lang w:eastAsia="en-US"/>
        </w:rPr>
        <w:t xml:space="preserve"> для плательщиков налога на игорный бизнес (пункт 1.2.1.1) в объеме </w:t>
      </w:r>
      <w:r w:rsidRPr="00265C60">
        <w:rPr>
          <w:rFonts w:eastAsia="Calibri"/>
          <w:b/>
          <w:lang w:eastAsia="en-US"/>
        </w:rPr>
        <w:t>4,2 млрд рублей в 2026 году,</w:t>
      </w:r>
      <w:r w:rsidRPr="00265C60">
        <w:rPr>
          <w:rFonts w:eastAsia="Calibri"/>
          <w:lang w:eastAsia="en-US"/>
        </w:rPr>
        <w:t xml:space="preserve"> 5,7 млрд рублей в 2027 году и 6,7 млрд рублей в 2028 году;</w:t>
      </w:r>
    </w:p>
    <w:p w:rsidR="0091710B" w:rsidRPr="00265C60" w:rsidRDefault="0091710B" w:rsidP="0091710B">
      <w:pPr>
        <w:rPr>
          <w:rFonts w:eastAsia="Calibri"/>
          <w:lang w:eastAsia="en-US"/>
        </w:rPr>
      </w:pPr>
      <w:r w:rsidRPr="00265C60">
        <w:rPr>
          <w:rFonts w:eastAsia="Calibri"/>
          <w:lang w:eastAsia="en-US"/>
        </w:rPr>
        <w:t xml:space="preserve">планируемого изменения размера государственной пошлины за выдачу лицензии на осуществление внешнеэкономических операций с товарами, информацией, услугами, работами, результатами интеллектуальной деятельности (пункт 1.2.7.5) в объеме </w:t>
      </w:r>
      <w:r w:rsidRPr="00265C60">
        <w:rPr>
          <w:rFonts w:eastAsia="Calibri"/>
          <w:b/>
          <w:lang w:eastAsia="en-US"/>
        </w:rPr>
        <w:t>54,8 млн рублей</w:t>
      </w:r>
      <w:r w:rsidRPr="00265C60">
        <w:rPr>
          <w:rFonts w:eastAsia="Calibri"/>
          <w:lang w:eastAsia="en-US"/>
        </w:rPr>
        <w:t xml:space="preserve"> </w:t>
      </w:r>
      <w:r w:rsidRPr="00265C60">
        <w:rPr>
          <w:rFonts w:eastAsia="Calibri"/>
          <w:b/>
          <w:lang w:eastAsia="en-US"/>
        </w:rPr>
        <w:t>в 2026 году</w:t>
      </w:r>
      <w:r w:rsidRPr="00265C60">
        <w:rPr>
          <w:rFonts w:eastAsia="Calibri"/>
          <w:lang w:eastAsia="en-US"/>
        </w:rPr>
        <w:t>, 54,8 млн рублей в 2027 году, 54,6 млн рублей в 2028 году</w:t>
      </w:r>
      <w:r w:rsidR="0096535F">
        <w:rPr>
          <w:rFonts w:eastAsia="Calibri"/>
          <w:lang w:eastAsia="en-US"/>
        </w:rPr>
        <w:t>;</w:t>
      </w:r>
    </w:p>
    <w:p w:rsidR="0091710B" w:rsidRPr="00265C60" w:rsidRDefault="0091710B" w:rsidP="0091710B">
      <w:pPr>
        <w:rPr>
          <w:rFonts w:eastAsia="Calibri"/>
          <w:lang w:eastAsia="en-US"/>
        </w:rPr>
      </w:pPr>
      <w:r w:rsidRPr="00265C60">
        <w:rPr>
          <w:rFonts w:eastAsia="Calibri"/>
          <w:lang w:eastAsia="en-US"/>
        </w:rPr>
        <w:t xml:space="preserve">проектируемой корректировки </w:t>
      </w:r>
      <w:r w:rsidRPr="00265C60">
        <w:rPr>
          <w:rFonts w:eastAsia="Calibri"/>
          <w:b/>
          <w:lang w:eastAsia="en-US"/>
        </w:rPr>
        <w:t>НДПИ при добыче газа горючего и газового конденсата</w:t>
      </w:r>
      <w:r w:rsidRPr="00265C60">
        <w:rPr>
          <w:rFonts w:eastAsia="Calibri"/>
          <w:lang w:eastAsia="en-US"/>
        </w:rPr>
        <w:t xml:space="preserve"> в части подхода к определению расчетной цены на газ, поставляемый потребителям Российской Федерации (кроме населения), в целях учета индексации оптовых цен на газ на уровне индекса потребительских цен (пункт 1.1.1) в объеме </w:t>
      </w:r>
      <w:r w:rsidRPr="00265C60">
        <w:rPr>
          <w:rFonts w:eastAsia="Calibri"/>
          <w:b/>
          <w:lang w:eastAsia="en-US"/>
        </w:rPr>
        <w:t>«минус»</w:t>
      </w:r>
      <w:r w:rsidRPr="00265C60">
        <w:rPr>
          <w:rFonts w:eastAsia="Calibri"/>
          <w:lang w:eastAsia="en-US"/>
        </w:rPr>
        <w:t xml:space="preserve"> </w:t>
      </w:r>
      <w:r w:rsidRPr="00265C60">
        <w:rPr>
          <w:rFonts w:eastAsia="Calibri"/>
          <w:b/>
          <w:lang w:eastAsia="en-US"/>
        </w:rPr>
        <w:t>10,1 млрд рублей в 2026 году,</w:t>
      </w:r>
      <w:r w:rsidRPr="00265C60">
        <w:rPr>
          <w:rFonts w:eastAsia="Calibri"/>
          <w:lang w:eastAsia="en-US"/>
        </w:rPr>
        <w:t xml:space="preserve"> «минус» 33,2 млрд рублей в 2027 году и «минус» 52,2 млрд рублей в</w:t>
      </w:r>
      <w:r w:rsidR="007A5917">
        <w:rPr>
          <w:rFonts w:eastAsia="Calibri"/>
          <w:lang w:eastAsia="en-US"/>
        </w:rPr>
        <w:t> </w:t>
      </w:r>
      <w:r w:rsidRPr="00265C60">
        <w:rPr>
          <w:rFonts w:eastAsia="Calibri"/>
          <w:lang w:eastAsia="en-US"/>
        </w:rPr>
        <w:t>2028 году.</w:t>
      </w:r>
    </w:p>
    <w:p w:rsidR="00B340E5" w:rsidRPr="00265C60" w:rsidRDefault="003F0603" w:rsidP="00B340E5">
      <w:pPr>
        <w:ind w:firstLine="708"/>
        <w:rPr>
          <w:rFonts w:eastAsia="Calibri"/>
          <w:lang w:eastAsia="en-US"/>
        </w:rPr>
      </w:pPr>
      <w:r w:rsidRPr="00265C60">
        <w:rPr>
          <w:rFonts w:eastAsia="Calibri"/>
          <w:b/>
          <w:lang w:eastAsia="en-US"/>
        </w:rPr>
        <w:t>3.2.</w:t>
      </w:r>
      <w:r w:rsidR="0091710B" w:rsidRPr="00265C60">
        <w:rPr>
          <w:rFonts w:eastAsia="Calibri"/>
          <w:b/>
          <w:lang w:eastAsia="en-US"/>
        </w:rPr>
        <w:t>8</w:t>
      </w:r>
      <w:r w:rsidRPr="00265C60">
        <w:rPr>
          <w:rFonts w:eastAsia="Calibri"/>
          <w:b/>
          <w:lang w:eastAsia="en-US"/>
        </w:rPr>
        <w:t>.2.</w:t>
      </w:r>
      <w:r w:rsidRPr="00265C60">
        <w:rPr>
          <w:rFonts w:eastAsia="Calibri"/>
          <w:lang w:eastAsia="en-US"/>
        </w:rPr>
        <w:t> </w:t>
      </w:r>
      <w:r w:rsidR="00B340E5" w:rsidRPr="00265C60">
        <w:rPr>
          <w:rFonts w:eastAsia="Calibri"/>
          <w:lang w:eastAsia="en-US"/>
        </w:rPr>
        <w:t>Анализ изменений законодательства Российской Федерации и нормативных правовых актов Правительства Российской Федерации, учтенных при формировании оценки изменения доходов федерального бюджета в 2026</w:t>
      </w:r>
      <w:r w:rsidR="00B340E5" w:rsidRPr="00265C60">
        <w:t>–</w:t>
      </w:r>
      <w:r w:rsidR="00B340E5" w:rsidRPr="00265C60">
        <w:rPr>
          <w:rFonts w:eastAsia="Calibri"/>
          <w:lang w:eastAsia="en-US"/>
        </w:rPr>
        <w:t>2028 годах (приложение № 2 к</w:t>
      </w:r>
      <w:r w:rsidR="007A5917">
        <w:rPr>
          <w:rFonts w:eastAsia="Calibri"/>
          <w:lang w:eastAsia="en-US"/>
        </w:rPr>
        <w:t> </w:t>
      </w:r>
      <w:r w:rsidR="00B340E5" w:rsidRPr="00265C60">
        <w:rPr>
          <w:rFonts w:eastAsia="Calibri"/>
          <w:lang w:eastAsia="en-US"/>
        </w:rPr>
        <w:t>пояснительной записке к законопроекту), показал следующее.</w:t>
      </w:r>
    </w:p>
    <w:p w:rsidR="00B340E5" w:rsidRPr="00265C60" w:rsidRDefault="00B340E5" w:rsidP="00B340E5">
      <w:pPr>
        <w:rPr>
          <w:rFonts w:eastAsia="Calibri"/>
          <w:lang w:eastAsia="en-US"/>
        </w:rPr>
      </w:pPr>
      <w:r w:rsidRPr="00265C60">
        <w:rPr>
          <w:rFonts w:eastAsia="Calibri"/>
          <w:lang w:eastAsia="en-US"/>
        </w:rPr>
        <w:t>В материалах к законопроекту</w:t>
      </w:r>
      <w:r w:rsidRPr="00265C60">
        <w:rPr>
          <w:rFonts w:eastAsia="Calibri"/>
          <w:b/>
          <w:lang w:eastAsia="en-US"/>
        </w:rPr>
        <w:t xml:space="preserve"> </w:t>
      </w:r>
      <w:r w:rsidRPr="00265C60">
        <w:rPr>
          <w:rFonts w:eastAsia="Calibri"/>
          <w:b/>
          <w:bCs/>
          <w:lang w:eastAsia="en-US"/>
        </w:rPr>
        <w:t>отражена оценка планируемых непринятых изменений законодательства Российской Федерации и нормативных актов Правительства Российской Федерации</w:t>
      </w:r>
      <w:r w:rsidRPr="00265C60">
        <w:rPr>
          <w:rFonts w:eastAsia="Calibri"/>
          <w:lang w:eastAsia="en-US"/>
        </w:rPr>
        <w:t>, влияющих на изменение доходов</w:t>
      </w:r>
      <w:r w:rsidR="00353900">
        <w:rPr>
          <w:rFonts w:eastAsia="Calibri"/>
          <w:lang w:eastAsia="en-US"/>
        </w:rPr>
        <w:t>,</w:t>
      </w:r>
      <w:r w:rsidRPr="00265C60">
        <w:rPr>
          <w:rFonts w:eastAsia="Calibri"/>
          <w:b/>
          <w:bCs/>
          <w:lang w:eastAsia="en-US"/>
        </w:rPr>
        <w:t xml:space="preserve"> в 2026 году </w:t>
      </w:r>
      <w:r w:rsidRPr="00265C60">
        <w:rPr>
          <w:rFonts w:eastAsia="Calibri"/>
          <w:lang w:eastAsia="en-US"/>
        </w:rPr>
        <w:t>в</w:t>
      </w:r>
      <w:r w:rsidR="007A5917">
        <w:rPr>
          <w:rFonts w:eastAsia="Calibri"/>
          <w:lang w:eastAsia="en-US"/>
        </w:rPr>
        <w:t> </w:t>
      </w:r>
      <w:r w:rsidRPr="00265C60">
        <w:rPr>
          <w:rFonts w:eastAsia="Calibri"/>
          <w:lang w:eastAsia="en-US"/>
        </w:rPr>
        <w:t xml:space="preserve">объеме </w:t>
      </w:r>
      <w:r w:rsidRPr="00265C60">
        <w:rPr>
          <w:rFonts w:eastAsia="Calibri"/>
          <w:b/>
          <w:bCs/>
          <w:lang w:eastAsia="en-US"/>
        </w:rPr>
        <w:t xml:space="preserve">1 677,9 млрд рублей </w:t>
      </w:r>
      <w:r w:rsidRPr="00265C60">
        <w:rPr>
          <w:rFonts w:eastAsia="Calibri"/>
          <w:bCs/>
          <w:lang w:eastAsia="en-US"/>
        </w:rPr>
        <w:t>(</w:t>
      </w:r>
      <w:r w:rsidRPr="00265C60">
        <w:rPr>
          <w:rFonts w:eastAsia="Calibri"/>
          <w:b/>
          <w:bCs/>
          <w:lang w:eastAsia="en-US"/>
        </w:rPr>
        <w:t xml:space="preserve">94,1 % </w:t>
      </w:r>
      <w:r w:rsidRPr="00265C60">
        <w:rPr>
          <w:rFonts w:eastAsia="Calibri"/>
          <w:bCs/>
          <w:lang w:eastAsia="en-US"/>
        </w:rPr>
        <w:t>общего объема изменения законодательства)</w:t>
      </w:r>
      <w:r w:rsidRPr="00265C60">
        <w:rPr>
          <w:rFonts w:eastAsia="Calibri"/>
          <w:lang w:eastAsia="en-US"/>
        </w:rPr>
        <w:t>, в</w:t>
      </w:r>
      <w:r w:rsidR="007A5917">
        <w:rPr>
          <w:rFonts w:eastAsia="Calibri"/>
          <w:lang w:eastAsia="en-US"/>
        </w:rPr>
        <w:t> </w:t>
      </w:r>
      <w:r w:rsidRPr="00265C60">
        <w:rPr>
          <w:rFonts w:eastAsia="Calibri"/>
          <w:lang w:eastAsia="en-US"/>
        </w:rPr>
        <w:t xml:space="preserve">2027 и 2028 годах в объеме </w:t>
      </w:r>
      <w:r w:rsidRPr="00265C60">
        <w:rPr>
          <w:rFonts w:eastAsia="Calibri"/>
          <w:b/>
          <w:bCs/>
          <w:lang w:eastAsia="en-US"/>
        </w:rPr>
        <w:t>2 164,</w:t>
      </w:r>
      <w:r w:rsidR="006A29D1">
        <w:rPr>
          <w:rFonts w:eastAsia="Calibri"/>
          <w:b/>
          <w:bCs/>
          <w:lang w:eastAsia="en-US"/>
        </w:rPr>
        <w:t>8</w:t>
      </w:r>
      <w:r w:rsidRPr="00265C60">
        <w:rPr>
          <w:rFonts w:eastAsia="Calibri"/>
          <w:b/>
          <w:bCs/>
          <w:lang w:eastAsia="en-US"/>
        </w:rPr>
        <w:t xml:space="preserve"> млрд рублей</w:t>
      </w:r>
      <w:r w:rsidRPr="00265C60">
        <w:rPr>
          <w:rFonts w:eastAsia="Calibri"/>
          <w:lang w:eastAsia="en-US"/>
        </w:rPr>
        <w:t xml:space="preserve"> </w:t>
      </w:r>
      <w:r w:rsidRPr="00265C60">
        <w:rPr>
          <w:rFonts w:eastAsia="Calibri"/>
          <w:bCs/>
          <w:lang w:eastAsia="en-US"/>
        </w:rPr>
        <w:t>(</w:t>
      </w:r>
      <w:r w:rsidRPr="00265C60">
        <w:rPr>
          <w:rFonts w:eastAsia="Calibri"/>
          <w:b/>
          <w:bCs/>
          <w:lang w:eastAsia="en-US"/>
        </w:rPr>
        <w:t>80,7 %</w:t>
      </w:r>
      <w:r w:rsidRPr="00265C60">
        <w:rPr>
          <w:rFonts w:eastAsia="Calibri"/>
          <w:bCs/>
          <w:lang w:eastAsia="en-US"/>
        </w:rPr>
        <w:t>)</w:t>
      </w:r>
      <w:r w:rsidRPr="00265C60">
        <w:rPr>
          <w:rFonts w:eastAsia="Calibri"/>
          <w:b/>
          <w:bCs/>
          <w:lang w:eastAsia="en-US"/>
        </w:rPr>
        <w:t xml:space="preserve"> </w:t>
      </w:r>
      <w:r w:rsidRPr="00265C60">
        <w:rPr>
          <w:rFonts w:eastAsia="Calibri"/>
          <w:lang w:eastAsia="en-US"/>
        </w:rPr>
        <w:t xml:space="preserve">и </w:t>
      </w:r>
      <w:r w:rsidRPr="00265C60">
        <w:rPr>
          <w:rFonts w:eastAsia="Calibri"/>
          <w:b/>
          <w:bCs/>
          <w:lang w:eastAsia="en-US"/>
        </w:rPr>
        <w:t>2 480,</w:t>
      </w:r>
      <w:r w:rsidR="006A29D1">
        <w:rPr>
          <w:rFonts w:eastAsia="Calibri"/>
          <w:b/>
          <w:bCs/>
          <w:lang w:eastAsia="en-US"/>
        </w:rPr>
        <w:t>2</w:t>
      </w:r>
      <w:r w:rsidRPr="00265C60">
        <w:rPr>
          <w:rFonts w:eastAsia="Calibri"/>
          <w:lang w:eastAsia="en-US"/>
        </w:rPr>
        <w:t xml:space="preserve"> </w:t>
      </w:r>
      <w:r w:rsidRPr="00265C60">
        <w:rPr>
          <w:rFonts w:eastAsia="Calibri"/>
          <w:b/>
          <w:bCs/>
          <w:lang w:eastAsia="en-US"/>
        </w:rPr>
        <w:t xml:space="preserve">млрд рублей </w:t>
      </w:r>
      <w:r w:rsidRPr="00265C60">
        <w:rPr>
          <w:rFonts w:eastAsia="Calibri"/>
          <w:bCs/>
          <w:lang w:eastAsia="en-US"/>
        </w:rPr>
        <w:t>(</w:t>
      </w:r>
      <w:r w:rsidRPr="00265C60">
        <w:rPr>
          <w:rFonts w:eastAsia="Calibri"/>
          <w:b/>
          <w:bCs/>
          <w:lang w:eastAsia="en-US"/>
        </w:rPr>
        <w:t>80,5 %</w:t>
      </w:r>
      <w:r w:rsidRPr="00265C60">
        <w:rPr>
          <w:rFonts w:eastAsia="Calibri"/>
          <w:bCs/>
          <w:lang w:eastAsia="en-US"/>
        </w:rPr>
        <w:t>)</w:t>
      </w:r>
      <w:r w:rsidRPr="00265C60">
        <w:rPr>
          <w:rFonts w:eastAsia="Calibri"/>
          <w:b/>
          <w:bCs/>
          <w:lang w:eastAsia="en-US"/>
        </w:rPr>
        <w:t xml:space="preserve"> </w:t>
      </w:r>
      <w:r w:rsidRPr="00265C60">
        <w:rPr>
          <w:rFonts w:eastAsia="Calibri"/>
          <w:lang w:eastAsia="en-US"/>
        </w:rPr>
        <w:t>соответственно.</w:t>
      </w:r>
    </w:p>
    <w:p w:rsidR="00B340E5" w:rsidRPr="00265C60" w:rsidRDefault="00B340E5" w:rsidP="00B340E5">
      <w:pPr>
        <w:rPr>
          <w:rFonts w:eastAsia="Calibri"/>
          <w:lang w:eastAsia="en-US"/>
        </w:rPr>
      </w:pPr>
      <w:r w:rsidRPr="00265C60">
        <w:rPr>
          <w:rFonts w:eastAsia="Calibri"/>
          <w:lang w:eastAsia="en-US"/>
        </w:rPr>
        <w:t xml:space="preserve">Указанные </w:t>
      </w:r>
      <w:r w:rsidRPr="00265C60">
        <w:rPr>
          <w:rFonts w:eastAsia="Calibri"/>
          <w:b/>
          <w:lang w:eastAsia="en-US"/>
        </w:rPr>
        <w:t>планируемые (непринятые)</w:t>
      </w:r>
      <w:r w:rsidRPr="00265C60">
        <w:rPr>
          <w:rFonts w:eastAsia="Calibri"/>
          <w:lang w:eastAsia="en-US"/>
        </w:rPr>
        <w:t xml:space="preserve"> изменения представлены в следующей таблице.</w:t>
      </w:r>
    </w:p>
    <w:p w:rsidR="00B340E5" w:rsidRPr="00265C60" w:rsidRDefault="00B340E5" w:rsidP="007A5917">
      <w:pPr>
        <w:spacing w:line="240" w:lineRule="auto"/>
        <w:ind w:right="-2"/>
        <w:jc w:val="right"/>
        <w:rPr>
          <w:rFonts w:eastAsia="Calibri"/>
          <w:sz w:val="18"/>
          <w:szCs w:val="18"/>
          <w:lang w:eastAsia="en-US"/>
        </w:rPr>
      </w:pPr>
      <w:r w:rsidRPr="00265C60">
        <w:rPr>
          <w:rFonts w:eastAsia="Calibri"/>
          <w:sz w:val="18"/>
          <w:szCs w:val="18"/>
          <w:lang w:eastAsia="en-US"/>
        </w:rPr>
        <w:t xml:space="preserve">                                                                                                                                                  (млрд рублей)</w:t>
      </w:r>
    </w:p>
    <w:tbl>
      <w:tblPr>
        <w:tblW w:w="9781" w:type="dxa"/>
        <w:tblInd w:w="-34" w:type="dxa"/>
        <w:tblLook w:val="04A0" w:firstRow="1" w:lastRow="0" w:firstColumn="1" w:lastColumn="0" w:noHBand="0" w:noVBand="1"/>
      </w:tblPr>
      <w:tblGrid>
        <w:gridCol w:w="1291"/>
        <w:gridCol w:w="5939"/>
        <w:gridCol w:w="850"/>
        <w:gridCol w:w="851"/>
        <w:gridCol w:w="850"/>
      </w:tblGrid>
      <w:tr w:rsidR="00265C60" w:rsidRPr="00265C60" w:rsidTr="0036535D">
        <w:trPr>
          <w:trHeight w:val="745"/>
          <w:tblHeader/>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b/>
                <w:bCs/>
                <w:sz w:val="18"/>
                <w:szCs w:val="18"/>
              </w:rPr>
            </w:pPr>
            <w:r w:rsidRPr="00265C60">
              <w:rPr>
                <w:b/>
                <w:bCs/>
                <w:sz w:val="18"/>
                <w:szCs w:val="18"/>
              </w:rPr>
              <w:t>Пункт в приложении № 2</w:t>
            </w:r>
          </w:p>
        </w:tc>
        <w:tc>
          <w:tcPr>
            <w:tcW w:w="5939" w:type="dxa"/>
            <w:tcBorders>
              <w:top w:val="single" w:sz="4" w:space="0" w:color="auto"/>
              <w:left w:val="nil"/>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b/>
                <w:bCs/>
                <w:sz w:val="18"/>
                <w:szCs w:val="18"/>
              </w:rPr>
            </w:pPr>
            <w:r w:rsidRPr="00265C60">
              <w:rPr>
                <w:b/>
                <w:bCs/>
                <w:sz w:val="18"/>
                <w:szCs w:val="18"/>
              </w:rPr>
              <w:t>Наименование изменений</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b/>
                <w:bCs/>
                <w:sz w:val="18"/>
                <w:szCs w:val="18"/>
              </w:rPr>
            </w:pPr>
            <w:r w:rsidRPr="00265C60">
              <w:rPr>
                <w:b/>
                <w:bCs/>
                <w:sz w:val="18"/>
                <w:szCs w:val="18"/>
              </w:rPr>
              <w:t>2026 год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b/>
                <w:bCs/>
                <w:sz w:val="18"/>
                <w:szCs w:val="18"/>
              </w:rPr>
            </w:pPr>
            <w:r w:rsidRPr="00265C60">
              <w:rPr>
                <w:b/>
                <w:bCs/>
                <w:sz w:val="18"/>
                <w:szCs w:val="18"/>
              </w:rPr>
              <w:t>2027 год</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b/>
                <w:bCs/>
                <w:sz w:val="18"/>
                <w:szCs w:val="18"/>
              </w:rPr>
            </w:pPr>
            <w:r w:rsidRPr="00265C60">
              <w:rPr>
                <w:b/>
                <w:bCs/>
                <w:sz w:val="18"/>
                <w:szCs w:val="18"/>
              </w:rPr>
              <w:t>2028 год</w:t>
            </w:r>
          </w:p>
        </w:tc>
      </w:tr>
      <w:tr w:rsidR="00265C60" w:rsidRPr="00265C60" w:rsidTr="0036535D">
        <w:trPr>
          <w:trHeight w:val="220"/>
          <w:tblHeader/>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1</w:t>
            </w:r>
          </w:p>
        </w:tc>
        <w:tc>
          <w:tcPr>
            <w:tcW w:w="5939" w:type="dxa"/>
            <w:tcBorders>
              <w:top w:val="nil"/>
              <w:left w:val="nil"/>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2</w:t>
            </w:r>
          </w:p>
        </w:tc>
        <w:tc>
          <w:tcPr>
            <w:tcW w:w="850" w:type="dxa"/>
            <w:tcBorders>
              <w:top w:val="nil"/>
              <w:left w:val="nil"/>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3</w:t>
            </w:r>
          </w:p>
        </w:tc>
        <w:tc>
          <w:tcPr>
            <w:tcW w:w="851" w:type="dxa"/>
            <w:tcBorders>
              <w:top w:val="nil"/>
              <w:left w:val="nil"/>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4</w:t>
            </w:r>
          </w:p>
        </w:tc>
        <w:tc>
          <w:tcPr>
            <w:tcW w:w="850" w:type="dxa"/>
            <w:tcBorders>
              <w:top w:val="nil"/>
              <w:left w:val="nil"/>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5</w:t>
            </w:r>
          </w:p>
        </w:tc>
      </w:tr>
      <w:tr w:rsidR="00265C60" w:rsidRPr="00265C60" w:rsidTr="0036535D">
        <w:trPr>
          <w:trHeight w:val="181"/>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b/>
                <w:bCs/>
                <w:sz w:val="18"/>
                <w:szCs w:val="18"/>
              </w:rPr>
            </w:pPr>
            <w:r w:rsidRPr="00265C60">
              <w:rPr>
                <w:b/>
                <w:bCs/>
                <w:sz w:val="18"/>
                <w:szCs w:val="18"/>
              </w:rPr>
              <w:t> </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left"/>
              <w:rPr>
                <w:b/>
                <w:bCs/>
                <w:sz w:val="18"/>
                <w:szCs w:val="18"/>
              </w:rPr>
            </w:pPr>
            <w:r w:rsidRPr="00265C60">
              <w:rPr>
                <w:b/>
                <w:bCs/>
                <w:sz w:val="18"/>
                <w:szCs w:val="18"/>
              </w:rPr>
              <w:t>ИТОГО</w:t>
            </w:r>
          </w:p>
        </w:tc>
        <w:tc>
          <w:tcPr>
            <w:tcW w:w="850" w:type="dxa"/>
            <w:tcBorders>
              <w:top w:val="nil"/>
              <w:left w:val="nil"/>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b/>
                <w:bCs/>
                <w:sz w:val="18"/>
                <w:szCs w:val="18"/>
              </w:rPr>
            </w:pPr>
            <w:r w:rsidRPr="00265C60">
              <w:rPr>
                <w:b/>
                <w:bCs/>
                <w:sz w:val="18"/>
                <w:szCs w:val="18"/>
              </w:rPr>
              <w:t>1 677,9</w:t>
            </w:r>
          </w:p>
        </w:tc>
        <w:tc>
          <w:tcPr>
            <w:tcW w:w="851" w:type="dxa"/>
            <w:tcBorders>
              <w:top w:val="nil"/>
              <w:left w:val="nil"/>
              <w:bottom w:val="single" w:sz="4" w:space="0" w:color="auto"/>
              <w:right w:val="single" w:sz="4" w:space="0" w:color="auto"/>
            </w:tcBorders>
            <w:shd w:val="clear" w:color="auto" w:fill="auto"/>
            <w:noWrap/>
            <w:vAlign w:val="center"/>
            <w:hideMark/>
          </w:tcPr>
          <w:p w:rsidR="00B340E5" w:rsidRPr="00265C60" w:rsidRDefault="00B340E5" w:rsidP="00083426">
            <w:pPr>
              <w:spacing w:line="240" w:lineRule="auto"/>
              <w:ind w:firstLine="0"/>
              <w:jc w:val="center"/>
              <w:rPr>
                <w:b/>
                <w:bCs/>
                <w:sz w:val="18"/>
                <w:szCs w:val="18"/>
              </w:rPr>
            </w:pPr>
            <w:r w:rsidRPr="00265C60">
              <w:rPr>
                <w:b/>
                <w:bCs/>
                <w:sz w:val="18"/>
                <w:szCs w:val="18"/>
              </w:rPr>
              <w:t>2 164,</w:t>
            </w:r>
            <w:r w:rsidR="00083426">
              <w:rPr>
                <w:b/>
                <w:bCs/>
                <w:sz w:val="18"/>
                <w:szCs w:val="18"/>
              </w:rPr>
              <w:t>8</w:t>
            </w:r>
          </w:p>
        </w:tc>
        <w:tc>
          <w:tcPr>
            <w:tcW w:w="850" w:type="dxa"/>
            <w:tcBorders>
              <w:top w:val="nil"/>
              <w:left w:val="nil"/>
              <w:bottom w:val="single" w:sz="4" w:space="0" w:color="auto"/>
              <w:right w:val="single" w:sz="4" w:space="0" w:color="auto"/>
            </w:tcBorders>
            <w:shd w:val="clear" w:color="auto" w:fill="auto"/>
            <w:noWrap/>
            <w:vAlign w:val="center"/>
            <w:hideMark/>
          </w:tcPr>
          <w:p w:rsidR="00B340E5" w:rsidRPr="00265C60" w:rsidRDefault="00B340E5" w:rsidP="00083426">
            <w:pPr>
              <w:spacing w:line="240" w:lineRule="auto"/>
              <w:ind w:firstLine="0"/>
              <w:jc w:val="center"/>
              <w:rPr>
                <w:b/>
                <w:bCs/>
                <w:sz w:val="18"/>
                <w:szCs w:val="18"/>
              </w:rPr>
            </w:pPr>
            <w:r w:rsidRPr="00265C60">
              <w:rPr>
                <w:b/>
                <w:bCs/>
                <w:sz w:val="18"/>
                <w:szCs w:val="18"/>
              </w:rPr>
              <w:t>2 480,</w:t>
            </w:r>
            <w:r w:rsidR="00083426">
              <w:rPr>
                <w:b/>
                <w:bCs/>
                <w:sz w:val="18"/>
                <w:szCs w:val="18"/>
              </w:rPr>
              <w:t>2</w:t>
            </w:r>
          </w:p>
        </w:tc>
      </w:tr>
      <w:tr w:rsidR="00265C60" w:rsidRPr="00265C60" w:rsidTr="0036535D">
        <w:trPr>
          <w:trHeight w:val="34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1.1.1</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rPr>
                <w:sz w:val="18"/>
                <w:szCs w:val="18"/>
              </w:rPr>
            </w:pPr>
            <w:r w:rsidRPr="00265C60">
              <w:rPr>
                <w:sz w:val="18"/>
                <w:szCs w:val="18"/>
              </w:rPr>
              <w:t>Изменение порядка расчета цены на газ, поставляемый потребителям Российской Федерации (кроме населения)</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-10,1</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-33,2</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-52,2</w:t>
            </w:r>
          </w:p>
        </w:tc>
      </w:tr>
      <w:tr w:rsidR="00265C60" w:rsidRPr="00265C60" w:rsidTr="0036535D">
        <w:trPr>
          <w:trHeight w:val="683"/>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1.1.3</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rPr>
                <w:sz w:val="18"/>
                <w:szCs w:val="18"/>
              </w:rPr>
            </w:pPr>
            <w:r w:rsidRPr="00265C60">
              <w:rPr>
                <w:sz w:val="18"/>
                <w:szCs w:val="18"/>
              </w:rPr>
              <w:t>Установление условных значений средних оптовых цен реализации моторного топлива на 2028 год, используемых при расчете демпфирующей компоненты акциза на нефтяное сырье, направленное на переработку.</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115,9</w:t>
            </w:r>
          </w:p>
        </w:tc>
      </w:tr>
      <w:tr w:rsidR="00265C60" w:rsidRPr="00265C60" w:rsidTr="0036535D">
        <w:trPr>
          <w:trHeight w:val="411"/>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1.2.1.1</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rPr>
                <w:sz w:val="18"/>
                <w:szCs w:val="18"/>
              </w:rPr>
            </w:pPr>
            <w:r w:rsidRPr="00265C60">
              <w:rPr>
                <w:sz w:val="18"/>
                <w:szCs w:val="18"/>
              </w:rPr>
              <w:t>Отмена льготы в виде освобождения от уплаты налога на прибыль организаций для плательщиков налога на игорный бизнес</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4,2</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5,7</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6,7</w:t>
            </w:r>
          </w:p>
        </w:tc>
      </w:tr>
      <w:tr w:rsidR="00265C60" w:rsidRPr="00265C60" w:rsidTr="0036535D">
        <w:trPr>
          <w:trHeight w:val="261"/>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1.2.2.1</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4F31BA">
            <w:pPr>
              <w:spacing w:line="240" w:lineRule="auto"/>
              <w:ind w:firstLine="0"/>
              <w:rPr>
                <w:sz w:val="18"/>
                <w:szCs w:val="18"/>
              </w:rPr>
            </w:pPr>
            <w:r w:rsidRPr="00265C60">
              <w:rPr>
                <w:sz w:val="18"/>
                <w:szCs w:val="18"/>
              </w:rPr>
              <w:t xml:space="preserve">Повышение ставки </w:t>
            </w:r>
            <w:r w:rsidR="004F31BA">
              <w:rPr>
                <w:sz w:val="18"/>
                <w:szCs w:val="18"/>
              </w:rPr>
              <w:t>НДС</w:t>
            </w:r>
            <w:r w:rsidRPr="00265C60">
              <w:rPr>
                <w:sz w:val="18"/>
                <w:szCs w:val="18"/>
              </w:rPr>
              <w:t xml:space="preserve"> на 2 процентных пункта за исключением товаров, облагаемых по льготным ставкам</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1 186,7</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1 559,5</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1 676,8</w:t>
            </w:r>
          </w:p>
        </w:tc>
      </w:tr>
      <w:tr w:rsidR="00265C60" w:rsidRPr="00265C60" w:rsidTr="0036535D">
        <w:trPr>
          <w:trHeight w:val="268"/>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1.2.2.2</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rPr>
                <w:sz w:val="18"/>
                <w:szCs w:val="18"/>
              </w:rPr>
            </w:pPr>
            <w:r w:rsidRPr="00265C60">
              <w:rPr>
                <w:sz w:val="18"/>
                <w:szCs w:val="18"/>
              </w:rPr>
              <w:t>Снижение порога по выручке для плательщиков УСН с 60 до 10 млн рублей, при котором возникает обязанность уплачивать НДС</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200,0</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200,0</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200,0</w:t>
            </w:r>
          </w:p>
        </w:tc>
      </w:tr>
      <w:tr w:rsidR="00265C60" w:rsidRPr="00265C60" w:rsidTr="0036535D">
        <w:trPr>
          <w:trHeight w:val="1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1.2.2.3</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rPr>
                <w:sz w:val="18"/>
                <w:szCs w:val="18"/>
              </w:rPr>
            </w:pPr>
            <w:r w:rsidRPr="00265C60">
              <w:rPr>
                <w:sz w:val="18"/>
                <w:szCs w:val="18"/>
              </w:rPr>
              <w:t>Снижение порога доходов налогоплательщика с 60 до 10 млн рублей, до достижения которого возможно применение патентной системы налогообложения и соответствующий переход плательщиков на режим УСН</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1,3</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3,0</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3,3</w:t>
            </w:r>
          </w:p>
        </w:tc>
      </w:tr>
      <w:tr w:rsidR="00265C60" w:rsidRPr="00265C60" w:rsidTr="0036535D">
        <w:trPr>
          <w:trHeight w:val="5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1.2.2.4</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rPr>
                <w:sz w:val="18"/>
                <w:szCs w:val="18"/>
              </w:rPr>
            </w:pPr>
            <w:r w:rsidRPr="00265C60">
              <w:rPr>
                <w:sz w:val="18"/>
                <w:szCs w:val="18"/>
              </w:rPr>
              <w:t xml:space="preserve">Введение системы подтверждения ожидания товаров </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50,0</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150,0</w:t>
            </w:r>
          </w:p>
        </w:tc>
      </w:tr>
      <w:tr w:rsidR="00265C60" w:rsidRPr="00265C60" w:rsidTr="0036535D">
        <w:trPr>
          <w:trHeight w:val="5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1.2.3.1</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rPr>
                <w:sz w:val="18"/>
                <w:szCs w:val="18"/>
              </w:rPr>
            </w:pPr>
            <w:r w:rsidRPr="00265C60">
              <w:rPr>
                <w:sz w:val="18"/>
                <w:szCs w:val="18"/>
              </w:rPr>
              <w:t>Повышение ставок акцизов на «вредные товары» (табачная, алкогольная, спиртосодержащая продукции и сахаросодержащие напитки)</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65,7</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72,6</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75,4</w:t>
            </w:r>
          </w:p>
        </w:tc>
      </w:tr>
      <w:tr w:rsidR="00265C60" w:rsidRPr="00265C60" w:rsidTr="0036535D">
        <w:trPr>
          <w:trHeight w:val="5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1.2.4.1</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rPr>
                <w:sz w:val="18"/>
                <w:szCs w:val="18"/>
              </w:rPr>
            </w:pPr>
            <w:r w:rsidRPr="00265C60">
              <w:rPr>
                <w:sz w:val="18"/>
                <w:szCs w:val="18"/>
              </w:rPr>
              <w:t>Повышение ставок налога на игорный бизнес для тотализаторов и букмекеров и зачисление налога на игорный бизнес в федеральный бюджет</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74,2</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101,9</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105,9</w:t>
            </w:r>
          </w:p>
        </w:tc>
      </w:tr>
      <w:tr w:rsidR="00265C60" w:rsidRPr="00265C60" w:rsidTr="0036535D">
        <w:trPr>
          <w:trHeight w:val="83"/>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1.2.5.2</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rPr>
                <w:sz w:val="18"/>
                <w:szCs w:val="18"/>
              </w:rPr>
            </w:pPr>
            <w:r w:rsidRPr="00265C60">
              <w:rPr>
                <w:sz w:val="18"/>
                <w:szCs w:val="18"/>
              </w:rPr>
              <w:t>Введение возможности уменьшения суммы налога, исчисленной при добыче железной руды (за исключением окисленных железистых кварцитов), на участках недр, расположенных полностью или частично на территории Мурманской области, на сумму налогового вычета</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-1,5</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-1,7</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-1,7</w:t>
            </w:r>
          </w:p>
        </w:tc>
      </w:tr>
      <w:tr w:rsidR="00265C60" w:rsidRPr="00265C60" w:rsidTr="0036535D">
        <w:trPr>
          <w:trHeight w:val="5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1.2.6.3</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rPr>
                <w:sz w:val="18"/>
                <w:szCs w:val="18"/>
              </w:rPr>
            </w:pPr>
            <w:r w:rsidRPr="00265C60">
              <w:rPr>
                <w:sz w:val="18"/>
                <w:szCs w:val="18"/>
              </w:rPr>
              <w:t>Введение повышенной ставки вывозной таможенной пошлины на лен масличный в размере 10% до 31 августа 2026 года</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5,5</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 </w:t>
            </w:r>
          </w:p>
        </w:tc>
      </w:tr>
      <w:tr w:rsidR="00265C60" w:rsidRPr="00265C60" w:rsidTr="0036535D">
        <w:trPr>
          <w:trHeight w:val="228"/>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1.2.7.4</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AB151E">
            <w:pPr>
              <w:spacing w:line="240" w:lineRule="auto"/>
              <w:ind w:firstLine="0"/>
              <w:rPr>
                <w:sz w:val="18"/>
                <w:szCs w:val="18"/>
              </w:rPr>
            </w:pPr>
            <w:r w:rsidRPr="00265C60">
              <w:rPr>
                <w:sz w:val="18"/>
                <w:szCs w:val="18"/>
              </w:rPr>
              <w:t>Планируемое введение государственной пошлины за предоставление лицензии на осуществление деятельности по оптовому обороту табачной продукции, никотинсодержащ</w:t>
            </w:r>
            <w:r w:rsidR="00AB151E">
              <w:rPr>
                <w:sz w:val="18"/>
                <w:szCs w:val="18"/>
              </w:rPr>
              <w:t>ей</w:t>
            </w:r>
            <w:r w:rsidRPr="00265C60">
              <w:rPr>
                <w:sz w:val="18"/>
                <w:szCs w:val="18"/>
              </w:rPr>
              <w:t xml:space="preserve"> продукции, сырья и никотинового сырья</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0,8</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 </w:t>
            </w:r>
          </w:p>
        </w:tc>
      </w:tr>
      <w:tr w:rsidR="00265C60" w:rsidRPr="00265C60" w:rsidTr="0036535D">
        <w:trPr>
          <w:trHeight w:val="166"/>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1.2.7.5</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rPr>
                <w:sz w:val="18"/>
                <w:szCs w:val="18"/>
              </w:rPr>
            </w:pPr>
            <w:r w:rsidRPr="00265C60">
              <w:rPr>
                <w:sz w:val="18"/>
                <w:szCs w:val="18"/>
              </w:rPr>
              <w:t>Планируемое изменение размера государственной пошлины за выдачу лицензии на осуществление внешнеэкономических операций с товарами, информацией, услугами, работами, результатами интеллектуальной деятельности</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0,05</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0,05</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0,05</w:t>
            </w:r>
          </w:p>
        </w:tc>
      </w:tr>
      <w:tr w:rsidR="00265C60" w:rsidRPr="00265C60" w:rsidTr="0036535D">
        <w:trPr>
          <w:trHeight w:val="5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1.2.10.1</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rPr>
                <w:sz w:val="18"/>
                <w:szCs w:val="18"/>
              </w:rPr>
            </w:pPr>
            <w:r w:rsidRPr="00265C60">
              <w:rPr>
                <w:sz w:val="18"/>
                <w:szCs w:val="18"/>
              </w:rPr>
              <w:t>Установление ставок акцизов на 2028 год  с учетом прогнозируемого уровня инфляции</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72,4</w:t>
            </w:r>
          </w:p>
        </w:tc>
      </w:tr>
      <w:tr w:rsidR="00265C60" w:rsidRPr="00265C60" w:rsidTr="0036535D">
        <w:trPr>
          <w:trHeight w:val="5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1.2.10.2</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D07A8B">
            <w:pPr>
              <w:spacing w:line="240" w:lineRule="auto"/>
              <w:ind w:firstLine="0"/>
              <w:rPr>
                <w:sz w:val="18"/>
                <w:szCs w:val="18"/>
              </w:rPr>
            </w:pPr>
            <w:r w:rsidRPr="00265C60">
              <w:rPr>
                <w:sz w:val="18"/>
                <w:szCs w:val="18"/>
              </w:rPr>
              <w:t>Уточнение ранее установленных ставок акцизов на нефтепродукты и автомобили на 2026</w:t>
            </w:r>
            <w:r w:rsidR="00D07A8B">
              <w:rPr>
                <w:sz w:val="18"/>
                <w:szCs w:val="18"/>
              </w:rPr>
              <w:t>–</w:t>
            </w:r>
            <w:r w:rsidRPr="00265C60">
              <w:rPr>
                <w:sz w:val="18"/>
                <w:szCs w:val="18"/>
              </w:rPr>
              <w:t>2027 гг. с учетом фактически сложившегося уровня инфляции</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4,9</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5,6</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 </w:t>
            </w:r>
          </w:p>
        </w:tc>
      </w:tr>
      <w:tr w:rsidR="00265C60" w:rsidRPr="00265C60" w:rsidTr="0036535D">
        <w:trPr>
          <w:trHeight w:val="5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1.2.11.1</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rPr>
                <w:sz w:val="18"/>
                <w:szCs w:val="18"/>
              </w:rPr>
            </w:pPr>
            <w:r w:rsidRPr="00265C60">
              <w:rPr>
                <w:sz w:val="18"/>
                <w:szCs w:val="18"/>
              </w:rPr>
              <w:t>Продление действия повышенных ставок вывозной таможенной пошлины на семена подсолнечника, масло подсолнечное и шрот подсолнечный до 31 августа 2028 года</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24,2</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84,4</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65,4</w:t>
            </w:r>
          </w:p>
        </w:tc>
      </w:tr>
      <w:tr w:rsidR="00265C60" w:rsidRPr="00265C60" w:rsidTr="0036535D">
        <w:trPr>
          <w:trHeight w:val="201"/>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340E5" w:rsidRPr="00265C60" w:rsidRDefault="00B340E5" w:rsidP="0036535D">
            <w:pPr>
              <w:spacing w:line="240" w:lineRule="auto"/>
              <w:ind w:firstLine="0"/>
              <w:jc w:val="center"/>
              <w:rPr>
                <w:sz w:val="18"/>
                <w:szCs w:val="18"/>
              </w:rPr>
            </w:pPr>
            <w:r w:rsidRPr="00265C60">
              <w:rPr>
                <w:sz w:val="18"/>
                <w:szCs w:val="18"/>
              </w:rPr>
              <w:t>1.2.11.2</w:t>
            </w:r>
          </w:p>
        </w:tc>
        <w:tc>
          <w:tcPr>
            <w:tcW w:w="5939"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rPr>
                <w:sz w:val="18"/>
                <w:szCs w:val="18"/>
              </w:rPr>
            </w:pPr>
            <w:r w:rsidRPr="00265C60">
              <w:rPr>
                <w:sz w:val="18"/>
                <w:szCs w:val="18"/>
              </w:rPr>
              <w:t>Продление действия повышенных ставок ввозных таможенных пошлин на отдельные товары из недружественных стран</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71,9</w:t>
            </w:r>
          </w:p>
        </w:tc>
        <w:tc>
          <w:tcPr>
            <w:tcW w:w="851"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67,0</w:t>
            </w:r>
          </w:p>
        </w:tc>
        <w:tc>
          <w:tcPr>
            <w:tcW w:w="850" w:type="dxa"/>
            <w:tcBorders>
              <w:top w:val="nil"/>
              <w:left w:val="nil"/>
              <w:bottom w:val="single" w:sz="4" w:space="0" w:color="auto"/>
              <w:right w:val="single" w:sz="4" w:space="0" w:color="auto"/>
            </w:tcBorders>
            <w:shd w:val="clear" w:color="auto" w:fill="auto"/>
            <w:vAlign w:val="center"/>
            <w:hideMark/>
          </w:tcPr>
          <w:p w:rsidR="00B340E5" w:rsidRPr="00265C60" w:rsidRDefault="00B340E5" w:rsidP="0036535D">
            <w:pPr>
              <w:spacing w:line="240" w:lineRule="auto"/>
              <w:ind w:firstLine="0"/>
              <w:jc w:val="center"/>
              <w:rPr>
                <w:sz w:val="18"/>
                <w:szCs w:val="18"/>
              </w:rPr>
            </w:pPr>
            <w:r w:rsidRPr="00265C60">
              <w:rPr>
                <w:sz w:val="18"/>
                <w:szCs w:val="18"/>
              </w:rPr>
              <w:t>62,1</w:t>
            </w:r>
          </w:p>
        </w:tc>
      </w:tr>
    </w:tbl>
    <w:p w:rsidR="00B340E5" w:rsidRPr="00265C60" w:rsidRDefault="00B340E5" w:rsidP="00B340E5">
      <w:pPr>
        <w:autoSpaceDE w:val="0"/>
        <w:autoSpaceDN w:val="0"/>
        <w:adjustRightInd w:val="0"/>
        <w:ind w:firstLine="720"/>
        <w:rPr>
          <w:b/>
          <w:sz w:val="10"/>
          <w:szCs w:val="10"/>
        </w:rPr>
      </w:pPr>
    </w:p>
    <w:p w:rsidR="00B340E5" w:rsidRPr="00265C60" w:rsidRDefault="00B340E5" w:rsidP="00B340E5">
      <w:pPr>
        <w:autoSpaceDE w:val="0"/>
        <w:autoSpaceDN w:val="0"/>
        <w:adjustRightInd w:val="0"/>
        <w:ind w:firstLine="720"/>
        <w:rPr>
          <w:b/>
        </w:rPr>
      </w:pPr>
      <w:r w:rsidRPr="00265C60">
        <w:t>Следует отметить, что в материалах предыдущего бюджетного цикла к законопроекту</w:t>
      </w:r>
      <w:r w:rsidRPr="00265C60">
        <w:rPr>
          <w:b/>
        </w:rPr>
        <w:t xml:space="preserve"> </w:t>
      </w:r>
      <w:r w:rsidRPr="00265C60">
        <w:t>о федеральном бюджете на 2025</w:t>
      </w:r>
      <w:r w:rsidR="007A5917">
        <w:t>–</w:t>
      </w:r>
      <w:r w:rsidRPr="00265C60">
        <w:t>2027 г</w:t>
      </w:r>
      <w:r w:rsidR="007A5917">
        <w:t>оды</w:t>
      </w:r>
      <w:r w:rsidRPr="00265C60">
        <w:t xml:space="preserve"> был</w:t>
      </w:r>
      <w:r w:rsidR="00353900">
        <w:t>а</w:t>
      </w:r>
      <w:r w:rsidRPr="00265C60">
        <w:rPr>
          <w:b/>
        </w:rPr>
        <w:t xml:space="preserve"> </w:t>
      </w:r>
      <w:r w:rsidRPr="00265C60">
        <w:rPr>
          <w:b/>
          <w:bCs/>
        </w:rPr>
        <w:t>отражен</w:t>
      </w:r>
      <w:r w:rsidR="00353900">
        <w:rPr>
          <w:b/>
          <w:bCs/>
        </w:rPr>
        <w:t>а оценка</w:t>
      </w:r>
      <w:r w:rsidRPr="00265C60">
        <w:rPr>
          <w:b/>
          <w:bCs/>
        </w:rPr>
        <w:t xml:space="preserve"> неприняты</w:t>
      </w:r>
      <w:r w:rsidR="00353900">
        <w:rPr>
          <w:b/>
          <w:bCs/>
        </w:rPr>
        <w:t>х</w:t>
      </w:r>
      <w:r w:rsidRPr="00265C60">
        <w:rPr>
          <w:b/>
          <w:bCs/>
        </w:rPr>
        <w:t xml:space="preserve"> изменени</w:t>
      </w:r>
      <w:r w:rsidR="00353900">
        <w:rPr>
          <w:b/>
          <w:bCs/>
        </w:rPr>
        <w:t>й</w:t>
      </w:r>
      <w:r w:rsidRPr="00265C60">
        <w:rPr>
          <w:b/>
          <w:bCs/>
        </w:rPr>
        <w:t xml:space="preserve"> законодательства Российской Федерации, нормативных актов Правительства Российской Федерации и ведомственных актов</w:t>
      </w:r>
      <w:r w:rsidRPr="00265C60">
        <w:t>, влияющих на изменение доходов</w:t>
      </w:r>
      <w:r w:rsidR="00353900">
        <w:t>,</w:t>
      </w:r>
      <w:r w:rsidRPr="00265C60">
        <w:rPr>
          <w:b/>
          <w:bCs/>
        </w:rPr>
        <w:t xml:space="preserve"> в</w:t>
      </w:r>
      <w:r w:rsidR="007A5917">
        <w:rPr>
          <w:b/>
          <w:bCs/>
        </w:rPr>
        <w:t> </w:t>
      </w:r>
      <w:r w:rsidRPr="00265C60">
        <w:rPr>
          <w:b/>
          <w:bCs/>
        </w:rPr>
        <w:t xml:space="preserve">2025 году </w:t>
      </w:r>
      <w:r w:rsidRPr="00265C60">
        <w:t xml:space="preserve">в объеме </w:t>
      </w:r>
      <w:r w:rsidRPr="00265C60">
        <w:rPr>
          <w:b/>
          <w:bCs/>
        </w:rPr>
        <w:t>«минус» 218,0 млрд рублей</w:t>
      </w:r>
      <w:r w:rsidRPr="00265C60">
        <w:t xml:space="preserve">, в 2026 и 2027 годах в объеме </w:t>
      </w:r>
      <w:r w:rsidRPr="00265C60">
        <w:rPr>
          <w:b/>
          <w:bCs/>
        </w:rPr>
        <w:t>330,5 млрд рублей</w:t>
      </w:r>
      <w:r w:rsidRPr="00265C60">
        <w:t xml:space="preserve"> и </w:t>
      </w:r>
      <w:r w:rsidRPr="00265C60">
        <w:rPr>
          <w:b/>
          <w:bCs/>
        </w:rPr>
        <w:t xml:space="preserve">1 286,6 млрд рублей </w:t>
      </w:r>
      <w:r w:rsidRPr="00265C60">
        <w:t>соответственно.</w:t>
      </w:r>
    </w:p>
    <w:p w:rsidR="00B340E5" w:rsidRPr="00265C60" w:rsidRDefault="00B340E5" w:rsidP="00B340E5">
      <w:pPr>
        <w:autoSpaceDE w:val="0"/>
        <w:autoSpaceDN w:val="0"/>
        <w:adjustRightInd w:val="0"/>
        <w:ind w:firstLine="720"/>
      </w:pPr>
      <w:r w:rsidRPr="00265C60">
        <w:rPr>
          <w:b/>
        </w:rPr>
        <w:t>Основные изменения налогового законодательства</w:t>
      </w:r>
      <w:r w:rsidRPr="00265C60">
        <w:t xml:space="preserve"> сформированы </w:t>
      </w:r>
      <w:r w:rsidRPr="00265C60">
        <w:rPr>
          <w:b/>
        </w:rPr>
        <w:t>по</w:t>
      </w:r>
      <w:r w:rsidRPr="00265C60">
        <w:t xml:space="preserve"> </w:t>
      </w:r>
      <w:r w:rsidRPr="00265C60">
        <w:rPr>
          <w:b/>
        </w:rPr>
        <w:t>налогу на</w:t>
      </w:r>
      <w:r w:rsidR="007A5917">
        <w:rPr>
          <w:b/>
        </w:rPr>
        <w:t> </w:t>
      </w:r>
      <w:r w:rsidRPr="00265C60">
        <w:rPr>
          <w:b/>
        </w:rPr>
        <w:t>добавленную стоимость</w:t>
      </w:r>
      <w:r w:rsidRPr="00265C60">
        <w:t>, который является одним из основных ненефтегазовых доходов федерального бюджета</w:t>
      </w:r>
      <w:r w:rsidR="00353900">
        <w:t>,</w:t>
      </w:r>
      <w:r w:rsidRPr="00265C60">
        <w:t xml:space="preserve"> в части </w:t>
      </w:r>
      <w:r w:rsidRPr="00265C60">
        <w:rPr>
          <w:b/>
        </w:rPr>
        <w:t>повышения</w:t>
      </w:r>
      <w:r w:rsidRPr="00265C60">
        <w:t xml:space="preserve"> с 1 января 2026 года </w:t>
      </w:r>
      <w:r w:rsidRPr="00265C60">
        <w:rPr>
          <w:b/>
        </w:rPr>
        <w:t>ставки</w:t>
      </w:r>
      <w:r w:rsidRPr="00265C60">
        <w:t xml:space="preserve"> </w:t>
      </w:r>
      <w:r w:rsidRPr="00265C60">
        <w:rPr>
          <w:b/>
        </w:rPr>
        <w:t>НДС на 2 процентных пункта</w:t>
      </w:r>
      <w:r w:rsidRPr="00265C60">
        <w:t>, снижения порога по выручке для плательщиков упрощенной системы налогообложения (УСН)</w:t>
      </w:r>
      <w:r w:rsidR="00353900" w:rsidRPr="00265C60">
        <w:t>, при котором возникает обязанность уплачивать НДС,</w:t>
      </w:r>
      <w:r w:rsidRPr="00265C60">
        <w:t xml:space="preserve"> </w:t>
      </w:r>
      <w:r w:rsidRPr="00265C60">
        <w:rPr>
          <w:b/>
        </w:rPr>
        <w:t>с</w:t>
      </w:r>
      <w:r w:rsidR="007A5917">
        <w:rPr>
          <w:b/>
        </w:rPr>
        <w:t> </w:t>
      </w:r>
      <w:r w:rsidRPr="00265C60">
        <w:rPr>
          <w:b/>
        </w:rPr>
        <w:t>60 млн рублей до 10 млн рублей</w:t>
      </w:r>
      <w:r w:rsidR="00353900">
        <w:rPr>
          <w:b/>
        </w:rPr>
        <w:t>,</w:t>
      </w:r>
      <w:r w:rsidRPr="00265C60">
        <w:t xml:space="preserve"> а также введения системы подтверждения ожидания товаров в общем объеме </w:t>
      </w:r>
      <w:r w:rsidRPr="00265C60">
        <w:rPr>
          <w:b/>
        </w:rPr>
        <w:t xml:space="preserve">1 436,7 млрд рублей в 2026 году </w:t>
      </w:r>
      <w:r w:rsidRPr="00265C60">
        <w:rPr>
          <w:bCs/>
        </w:rPr>
        <w:t>(</w:t>
      </w:r>
      <w:r w:rsidRPr="00265C60">
        <w:rPr>
          <w:b/>
          <w:bCs/>
        </w:rPr>
        <w:t xml:space="preserve">80,6 % </w:t>
      </w:r>
      <w:r w:rsidRPr="00265C60">
        <w:rPr>
          <w:bCs/>
        </w:rPr>
        <w:t>общего объема изменения законодательства)</w:t>
      </w:r>
      <w:r w:rsidRPr="00265C60">
        <w:t>, 1 859,5 млрд рублей в 2027</w:t>
      </w:r>
      <w:r w:rsidR="004F627B">
        <w:t xml:space="preserve"> </w:t>
      </w:r>
      <w:r w:rsidRPr="00265C60">
        <w:t xml:space="preserve">году </w:t>
      </w:r>
      <w:r w:rsidRPr="00265C60">
        <w:rPr>
          <w:bCs/>
        </w:rPr>
        <w:t>(</w:t>
      </w:r>
      <w:r w:rsidRPr="00265C60">
        <w:rPr>
          <w:b/>
          <w:bCs/>
        </w:rPr>
        <w:t>69,3 %</w:t>
      </w:r>
      <w:r w:rsidRPr="00265C60">
        <w:rPr>
          <w:bCs/>
        </w:rPr>
        <w:t>)</w:t>
      </w:r>
      <w:r w:rsidR="004F627B">
        <w:t xml:space="preserve">, 2 026,8 </w:t>
      </w:r>
      <w:r w:rsidRPr="00265C60">
        <w:t xml:space="preserve">млрд рублей </w:t>
      </w:r>
      <w:r w:rsidR="004F627B">
        <w:br/>
      </w:r>
      <w:r w:rsidRPr="00265C60">
        <w:t>в</w:t>
      </w:r>
      <w:r w:rsidR="004F627B">
        <w:t xml:space="preserve"> </w:t>
      </w:r>
      <w:r w:rsidRPr="00265C60">
        <w:t>2028</w:t>
      </w:r>
      <w:r w:rsidR="004F627B">
        <w:t xml:space="preserve"> </w:t>
      </w:r>
      <w:r w:rsidRPr="00265C60">
        <w:t>году</w:t>
      </w:r>
      <w:r w:rsidRPr="00265C60">
        <w:rPr>
          <w:bCs/>
        </w:rPr>
        <w:t>(</w:t>
      </w:r>
      <w:r w:rsidRPr="00265C60">
        <w:rPr>
          <w:b/>
          <w:bCs/>
        </w:rPr>
        <w:t>65,8 %</w:t>
      </w:r>
      <w:r w:rsidRPr="00265C60">
        <w:rPr>
          <w:bCs/>
        </w:rPr>
        <w:t>)</w:t>
      </w:r>
      <w:r w:rsidRPr="00265C60">
        <w:t>.</w:t>
      </w:r>
    </w:p>
    <w:p w:rsidR="00B340E5" w:rsidRPr="00265C60" w:rsidRDefault="00B340E5" w:rsidP="00B340E5">
      <w:pPr>
        <w:autoSpaceDE w:val="0"/>
        <w:autoSpaceDN w:val="0"/>
        <w:adjustRightInd w:val="0"/>
        <w:ind w:firstLine="720"/>
      </w:pPr>
      <w:r w:rsidRPr="00265C60">
        <w:t>В материалах к законопроекту</w:t>
      </w:r>
      <w:r w:rsidRPr="00265C60">
        <w:rPr>
          <w:b/>
        </w:rPr>
        <w:t xml:space="preserve"> </w:t>
      </w:r>
      <w:r w:rsidRPr="00265C60">
        <w:rPr>
          <w:b/>
          <w:bCs/>
        </w:rPr>
        <w:t>отсутствуют новые законодательные инициативы</w:t>
      </w:r>
      <w:r w:rsidRPr="00265C60">
        <w:t>, а</w:t>
      </w:r>
      <w:r w:rsidR="007A5917">
        <w:t> </w:t>
      </w:r>
      <w:r w:rsidRPr="00265C60">
        <w:t xml:space="preserve">также информация </w:t>
      </w:r>
      <w:r w:rsidR="00353900">
        <w:t>о</w:t>
      </w:r>
      <w:r w:rsidRPr="00265C60">
        <w:t xml:space="preserve"> продлени</w:t>
      </w:r>
      <w:r w:rsidR="00353900">
        <w:t>и</w:t>
      </w:r>
      <w:r w:rsidRPr="00265C60">
        <w:t xml:space="preserve"> ранее введенных изменений законодательства</w:t>
      </w:r>
      <w:r w:rsidR="00353900">
        <w:t>,</w:t>
      </w:r>
      <w:r w:rsidRPr="00265C60">
        <w:t xml:space="preserve"> влияющих на поступление доходов</w:t>
      </w:r>
      <w:r w:rsidR="00353900">
        <w:t>,</w:t>
      </w:r>
      <w:r w:rsidRPr="00265C60">
        <w:rPr>
          <w:b/>
          <w:bCs/>
        </w:rPr>
        <w:t xml:space="preserve"> в 2026 году </w:t>
      </w:r>
      <w:r w:rsidRPr="00265C60">
        <w:t xml:space="preserve">в объеме </w:t>
      </w:r>
      <w:r w:rsidRPr="00265C60">
        <w:rPr>
          <w:b/>
          <w:bCs/>
        </w:rPr>
        <w:t xml:space="preserve">151,7 млрд рублей </w:t>
      </w:r>
      <w:r w:rsidRPr="00265C60">
        <w:rPr>
          <w:bCs/>
        </w:rPr>
        <w:t>(</w:t>
      </w:r>
      <w:r w:rsidRPr="00265C60">
        <w:rPr>
          <w:b/>
          <w:bCs/>
        </w:rPr>
        <w:t xml:space="preserve">8,5 % </w:t>
      </w:r>
      <w:r w:rsidRPr="00265C60">
        <w:rPr>
          <w:bCs/>
        </w:rPr>
        <w:t>общего объема изменения законодательства)</w:t>
      </w:r>
      <w:r w:rsidRPr="00265C60">
        <w:t xml:space="preserve">, в 2027 и 2028 годах в объеме </w:t>
      </w:r>
      <w:r w:rsidRPr="00265C60">
        <w:rPr>
          <w:b/>
          <w:bCs/>
        </w:rPr>
        <w:t>251,4 млрд рублей</w:t>
      </w:r>
      <w:r w:rsidRPr="00265C60">
        <w:t xml:space="preserve"> </w:t>
      </w:r>
      <w:r w:rsidRPr="00265C60">
        <w:rPr>
          <w:bCs/>
        </w:rPr>
        <w:t>(</w:t>
      </w:r>
      <w:r w:rsidRPr="00265C60">
        <w:rPr>
          <w:b/>
          <w:bCs/>
        </w:rPr>
        <w:t>9,4 %</w:t>
      </w:r>
      <w:r w:rsidRPr="00265C60">
        <w:rPr>
          <w:bCs/>
        </w:rPr>
        <w:t>)</w:t>
      </w:r>
      <w:r w:rsidRPr="00265C60">
        <w:rPr>
          <w:b/>
          <w:bCs/>
        </w:rPr>
        <w:t xml:space="preserve"> </w:t>
      </w:r>
      <w:r w:rsidRPr="00265C60">
        <w:t xml:space="preserve">и </w:t>
      </w:r>
      <w:r w:rsidRPr="00265C60">
        <w:rPr>
          <w:b/>
          <w:bCs/>
        </w:rPr>
        <w:t>277,6</w:t>
      </w:r>
      <w:r w:rsidRPr="00265C60">
        <w:t xml:space="preserve"> </w:t>
      </w:r>
      <w:r w:rsidRPr="00265C60">
        <w:rPr>
          <w:b/>
          <w:bCs/>
        </w:rPr>
        <w:t xml:space="preserve">млрд рублей </w:t>
      </w:r>
      <w:r w:rsidRPr="00265C60">
        <w:rPr>
          <w:bCs/>
        </w:rPr>
        <w:t>(</w:t>
      </w:r>
      <w:r w:rsidRPr="00265C60">
        <w:rPr>
          <w:b/>
          <w:bCs/>
        </w:rPr>
        <w:t>9,0 %</w:t>
      </w:r>
      <w:r w:rsidRPr="00265C60">
        <w:rPr>
          <w:bCs/>
        </w:rPr>
        <w:t>)</w:t>
      </w:r>
      <w:r w:rsidRPr="00265C60">
        <w:rPr>
          <w:b/>
          <w:bCs/>
        </w:rPr>
        <w:t xml:space="preserve"> </w:t>
      </w:r>
      <w:r w:rsidRPr="00265C60">
        <w:t>соответственно (в части инициатив по налогу на добавленную стоимость (пункт 1.2.2.4 приложения № 2 к пояснительной записке к законопроекту – в</w:t>
      </w:r>
      <w:r w:rsidR="007A5917">
        <w:t> </w:t>
      </w:r>
      <w:r w:rsidRPr="00265C60">
        <w:t>части введения системы подтверждения ожидания товаров), таможенным пошлинам (пункт</w:t>
      </w:r>
      <w:r w:rsidR="007A5917">
        <w:t> </w:t>
      </w:r>
      <w:r w:rsidRPr="00265C60">
        <w:t>1.2.6.3), государственным пошлинам (пункт 1.2.7.5), а также продления действия повышенных ставок вывозных и ввозных таможенных пошлин (пункты 1.2.11.1, 1.2.11.2).</w:t>
      </w:r>
    </w:p>
    <w:p w:rsidR="00B340E5" w:rsidRPr="00265C60" w:rsidRDefault="003F0603" w:rsidP="00B340E5">
      <w:pPr>
        <w:autoSpaceDE w:val="0"/>
        <w:autoSpaceDN w:val="0"/>
        <w:adjustRightInd w:val="0"/>
        <w:ind w:firstLine="720"/>
      </w:pPr>
      <w:r w:rsidRPr="00265C60">
        <w:rPr>
          <w:b/>
        </w:rPr>
        <w:t>3.2.</w:t>
      </w:r>
      <w:r w:rsidR="00B340E5" w:rsidRPr="00265C60">
        <w:rPr>
          <w:b/>
        </w:rPr>
        <w:t>8</w:t>
      </w:r>
      <w:r w:rsidRPr="00265C60">
        <w:rPr>
          <w:b/>
        </w:rPr>
        <w:t>.3. </w:t>
      </w:r>
      <w:r w:rsidR="00B340E5" w:rsidRPr="00265C60">
        <w:t xml:space="preserve">В приложении № 2 к пояснительной записке к законопроекту </w:t>
      </w:r>
      <w:r w:rsidR="00B340E5" w:rsidRPr="00265C60">
        <w:rPr>
          <w:b/>
        </w:rPr>
        <w:t>не учтены принятые изменения</w:t>
      </w:r>
      <w:r w:rsidR="00B340E5" w:rsidRPr="00265C60">
        <w:t xml:space="preserve"> законодательства и нормативных правовых актов Российской Федерации в части:</w:t>
      </w:r>
    </w:p>
    <w:p w:rsidR="00B340E5" w:rsidRPr="00265C60" w:rsidRDefault="00B340E5" w:rsidP="00B340E5">
      <w:pPr>
        <w:autoSpaceDE w:val="0"/>
        <w:autoSpaceDN w:val="0"/>
        <w:adjustRightInd w:val="0"/>
        <w:ind w:firstLine="720"/>
      </w:pPr>
      <w:r w:rsidRPr="00265C60">
        <w:t>1) прекращения с 1 января 2026 года действия налоговых преференций по налогу на</w:t>
      </w:r>
      <w:r w:rsidR="007A5917">
        <w:t> </w:t>
      </w:r>
      <w:r w:rsidRPr="00265C60">
        <w:t xml:space="preserve">прибыль для участников Особой экономической зоны в Магаданской области. </w:t>
      </w:r>
    </w:p>
    <w:p w:rsidR="00B340E5" w:rsidRPr="00265C60" w:rsidRDefault="00B340E5" w:rsidP="00B340E5">
      <w:pPr>
        <w:autoSpaceDE w:val="0"/>
        <w:autoSpaceDN w:val="0"/>
        <w:adjustRightInd w:val="0"/>
        <w:ind w:firstLine="720"/>
      </w:pPr>
      <w:r w:rsidRPr="00265C60">
        <w:t xml:space="preserve">Федеральным законом от 7 июня 2025 г. № 147-ФЗ «О внесении изменений в часть вторую Налогового кодекса Российской Федерации» предусмотрено прекращение действия налоговых преференций по НДПИ и налогу на прибыль для участников Особой экономической зоны в Магаданской области. </w:t>
      </w:r>
    </w:p>
    <w:p w:rsidR="00B340E5" w:rsidRPr="00265C60" w:rsidRDefault="00B340E5" w:rsidP="00B340E5">
      <w:pPr>
        <w:autoSpaceDE w:val="0"/>
        <w:autoSpaceDN w:val="0"/>
        <w:adjustRightInd w:val="0"/>
        <w:ind w:firstLine="720"/>
      </w:pPr>
      <w:r w:rsidRPr="00265C60">
        <w:t xml:space="preserve">В соответствии с финансово-экономическим обоснованием к законопроекту </w:t>
      </w:r>
      <w:r w:rsidRPr="00265C60">
        <w:br/>
        <w:t>№</w:t>
      </w:r>
      <w:r w:rsidR="007A5917">
        <w:t> </w:t>
      </w:r>
      <w:r w:rsidRPr="00265C60">
        <w:t>864832-8 «О внесении изменений в часть вторую Налогового кодекса Российской Федерации» (в части уточнения порядка налогообложения участников Особой экономической зоны в Магаданской области) в результате прекращения действия налоговых льгот, установленных для участников Особой экономической зоны в Магаданской области, ожидается рост поступлений в бюджеты бюджетной системы Российской Федерации в</w:t>
      </w:r>
      <w:r w:rsidR="007A5917">
        <w:t> </w:t>
      </w:r>
      <w:r w:rsidRPr="00265C60">
        <w:t>размере более 4 млрд рублей ежегодно (в 2026 году – 4,357 млрд рублей, в 2027 году – 4,531 млрд рублей, в 2028 году – 4,713 млрд рублей).</w:t>
      </w:r>
    </w:p>
    <w:p w:rsidR="00B340E5" w:rsidRPr="00265C60" w:rsidRDefault="00B340E5" w:rsidP="00B340E5">
      <w:pPr>
        <w:autoSpaceDE w:val="0"/>
        <w:autoSpaceDN w:val="0"/>
        <w:adjustRightInd w:val="0"/>
        <w:ind w:firstLine="720"/>
      </w:pPr>
      <w:r w:rsidRPr="00265C60">
        <w:t xml:space="preserve">При этом в </w:t>
      </w:r>
      <w:r w:rsidR="00353900">
        <w:t>п</w:t>
      </w:r>
      <w:r w:rsidRPr="00265C60">
        <w:t>риложении</w:t>
      </w:r>
      <w:r w:rsidR="00353900">
        <w:t xml:space="preserve"> №</w:t>
      </w:r>
      <w:r w:rsidRPr="00265C60">
        <w:t xml:space="preserve"> 2 к пояснительной записке к законопроекту учтено прекращение с 1 января 2026 года действия налоговых преференций для участников Особой экономической зоны в Магаданской области только в отношении НДПИ на сумму в</w:t>
      </w:r>
      <w:r w:rsidR="007A5917">
        <w:t> </w:t>
      </w:r>
      <w:r w:rsidRPr="00265C60">
        <w:t>2,4 млрд рублей в 2026 году, 2,5 млрд рублей и 2,6 млрд рублей в 2</w:t>
      </w:r>
      <w:r w:rsidR="004F627B">
        <w:t>027 и 2028 годах соответственно;</w:t>
      </w:r>
    </w:p>
    <w:p w:rsidR="00B340E5" w:rsidRPr="00265C60" w:rsidRDefault="00B340E5" w:rsidP="00B340E5">
      <w:pPr>
        <w:autoSpaceDE w:val="0"/>
        <w:autoSpaceDN w:val="0"/>
        <w:adjustRightInd w:val="0"/>
        <w:ind w:firstLine="720"/>
      </w:pPr>
      <w:r w:rsidRPr="00265C60">
        <w:t>2) изменени</w:t>
      </w:r>
      <w:r w:rsidR="00353900">
        <w:t>й</w:t>
      </w:r>
      <w:r w:rsidRPr="00265C60">
        <w:t>, предусмотренны</w:t>
      </w:r>
      <w:r w:rsidR="00353900">
        <w:t>х</w:t>
      </w:r>
      <w:r w:rsidRPr="00265C60">
        <w:t xml:space="preserve"> нормативными правовыми актами Российской Федерации в части утилизационного сбора.</w:t>
      </w:r>
      <w:bookmarkStart w:id="3" w:name="_GoBack"/>
      <w:bookmarkEnd w:id="3"/>
    </w:p>
    <w:p w:rsidR="00B340E5" w:rsidRPr="00265C60" w:rsidRDefault="00B340E5" w:rsidP="00A67CC7">
      <w:pPr>
        <w:autoSpaceDE w:val="0"/>
        <w:autoSpaceDN w:val="0"/>
        <w:adjustRightInd w:val="0"/>
        <w:spacing w:line="336" w:lineRule="auto"/>
        <w:ind w:firstLine="720"/>
      </w:pPr>
      <w:r w:rsidRPr="00265C60">
        <w:t>Постановлением Правительства Российской Федерации от 15 июля 2025 г</w:t>
      </w:r>
      <w:r w:rsidR="007A5917">
        <w:t>.</w:t>
      </w:r>
      <w:r w:rsidRPr="00265C60">
        <w:t xml:space="preserve"> № 1065 «О</w:t>
      </w:r>
      <w:r w:rsidR="007A5917">
        <w:t> </w:t>
      </w:r>
      <w:r w:rsidRPr="00265C60">
        <w:t>внесении изменений в постановление Правительства Российской Федерации от 26 декабря 2013 г. № 1291» уточнены коэффициенты для расчета утилизационного сбора в</w:t>
      </w:r>
      <w:r w:rsidR="007A5917">
        <w:t> </w:t>
      </w:r>
      <w:r w:rsidRPr="00265C60">
        <w:t>отношении автосамосвалов, автомобилей фургонов, седельных тягачей и специальных транспортных средств, а также внесены изменения для физических лиц, ввозящих автомобили для личного пользования.</w:t>
      </w:r>
    </w:p>
    <w:p w:rsidR="00B340E5" w:rsidRPr="00265C60" w:rsidRDefault="00B340E5" w:rsidP="00A67CC7">
      <w:pPr>
        <w:autoSpaceDE w:val="0"/>
        <w:autoSpaceDN w:val="0"/>
        <w:adjustRightInd w:val="0"/>
        <w:spacing w:line="336" w:lineRule="auto"/>
        <w:ind w:firstLine="720"/>
      </w:pPr>
      <w:r w:rsidRPr="00265C60">
        <w:t>Кроме того, в настоящее время проходит процедуру общественного обсуждения проект постановления Правительства Российской Федерации «О внесении изменений в</w:t>
      </w:r>
      <w:r w:rsidR="007A5917">
        <w:t> </w:t>
      </w:r>
      <w:r w:rsidRPr="00265C60">
        <w:t>постановление Правительства Российской Федерации от 26 декабря 2013 г. №</w:t>
      </w:r>
      <w:r w:rsidR="007A5917">
        <w:t> </w:t>
      </w:r>
      <w:r w:rsidRPr="00265C60">
        <w:t>1291»</w:t>
      </w:r>
      <w:r w:rsidRPr="00265C60">
        <w:rPr>
          <w:rStyle w:val="afc"/>
        </w:rPr>
        <w:footnoteReference w:id="1"/>
      </w:r>
      <w:r w:rsidRPr="00265C60">
        <w:t>, предусматривающий изменения ставок утилизацион</w:t>
      </w:r>
      <w:r w:rsidR="007A5917">
        <w:t>ного сбора с 1 ноября 2025 года;</w:t>
      </w:r>
    </w:p>
    <w:p w:rsidR="00B340E5" w:rsidRPr="00265C60" w:rsidRDefault="00B340E5" w:rsidP="00A67CC7">
      <w:pPr>
        <w:autoSpaceDE w:val="0"/>
        <w:autoSpaceDN w:val="0"/>
        <w:adjustRightInd w:val="0"/>
        <w:spacing w:line="336" w:lineRule="auto"/>
        <w:ind w:firstLine="720"/>
      </w:pPr>
      <w:r w:rsidRPr="00265C60">
        <w:t>3)</w:t>
      </w:r>
      <w:r w:rsidR="00B24D31">
        <w:t> </w:t>
      </w:r>
      <w:r w:rsidRPr="00265C60">
        <w:t>изменени</w:t>
      </w:r>
      <w:r w:rsidR="00353900">
        <w:t>й</w:t>
      </w:r>
      <w:r w:rsidRPr="00265C60">
        <w:t>, направленны</w:t>
      </w:r>
      <w:r w:rsidR="00353900">
        <w:t>х</w:t>
      </w:r>
      <w:r w:rsidRPr="00265C60">
        <w:t xml:space="preserve"> на установление ответственности в сфере связи и информации.</w:t>
      </w:r>
    </w:p>
    <w:p w:rsidR="00B340E5" w:rsidRPr="00265C60" w:rsidRDefault="00B340E5" w:rsidP="00A67CC7">
      <w:pPr>
        <w:autoSpaceDE w:val="0"/>
        <w:autoSpaceDN w:val="0"/>
        <w:adjustRightInd w:val="0"/>
        <w:spacing w:line="336" w:lineRule="auto"/>
        <w:ind w:firstLine="720"/>
      </w:pPr>
      <w:r w:rsidRPr="00265C60">
        <w:t>Федеральным законом от 31 июля 2025 г. № 281 «О внесении изменений в Кодекс Российской Федерации об административных правонарушениях и Федеральный закон «О внесении изменений в Кодекс Российской Федерации об административных правонарушениях» установлена административная ответственность за передачу иным лицам номера телефона и данных для авторизации на информационных ресурсах, а также за</w:t>
      </w:r>
      <w:r w:rsidR="00B24D31">
        <w:t> </w:t>
      </w:r>
      <w:r w:rsidRPr="00265C60">
        <w:t>нарушение порядка использования программно-аппаратных средств доступа к</w:t>
      </w:r>
      <w:r w:rsidR="00B24D31">
        <w:t> </w:t>
      </w:r>
      <w:r w:rsidRPr="00265C60">
        <w:t>информационным ресурсам, информационно-телекоммуникационным сетям доступ к</w:t>
      </w:r>
      <w:r w:rsidR="00B24D31">
        <w:t> </w:t>
      </w:r>
      <w:r w:rsidRPr="00265C60">
        <w:t>которым ограничен.</w:t>
      </w:r>
    </w:p>
    <w:p w:rsidR="00B340E5" w:rsidRPr="00265C60" w:rsidRDefault="00B340E5" w:rsidP="00A67CC7">
      <w:pPr>
        <w:autoSpaceDE w:val="0"/>
        <w:autoSpaceDN w:val="0"/>
        <w:adjustRightInd w:val="0"/>
        <w:spacing w:line="336" w:lineRule="auto"/>
        <w:ind w:firstLine="720"/>
      </w:pPr>
      <w:r w:rsidRPr="00265C60">
        <w:t>Предполагаемые изменения могут оказать влияние на поступления доходов федерального бюджета в 2026–2028 годах.</w:t>
      </w:r>
    </w:p>
    <w:p w:rsidR="00B340E5" w:rsidRPr="00265C60" w:rsidRDefault="00B340E5" w:rsidP="00A67CC7">
      <w:pPr>
        <w:autoSpaceDE w:val="0"/>
        <w:autoSpaceDN w:val="0"/>
        <w:adjustRightInd w:val="0"/>
        <w:spacing w:line="336" w:lineRule="auto"/>
        <w:ind w:firstLine="720"/>
      </w:pPr>
      <w:r w:rsidRPr="00265C60">
        <w:t xml:space="preserve">В </w:t>
      </w:r>
      <w:r w:rsidR="00353900">
        <w:t>п</w:t>
      </w:r>
      <w:r w:rsidRPr="00265C60">
        <w:t xml:space="preserve">риложении № 2 к пояснительной записке к законопроекту </w:t>
      </w:r>
      <w:r w:rsidRPr="00265C60">
        <w:rPr>
          <w:b/>
        </w:rPr>
        <w:t>не учтены проектируемые изменения</w:t>
      </w:r>
      <w:r w:rsidRPr="00265C60">
        <w:t xml:space="preserve"> законодательства и нормативных правовых актов Российской Федерации.</w:t>
      </w:r>
    </w:p>
    <w:p w:rsidR="00B340E5" w:rsidRPr="00265C60" w:rsidRDefault="00B340E5" w:rsidP="00A67CC7">
      <w:pPr>
        <w:autoSpaceDE w:val="0"/>
        <w:autoSpaceDN w:val="0"/>
        <w:adjustRightInd w:val="0"/>
        <w:spacing w:line="336" w:lineRule="auto"/>
        <w:ind w:firstLine="720"/>
      </w:pPr>
      <w:r w:rsidRPr="00265C60">
        <w:t xml:space="preserve">Так, одновременно с </w:t>
      </w:r>
      <w:r w:rsidR="00353900">
        <w:t>законопроектом</w:t>
      </w:r>
      <w:r w:rsidRPr="00265C60">
        <w:t xml:space="preserve"> внесен проект федерального закона </w:t>
      </w:r>
      <w:r w:rsidRPr="00265C60">
        <w:br/>
        <w:t xml:space="preserve">№ 1026190-8 «О внесении изменений в части первую и вторую Налогового кодекса Российской Федерации и отдельные законодательные акты Российской Федерации» (далее – законопроект </w:t>
      </w:r>
      <w:r w:rsidR="00353900">
        <w:t>№ 1026190-8</w:t>
      </w:r>
      <w:r w:rsidRPr="00265C60">
        <w:t xml:space="preserve">). </w:t>
      </w:r>
    </w:p>
    <w:p w:rsidR="00B340E5" w:rsidRPr="00265C60" w:rsidRDefault="00B340E5" w:rsidP="00A67CC7">
      <w:pPr>
        <w:autoSpaceDE w:val="0"/>
        <w:autoSpaceDN w:val="0"/>
        <w:adjustRightInd w:val="0"/>
        <w:spacing w:line="336" w:lineRule="auto"/>
        <w:ind w:firstLine="720"/>
      </w:pPr>
      <w:r w:rsidRPr="00265C60">
        <w:t xml:space="preserve">Законопроектом </w:t>
      </w:r>
      <w:r w:rsidR="00353900">
        <w:t>№ 1026190-8</w:t>
      </w:r>
      <w:r w:rsidRPr="00265C60">
        <w:t xml:space="preserve"> предусмотрены изменения законодательства, оценка влияния которых не приведена в </w:t>
      </w:r>
      <w:r w:rsidR="00353900">
        <w:t>п</w:t>
      </w:r>
      <w:r w:rsidRPr="00265C60">
        <w:t xml:space="preserve">риложении </w:t>
      </w:r>
      <w:r w:rsidR="00353900">
        <w:t xml:space="preserve">№ </w:t>
      </w:r>
      <w:r w:rsidRPr="00265C60">
        <w:t>2 к пояснительной записке к законопроекту, а именно:</w:t>
      </w:r>
    </w:p>
    <w:p w:rsidR="00B340E5" w:rsidRPr="00265C60" w:rsidRDefault="00B340E5" w:rsidP="00A67CC7">
      <w:pPr>
        <w:autoSpaceDE w:val="0"/>
        <w:autoSpaceDN w:val="0"/>
        <w:adjustRightInd w:val="0"/>
        <w:spacing w:line="336" w:lineRule="auto"/>
        <w:ind w:firstLine="720"/>
      </w:pPr>
      <w:r w:rsidRPr="00265C60">
        <w:t>1) установление налоговой ставки НДС в размере 0 процентов при реализации руды, концентратов и других промышленных продуктов, содержащих драгоценные металлы, налогоплательщиками, осуществляющими добычу драгоценных металлов, аффинажным организациям, имеющим право осуществлять аффинаж драгоценных металлов;</w:t>
      </w:r>
    </w:p>
    <w:p w:rsidR="00B340E5" w:rsidRPr="00265C60" w:rsidRDefault="00B340E5" w:rsidP="00A67CC7">
      <w:pPr>
        <w:autoSpaceDE w:val="0"/>
        <w:autoSpaceDN w:val="0"/>
        <w:adjustRightInd w:val="0"/>
        <w:spacing w:line="336" w:lineRule="auto"/>
        <w:ind w:firstLine="720"/>
      </w:pPr>
      <w:r w:rsidRPr="00265C60">
        <w:t>2) исключени</w:t>
      </w:r>
      <w:r w:rsidR="00353900">
        <w:t>е</w:t>
      </w:r>
      <w:r w:rsidRPr="00265C60">
        <w:t xml:space="preserve"> из числа операций, не облагаемых НДС</w:t>
      </w:r>
      <w:r w:rsidR="00353900">
        <w:t>,</w:t>
      </w:r>
      <w:r w:rsidRPr="00265C60">
        <w:t xml:space="preserve"> реализации </w:t>
      </w:r>
      <w:hyperlink r:id="rId8" w:history="1">
        <w:r w:rsidRPr="00265C60">
          <w:rPr>
            <w:rStyle w:val="affb"/>
            <w:color w:val="auto"/>
            <w:u w:val="none"/>
          </w:rPr>
          <w:t>исключительных прав</w:t>
        </w:r>
      </w:hyperlink>
      <w:r w:rsidRPr="00265C60">
        <w:t xml:space="preserve"> на программы для электронных вычислительных маши</w:t>
      </w:r>
      <w:r w:rsidR="000C7E66">
        <w:t>н и базы данных, включенные в</w:t>
      </w:r>
      <w:r w:rsidR="00B24D31">
        <w:t> </w:t>
      </w:r>
      <w:r w:rsidRPr="00265C60">
        <w:t>соответствующий Единый реестр российских программ для электронных вычислительных машин и баз данных (</w:t>
      </w:r>
      <w:hyperlink r:id="rId9" w:history="1">
        <w:r w:rsidRPr="00265C60">
          <w:rPr>
            <w:rStyle w:val="affb"/>
            <w:color w:val="auto"/>
            <w:u w:val="none"/>
          </w:rPr>
          <w:t>подпункт 26 пункта 2 статьи 149</w:t>
        </w:r>
      </w:hyperlink>
      <w:r w:rsidRPr="00265C60">
        <w:t xml:space="preserve"> Налогового кодекса Российской Федерации);</w:t>
      </w:r>
    </w:p>
    <w:p w:rsidR="00B340E5" w:rsidRPr="00265C60" w:rsidRDefault="00B340E5" w:rsidP="00A67CC7">
      <w:pPr>
        <w:autoSpaceDE w:val="0"/>
        <w:autoSpaceDN w:val="0"/>
        <w:adjustRightInd w:val="0"/>
        <w:spacing w:line="336" w:lineRule="auto"/>
        <w:ind w:firstLine="720"/>
      </w:pPr>
      <w:r w:rsidRPr="00265C60">
        <w:t>3) исключени</w:t>
      </w:r>
      <w:r w:rsidR="000C7E66">
        <w:t>е</w:t>
      </w:r>
      <w:r w:rsidRPr="00265C60">
        <w:t xml:space="preserve"> из числа операций, не облагаемых НДС</w:t>
      </w:r>
      <w:r w:rsidR="000C7E66">
        <w:t>,</w:t>
      </w:r>
      <w:r w:rsidRPr="00265C60">
        <w:t xml:space="preserve"> операций, связанных с</w:t>
      </w:r>
      <w:r w:rsidR="00B24D31">
        <w:t> </w:t>
      </w:r>
      <w:r w:rsidRPr="00265C60">
        <w:t>обслуживанием банковских карт, операций, осуществляемых организациями, обеспечивающими информационное и технологическое взаимодействие между участниками расчетов, включая оказание услуг по сбору, обработке и предоставлению участникам расчетов информации по операциям с банковски</w:t>
      </w:r>
      <w:r w:rsidR="000C7E66">
        <w:t>ми картами</w:t>
      </w:r>
      <w:r w:rsidRPr="00265C60">
        <w:t xml:space="preserve"> (подпункты 3 и 3.1 пункта 3 и подпункт 4 пункта 3 статьи 149 Налогового кодекса Российской Федерации);</w:t>
      </w:r>
    </w:p>
    <w:p w:rsidR="00B340E5" w:rsidRPr="00265C60" w:rsidRDefault="00B340E5" w:rsidP="00A67CC7">
      <w:pPr>
        <w:autoSpaceDE w:val="0"/>
        <w:autoSpaceDN w:val="0"/>
        <w:adjustRightInd w:val="0"/>
        <w:spacing w:line="336" w:lineRule="auto"/>
        <w:ind w:firstLine="720"/>
      </w:pPr>
      <w:r w:rsidRPr="00265C60">
        <w:t>4) изменения, устанавливающие порядок уплаты налога на прибыль организаций российскими участникам</w:t>
      </w:r>
      <w:r w:rsidR="000C7E66">
        <w:t>и</w:t>
      </w:r>
      <w:r w:rsidRPr="00265C60">
        <w:t xml:space="preserve"> международных групп компаний в размере, необходимом для</w:t>
      </w:r>
      <w:r w:rsidR="00C13D28">
        <w:t> </w:t>
      </w:r>
      <w:r w:rsidRPr="00265C60">
        <w:t>достижения минимального уровня налогообложения не ниже 15 %.</w:t>
      </w:r>
    </w:p>
    <w:p w:rsidR="00B340E5" w:rsidRPr="00265C60" w:rsidRDefault="00B340E5" w:rsidP="00A67CC7">
      <w:pPr>
        <w:autoSpaceDE w:val="0"/>
        <w:autoSpaceDN w:val="0"/>
        <w:adjustRightInd w:val="0"/>
        <w:spacing w:line="336" w:lineRule="auto"/>
        <w:ind w:firstLine="720"/>
      </w:pPr>
      <w:r w:rsidRPr="00265C60">
        <w:t>Согласно финансово-экономическому обоснованию к ранее разработанному законопроекту по этим изменениям в связи с введением корректировочного платежа по</w:t>
      </w:r>
      <w:r w:rsidR="00B24D31">
        <w:t> </w:t>
      </w:r>
      <w:r w:rsidRPr="00265C60">
        <w:t>налогу на прибыль организаций в 2027 году ожидаются дополнительные доходы в</w:t>
      </w:r>
      <w:r w:rsidR="00B24D31">
        <w:t> </w:t>
      </w:r>
      <w:r w:rsidRPr="00265C60">
        <w:t>размере порядка 15,8 млрд рублей;</w:t>
      </w:r>
    </w:p>
    <w:p w:rsidR="00B340E5" w:rsidRPr="00265C60" w:rsidRDefault="00B340E5" w:rsidP="00A67CC7">
      <w:pPr>
        <w:autoSpaceDE w:val="0"/>
        <w:autoSpaceDN w:val="0"/>
        <w:adjustRightInd w:val="0"/>
        <w:spacing w:line="336" w:lineRule="auto"/>
        <w:ind w:firstLine="720"/>
      </w:pPr>
      <w:r w:rsidRPr="00265C60">
        <w:t>5) установление государственной пошлины за внесение сведений об обороте товаров, подлежащих обязательной маркировке, в государственную информационную систему мониторинга за оборотом товаров, подлежащих обязательной маркировке средствами идентификации.</w:t>
      </w:r>
    </w:p>
    <w:p w:rsidR="00510C76" w:rsidRPr="00265C60" w:rsidRDefault="000A1517" w:rsidP="00A67CC7">
      <w:pPr>
        <w:spacing w:line="336" w:lineRule="auto"/>
      </w:pPr>
      <w:r w:rsidRPr="00265C60">
        <w:rPr>
          <w:b/>
        </w:rPr>
        <w:t>3.2.</w:t>
      </w:r>
      <w:r w:rsidR="00B340E5" w:rsidRPr="00265C60">
        <w:rPr>
          <w:b/>
        </w:rPr>
        <w:t>9</w:t>
      </w:r>
      <w:r w:rsidRPr="00265C60">
        <w:rPr>
          <w:b/>
        </w:rPr>
        <w:t>. </w:t>
      </w:r>
      <w:r w:rsidR="00510C76" w:rsidRPr="00265C60">
        <w:t xml:space="preserve">Анализ </w:t>
      </w:r>
      <w:r w:rsidR="00510C76" w:rsidRPr="00265C60">
        <w:rPr>
          <w:b/>
        </w:rPr>
        <w:t xml:space="preserve">динамики </w:t>
      </w:r>
      <w:r w:rsidR="004F2D33" w:rsidRPr="00265C60">
        <w:rPr>
          <w:b/>
        </w:rPr>
        <w:t xml:space="preserve">расходов федерального бюджета </w:t>
      </w:r>
      <w:r w:rsidR="004F2D33" w:rsidRPr="00265C60">
        <w:t xml:space="preserve">в </w:t>
      </w:r>
      <w:r w:rsidR="003157EA" w:rsidRPr="00265C60">
        <w:t>202</w:t>
      </w:r>
      <w:r w:rsidR="00F1748E" w:rsidRPr="00265C60">
        <w:t>5</w:t>
      </w:r>
      <w:r w:rsidR="009728FC" w:rsidRPr="00265C60">
        <w:t>–</w:t>
      </w:r>
      <w:r w:rsidR="004F2D33" w:rsidRPr="00265C60">
        <w:t>202</w:t>
      </w:r>
      <w:r w:rsidR="00F1748E" w:rsidRPr="00265C60">
        <w:t>8</w:t>
      </w:r>
      <w:r w:rsidR="004F2D33" w:rsidRPr="00265C60">
        <w:t xml:space="preserve"> годах в</w:t>
      </w:r>
      <w:r w:rsidR="00B24D31">
        <w:t> </w:t>
      </w:r>
      <w:r w:rsidR="004F2D33" w:rsidRPr="00265C60">
        <w:t>номинальном и реальном выражении представлен в следующей таблице.</w:t>
      </w:r>
    </w:p>
    <w:tbl>
      <w:tblPr>
        <w:tblW w:w="10349" w:type="dxa"/>
        <w:tblInd w:w="-318" w:type="dxa"/>
        <w:tblLook w:val="04A0" w:firstRow="1" w:lastRow="0" w:firstColumn="1" w:lastColumn="0" w:noHBand="0" w:noVBand="1"/>
      </w:tblPr>
      <w:tblGrid>
        <w:gridCol w:w="5529"/>
        <w:gridCol w:w="1276"/>
        <w:gridCol w:w="1276"/>
        <w:gridCol w:w="1134"/>
        <w:gridCol w:w="1134"/>
      </w:tblGrid>
      <w:tr w:rsidR="00684E9C" w:rsidRPr="00265C60" w:rsidTr="00A67CC7">
        <w:trPr>
          <w:trHeight w:val="230"/>
          <w:tblHeader/>
        </w:trPr>
        <w:tc>
          <w:tcPr>
            <w:tcW w:w="5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1AF" w:rsidRPr="00265C60" w:rsidRDefault="004911AF" w:rsidP="004011E1">
            <w:pPr>
              <w:spacing w:line="240" w:lineRule="auto"/>
              <w:ind w:firstLine="0"/>
              <w:jc w:val="center"/>
              <w:rPr>
                <w:b/>
                <w:bCs/>
                <w:sz w:val="20"/>
                <w:szCs w:val="20"/>
              </w:rPr>
            </w:pPr>
            <w:r w:rsidRPr="00265C60">
              <w:rPr>
                <w:b/>
                <w:bCs/>
                <w:sz w:val="20"/>
                <w:szCs w:val="20"/>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748E" w:rsidRPr="00265C60" w:rsidRDefault="004911AF" w:rsidP="00F1748E">
            <w:pPr>
              <w:spacing w:line="240" w:lineRule="auto"/>
              <w:ind w:firstLine="0"/>
              <w:jc w:val="center"/>
              <w:rPr>
                <w:b/>
                <w:bCs/>
                <w:sz w:val="20"/>
                <w:szCs w:val="20"/>
              </w:rPr>
            </w:pPr>
            <w:r w:rsidRPr="00265C60">
              <w:rPr>
                <w:b/>
                <w:bCs/>
                <w:sz w:val="20"/>
                <w:szCs w:val="20"/>
              </w:rPr>
              <w:t>202</w:t>
            </w:r>
            <w:r w:rsidR="00F1748E" w:rsidRPr="00265C60">
              <w:rPr>
                <w:b/>
                <w:bCs/>
                <w:sz w:val="20"/>
                <w:szCs w:val="20"/>
              </w:rPr>
              <w:t>5</w:t>
            </w:r>
            <w:r w:rsidRPr="00265C60">
              <w:rPr>
                <w:b/>
                <w:bCs/>
                <w:sz w:val="20"/>
                <w:szCs w:val="20"/>
              </w:rPr>
              <w:t xml:space="preserve"> год (</w:t>
            </w:r>
            <w:r w:rsidR="00F1748E" w:rsidRPr="00265C60">
              <w:rPr>
                <w:b/>
                <w:bCs/>
                <w:sz w:val="20"/>
                <w:szCs w:val="20"/>
              </w:rPr>
              <w:t>законо-</w:t>
            </w:r>
          </w:p>
          <w:p w:rsidR="004911AF" w:rsidRPr="00265C60" w:rsidRDefault="00F1748E" w:rsidP="00F1748E">
            <w:pPr>
              <w:spacing w:line="240" w:lineRule="auto"/>
              <w:ind w:firstLine="0"/>
              <w:jc w:val="center"/>
              <w:rPr>
                <w:b/>
                <w:bCs/>
                <w:sz w:val="20"/>
                <w:szCs w:val="20"/>
              </w:rPr>
            </w:pPr>
            <w:r w:rsidRPr="00265C60">
              <w:rPr>
                <w:b/>
                <w:bCs/>
                <w:sz w:val="20"/>
                <w:szCs w:val="20"/>
              </w:rPr>
              <w:t>проект</w:t>
            </w:r>
            <w:r w:rsidR="004911AF" w:rsidRPr="00265C60">
              <w:rPr>
                <w:b/>
                <w:bCs/>
                <w:sz w:val="20"/>
                <w:szCs w:val="20"/>
              </w:rPr>
              <w:t xml:space="preserve">)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1AF" w:rsidRPr="00265C60" w:rsidRDefault="004911AF" w:rsidP="00F1748E">
            <w:pPr>
              <w:spacing w:line="240" w:lineRule="auto"/>
              <w:ind w:firstLine="0"/>
              <w:jc w:val="center"/>
              <w:rPr>
                <w:b/>
                <w:bCs/>
                <w:sz w:val="20"/>
                <w:szCs w:val="20"/>
              </w:rPr>
            </w:pPr>
            <w:r w:rsidRPr="00265C60">
              <w:rPr>
                <w:b/>
                <w:bCs/>
                <w:sz w:val="20"/>
                <w:szCs w:val="20"/>
              </w:rPr>
              <w:t>202</w:t>
            </w:r>
            <w:r w:rsidR="00F1748E" w:rsidRPr="00265C60">
              <w:rPr>
                <w:b/>
                <w:bCs/>
                <w:sz w:val="20"/>
                <w:szCs w:val="20"/>
              </w:rPr>
              <w:t>6</w:t>
            </w:r>
            <w:r w:rsidRPr="00265C60">
              <w:rPr>
                <w:b/>
                <w:bCs/>
                <w:sz w:val="20"/>
                <w:szCs w:val="20"/>
              </w:rPr>
              <w:t xml:space="preserve"> год (</w:t>
            </w:r>
            <w:r w:rsidR="00423332" w:rsidRPr="00265C60">
              <w:rPr>
                <w:b/>
                <w:bCs/>
                <w:sz w:val="20"/>
                <w:szCs w:val="20"/>
              </w:rPr>
              <w:t>проект</w:t>
            </w:r>
            <w:r w:rsidRPr="00265C60">
              <w:rPr>
                <w:b/>
                <w:bCs/>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1AF" w:rsidRPr="00265C60" w:rsidRDefault="004911AF" w:rsidP="00F1748E">
            <w:pPr>
              <w:spacing w:line="240" w:lineRule="auto"/>
              <w:ind w:firstLine="0"/>
              <w:jc w:val="center"/>
              <w:rPr>
                <w:b/>
                <w:bCs/>
                <w:sz w:val="20"/>
                <w:szCs w:val="20"/>
              </w:rPr>
            </w:pPr>
            <w:r w:rsidRPr="00265C60">
              <w:rPr>
                <w:b/>
                <w:bCs/>
                <w:sz w:val="20"/>
                <w:szCs w:val="20"/>
              </w:rPr>
              <w:t>202</w:t>
            </w:r>
            <w:r w:rsidR="00F1748E" w:rsidRPr="00265C60">
              <w:rPr>
                <w:b/>
                <w:bCs/>
                <w:sz w:val="20"/>
                <w:szCs w:val="20"/>
              </w:rPr>
              <w:t>7</w:t>
            </w:r>
            <w:r w:rsidRPr="00265C60">
              <w:rPr>
                <w:b/>
                <w:bCs/>
                <w:sz w:val="20"/>
                <w:szCs w:val="20"/>
              </w:rPr>
              <w:t xml:space="preserve"> год (</w:t>
            </w:r>
            <w:r w:rsidR="00423332" w:rsidRPr="00265C60">
              <w:rPr>
                <w:b/>
                <w:bCs/>
                <w:sz w:val="20"/>
                <w:szCs w:val="20"/>
              </w:rPr>
              <w:t>проект</w:t>
            </w:r>
            <w:r w:rsidRPr="00265C60">
              <w:rPr>
                <w:b/>
                <w:bCs/>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1AF" w:rsidRPr="00265C60" w:rsidRDefault="004911AF" w:rsidP="00F1748E">
            <w:pPr>
              <w:spacing w:line="240" w:lineRule="auto"/>
              <w:ind w:firstLine="0"/>
              <w:jc w:val="center"/>
              <w:rPr>
                <w:b/>
                <w:bCs/>
                <w:sz w:val="20"/>
                <w:szCs w:val="20"/>
              </w:rPr>
            </w:pPr>
            <w:r w:rsidRPr="00265C60">
              <w:rPr>
                <w:b/>
                <w:bCs/>
                <w:sz w:val="20"/>
                <w:szCs w:val="20"/>
              </w:rPr>
              <w:t>202</w:t>
            </w:r>
            <w:r w:rsidR="00F1748E" w:rsidRPr="00265C60">
              <w:rPr>
                <w:b/>
                <w:bCs/>
                <w:sz w:val="20"/>
                <w:szCs w:val="20"/>
              </w:rPr>
              <w:t>8</w:t>
            </w:r>
            <w:r w:rsidRPr="00265C60">
              <w:rPr>
                <w:b/>
                <w:bCs/>
                <w:sz w:val="20"/>
                <w:szCs w:val="20"/>
              </w:rPr>
              <w:t xml:space="preserve"> год (</w:t>
            </w:r>
            <w:r w:rsidR="00423332" w:rsidRPr="00265C60">
              <w:rPr>
                <w:b/>
                <w:bCs/>
                <w:sz w:val="20"/>
                <w:szCs w:val="20"/>
              </w:rPr>
              <w:t>проект</w:t>
            </w:r>
            <w:r w:rsidRPr="00265C60">
              <w:rPr>
                <w:b/>
                <w:bCs/>
                <w:sz w:val="20"/>
                <w:szCs w:val="20"/>
              </w:rPr>
              <w:t>)</w:t>
            </w:r>
          </w:p>
        </w:tc>
      </w:tr>
      <w:tr w:rsidR="00684E9C" w:rsidRPr="00265C60" w:rsidTr="00A67CC7">
        <w:trPr>
          <w:trHeight w:val="230"/>
          <w:tblHeader/>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4911AF" w:rsidRPr="00265C60" w:rsidRDefault="004911AF" w:rsidP="004011E1">
            <w:pPr>
              <w:spacing w:line="240" w:lineRule="auto"/>
              <w:ind w:firstLine="0"/>
              <w:jc w:val="left"/>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911AF" w:rsidRPr="00265C60" w:rsidRDefault="004911AF" w:rsidP="004011E1">
            <w:pPr>
              <w:spacing w:line="240" w:lineRule="auto"/>
              <w:ind w:firstLine="0"/>
              <w:jc w:val="left"/>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911AF" w:rsidRPr="00265C60" w:rsidRDefault="004911AF" w:rsidP="004011E1">
            <w:pPr>
              <w:spacing w:line="240" w:lineRule="auto"/>
              <w:ind w:firstLine="0"/>
              <w:jc w:val="left"/>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911AF" w:rsidRPr="00265C60" w:rsidRDefault="004911AF" w:rsidP="004011E1">
            <w:pPr>
              <w:spacing w:line="240" w:lineRule="auto"/>
              <w:ind w:firstLine="0"/>
              <w:jc w:val="left"/>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911AF" w:rsidRPr="00265C60" w:rsidRDefault="004911AF" w:rsidP="004011E1">
            <w:pPr>
              <w:spacing w:line="240" w:lineRule="auto"/>
              <w:ind w:firstLine="0"/>
              <w:jc w:val="left"/>
              <w:rPr>
                <w:b/>
                <w:bCs/>
                <w:sz w:val="20"/>
                <w:szCs w:val="20"/>
              </w:rPr>
            </w:pPr>
          </w:p>
        </w:tc>
      </w:tr>
      <w:tr w:rsidR="00F1748E" w:rsidRPr="00265C60" w:rsidTr="00A67CC7">
        <w:trPr>
          <w:trHeight w:val="20"/>
        </w:trPr>
        <w:tc>
          <w:tcPr>
            <w:tcW w:w="5529" w:type="dxa"/>
            <w:tcBorders>
              <w:top w:val="nil"/>
              <w:left w:val="single" w:sz="4" w:space="0" w:color="auto"/>
              <w:bottom w:val="single" w:sz="4" w:space="0" w:color="auto"/>
              <w:right w:val="single" w:sz="4" w:space="0" w:color="auto"/>
            </w:tcBorders>
            <w:shd w:val="clear" w:color="auto" w:fill="auto"/>
            <w:vAlign w:val="center"/>
          </w:tcPr>
          <w:p w:rsidR="00F1748E" w:rsidRPr="00265C60" w:rsidRDefault="00F1748E" w:rsidP="00B24D31">
            <w:pPr>
              <w:spacing w:line="240" w:lineRule="auto"/>
              <w:ind w:firstLine="0"/>
              <w:rPr>
                <w:b/>
                <w:bCs/>
                <w:sz w:val="20"/>
                <w:szCs w:val="20"/>
              </w:rPr>
            </w:pPr>
            <w:r w:rsidRPr="00265C60">
              <w:rPr>
                <w:b/>
                <w:bCs/>
                <w:sz w:val="20"/>
                <w:szCs w:val="20"/>
              </w:rPr>
              <w:t>Расходы всего, млрд рублей</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b/>
                <w:bCs/>
                <w:sz w:val="20"/>
                <w:szCs w:val="20"/>
              </w:rPr>
            </w:pPr>
            <w:r w:rsidRPr="00265C60">
              <w:rPr>
                <w:b/>
                <w:bCs/>
                <w:sz w:val="20"/>
                <w:szCs w:val="20"/>
              </w:rPr>
              <w:t>42 298,7</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b/>
                <w:bCs/>
                <w:sz w:val="20"/>
                <w:szCs w:val="20"/>
              </w:rPr>
            </w:pPr>
            <w:r w:rsidRPr="00265C60">
              <w:rPr>
                <w:b/>
                <w:bCs/>
                <w:sz w:val="20"/>
                <w:szCs w:val="20"/>
              </w:rPr>
              <w:t>44 069,7</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b/>
                <w:bCs/>
                <w:sz w:val="20"/>
                <w:szCs w:val="20"/>
              </w:rPr>
            </w:pPr>
            <w:r w:rsidRPr="00265C60">
              <w:rPr>
                <w:b/>
                <w:bCs/>
                <w:sz w:val="20"/>
                <w:szCs w:val="20"/>
              </w:rPr>
              <w:t>46 096,1</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b/>
                <w:bCs/>
                <w:sz w:val="20"/>
                <w:szCs w:val="20"/>
              </w:rPr>
            </w:pPr>
            <w:r w:rsidRPr="00265C60">
              <w:rPr>
                <w:b/>
                <w:bCs/>
                <w:sz w:val="20"/>
                <w:szCs w:val="20"/>
              </w:rPr>
              <w:t>49 383,2</w:t>
            </w:r>
          </w:p>
        </w:tc>
      </w:tr>
      <w:tr w:rsidR="00F1748E" w:rsidRPr="00265C60" w:rsidTr="00A67CC7">
        <w:trPr>
          <w:trHeight w:val="20"/>
        </w:trPr>
        <w:tc>
          <w:tcPr>
            <w:tcW w:w="5529" w:type="dxa"/>
            <w:tcBorders>
              <w:top w:val="nil"/>
              <w:left w:val="single" w:sz="4" w:space="0" w:color="auto"/>
              <w:bottom w:val="single" w:sz="4" w:space="0" w:color="auto"/>
              <w:right w:val="single" w:sz="4" w:space="0" w:color="auto"/>
            </w:tcBorders>
            <w:shd w:val="clear" w:color="auto" w:fill="auto"/>
            <w:vAlign w:val="center"/>
          </w:tcPr>
          <w:p w:rsidR="00F1748E" w:rsidRPr="00265C60" w:rsidRDefault="00F1748E" w:rsidP="00D07A8B">
            <w:pPr>
              <w:spacing w:line="240" w:lineRule="auto"/>
              <w:ind w:firstLine="0"/>
              <w:rPr>
                <w:sz w:val="18"/>
                <w:szCs w:val="18"/>
              </w:rPr>
            </w:pPr>
            <w:r w:rsidRPr="00265C60">
              <w:rPr>
                <w:sz w:val="18"/>
                <w:szCs w:val="18"/>
              </w:rPr>
              <w:t>Прирост к предыдущему году в номинальном выражении, млрд рублей</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sz w:val="20"/>
                <w:szCs w:val="20"/>
              </w:rPr>
            </w:pPr>
            <w:r w:rsidRPr="00265C60">
              <w:rPr>
                <w:sz w:val="20"/>
                <w:szCs w:val="20"/>
              </w:rPr>
              <w:t>2 118,2</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sz w:val="20"/>
                <w:szCs w:val="20"/>
              </w:rPr>
            </w:pPr>
            <w:r w:rsidRPr="00265C60">
              <w:rPr>
                <w:sz w:val="20"/>
                <w:szCs w:val="20"/>
              </w:rPr>
              <w:t>1 771,0</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sz w:val="20"/>
                <w:szCs w:val="20"/>
              </w:rPr>
            </w:pPr>
            <w:r w:rsidRPr="00265C60">
              <w:rPr>
                <w:sz w:val="20"/>
                <w:szCs w:val="20"/>
              </w:rPr>
              <w:t>2 026,4</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sz w:val="20"/>
                <w:szCs w:val="20"/>
              </w:rPr>
            </w:pPr>
            <w:r w:rsidRPr="00265C60">
              <w:rPr>
                <w:sz w:val="20"/>
                <w:szCs w:val="20"/>
              </w:rPr>
              <w:t>3 287,1</w:t>
            </w:r>
          </w:p>
        </w:tc>
      </w:tr>
      <w:tr w:rsidR="00F1748E" w:rsidRPr="00265C60" w:rsidTr="00A67CC7">
        <w:trPr>
          <w:trHeight w:val="20"/>
        </w:trPr>
        <w:tc>
          <w:tcPr>
            <w:tcW w:w="5529" w:type="dxa"/>
            <w:tcBorders>
              <w:top w:val="nil"/>
              <w:left w:val="single" w:sz="4" w:space="0" w:color="auto"/>
              <w:bottom w:val="single" w:sz="4" w:space="0" w:color="auto"/>
              <w:right w:val="single" w:sz="4" w:space="0" w:color="auto"/>
            </w:tcBorders>
            <w:shd w:val="clear" w:color="auto" w:fill="auto"/>
            <w:vAlign w:val="center"/>
          </w:tcPr>
          <w:p w:rsidR="00F1748E" w:rsidRPr="00265C60" w:rsidRDefault="00F1748E" w:rsidP="00DC33CC">
            <w:pPr>
              <w:spacing w:line="240" w:lineRule="auto"/>
              <w:ind w:firstLine="0"/>
              <w:rPr>
                <w:i/>
                <w:iCs/>
                <w:sz w:val="18"/>
                <w:szCs w:val="18"/>
              </w:rPr>
            </w:pPr>
            <w:r w:rsidRPr="00265C60">
              <w:rPr>
                <w:i/>
                <w:iCs/>
                <w:sz w:val="18"/>
                <w:szCs w:val="18"/>
              </w:rPr>
              <w:t>Темп прироста к предыдущему году в номинальном выражении, %</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i/>
                <w:iCs/>
                <w:sz w:val="20"/>
                <w:szCs w:val="20"/>
              </w:rPr>
            </w:pPr>
            <w:r w:rsidRPr="00265C60">
              <w:rPr>
                <w:i/>
                <w:iCs/>
                <w:sz w:val="20"/>
                <w:szCs w:val="20"/>
              </w:rPr>
              <w:t>5,3</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i/>
                <w:iCs/>
                <w:sz w:val="20"/>
                <w:szCs w:val="20"/>
              </w:rPr>
            </w:pPr>
            <w:r w:rsidRPr="00265C60">
              <w:rPr>
                <w:i/>
                <w:iCs/>
                <w:sz w:val="20"/>
                <w:szCs w:val="20"/>
              </w:rPr>
              <w:t>4,2</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i/>
                <w:iCs/>
                <w:sz w:val="20"/>
                <w:szCs w:val="20"/>
              </w:rPr>
            </w:pPr>
            <w:r w:rsidRPr="00265C60">
              <w:rPr>
                <w:i/>
                <w:iCs/>
                <w:sz w:val="20"/>
                <w:szCs w:val="20"/>
              </w:rPr>
              <w:t>4,6</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i/>
                <w:iCs/>
                <w:sz w:val="20"/>
                <w:szCs w:val="20"/>
              </w:rPr>
            </w:pPr>
            <w:r w:rsidRPr="00265C60">
              <w:rPr>
                <w:i/>
                <w:iCs/>
                <w:sz w:val="20"/>
                <w:szCs w:val="20"/>
              </w:rPr>
              <w:t>7,1</w:t>
            </w:r>
          </w:p>
        </w:tc>
      </w:tr>
      <w:tr w:rsidR="00F1748E" w:rsidRPr="00265C60" w:rsidTr="00A67CC7">
        <w:trPr>
          <w:trHeight w:val="20"/>
        </w:trPr>
        <w:tc>
          <w:tcPr>
            <w:tcW w:w="5529" w:type="dxa"/>
            <w:tcBorders>
              <w:top w:val="nil"/>
              <w:left w:val="single" w:sz="4" w:space="0" w:color="auto"/>
              <w:bottom w:val="single" w:sz="4" w:space="0" w:color="auto"/>
              <w:right w:val="single" w:sz="4" w:space="0" w:color="auto"/>
            </w:tcBorders>
            <w:shd w:val="clear" w:color="auto" w:fill="auto"/>
            <w:vAlign w:val="center"/>
          </w:tcPr>
          <w:p w:rsidR="00F1748E" w:rsidRPr="00265C60" w:rsidRDefault="00F1748E" w:rsidP="00B24D31">
            <w:pPr>
              <w:spacing w:line="240" w:lineRule="auto"/>
              <w:ind w:firstLine="0"/>
              <w:rPr>
                <w:sz w:val="18"/>
                <w:szCs w:val="18"/>
              </w:rPr>
            </w:pPr>
            <w:r w:rsidRPr="00265C60">
              <w:rPr>
                <w:sz w:val="18"/>
                <w:szCs w:val="18"/>
              </w:rPr>
              <w:t>Прирост к предыдущему году в реальном выражении, млрд рублей</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sz w:val="20"/>
                <w:szCs w:val="20"/>
              </w:rPr>
            </w:pPr>
            <w:r w:rsidRPr="00265C60">
              <w:rPr>
                <w:sz w:val="20"/>
                <w:szCs w:val="20"/>
              </w:rPr>
              <w:t>-575,0</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sz w:val="20"/>
                <w:szCs w:val="20"/>
              </w:rPr>
            </w:pPr>
            <w:r w:rsidRPr="00265C60">
              <w:rPr>
                <w:sz w:val="20"/>
                <w:szCs w:val="20"/>
              </w:rPr>
              <w:t>76,0</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sz w:val="20"/>
                <w:szCs w:val="20"/>
              </w:rPr>
            </w:pPr>
            <w:r w:rsidRPr="00265C60">
              <w:rPr>
                <w:sz w:val="20"/>
                <w:szCs w:val="20"/>
              </w:rPr>
              <w:t>253,5</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sz w:val="20"/>
                <w:szCs w:val="20"/>
              </w:rPr>
            </w:pPr>
            <w:r w:rsidRPr="00265C60">
              <w:rPr>
                <w:sz w:val="20"/>
                <w:szCs w:val="20"/>
              </w:rPr>
              <w:t>1 387,7</w:t>
            </w:r>
          </w:p>
        </w:tc>
      </w:tr>
      <w:tr w:rsidR="00F1748E" w:rsidRPr="00265C60" w:rsidTr="00A67CC7">
        <w:trPr>
          <w:trHeight w:val="20"/>
        </w:trPr>
        <w:tc>
          <w:tcPr>
            <w:tcW w:w="5529" w:type="dxa"/>
            <w:tcBorders>
              <w:top w:val="nil"/>
              <w:left w:val="single" w:sz="4" w:space="0" w:color="auto"/>
              <w:bottom w:val="single" w:sz="4" w:space="0" w:color="auto"/>
              <w:right w:val="single" w:sz="4" w:space="0" w:color="auto"/>
            </w:tcBorders>
            <w:shd w:val="clear" w:color="auto" w:fill="auto"/>
            <w:vAlign w:val="center"/>
          </w:tcPr>
          <w:p w:rsidR="00F1748E" w:rsidRPr="00265C60" w:rsidRDefault="00F1748E" w:rsidP="00DC33CC">
            <w:pPr>
              <w:spacing w:line="240" w:lineRule="auto"/>
              <w:ind w:firstLine="0"/>
              <w:rPr>
                <w:i/>
                <w:iCs/>
                <w:sz w:val="18"/>
                <w:szCs w:val="18"/>
              </w:rPr>
            </w:pPr>
            <w:r w:rsidRPr="00265C60">
              <w:rPr>
                <w:i/>
                <w:iCs/>
                <w:sz w:val="18"/>
                <w:szCs w:val="18"/>
              </w:rPr>
              <w:t>Темп прироста к предыдущему году в реальном выражении, %</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i/>
                <w:iCs/>
                <w:sz w:val="20"/>
                <w:szCs w:val="20"/>
              </w:rPr>
            </w:pPr>
            <w:r w:rsidRPr="00265C60">
              <w:rPr>
                <w:i/>
                <w:iCs/>
                <w:sz w:val="20"/>
                <w:szCs w:val="20"/>
              </w:rPr>
              <w:t>-1,4</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i/>
                <w:iCs/>
                <w:sz w:val="20"/>
                <w:szCs w:val="20"/>
              </w:rPr>
            </w:pPr>
            <w:r w:rsidRPr="00265C60">
              <w:rPr>
                <w:i/>
                <w:iCs/>
                <w:sz w:val="20"/>
                <w:szCs w:val="20"/>
              </w:rPr>
              <w:t>0,2</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i/>
                <w:iCs/>
                <w:sz w:val="20"/>
                <w:szCs w:val="20"/>
              </w:rPr>
            </w:pPr>
            <w:r w:rsidRPr="00265C60">
              <w:rPr>
                <w:i/>
                <w:iCs/>
                <w:sz w:val="20"/>
                <w:szCs w:val="20"/>
              </w:rPr>
              <w:t>0,6</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i/>
                <w:iCs/>
                <w:sz w:val="20"/>
                <w:szCs w:val="20"/>
              </w:rPr>
            </w:pPr>
            <w:r w:rsidRPr="00265C60">
              <w:rPr>
                <w:i/>
                <w:iCs/>
                <w:sz w:val="20"/>
                <w:szCs w:val="20"/>
              </w:rPr>
              <w:t>3,0</w:t>
            </w:r>
          </w:p>
        </w:tc>
      </w:tr>
      <w:tr w:rsidR="00F1748E" w:rsidRPr="00265C60" w:rsidTr="00A67CC7">
        <w:trPr>
          <w:trHeight w:val="20"/>
        </w:trPr>
        <w:tc>
          <w:tcPr>
            <w:tcW w:w="5529" w:type="dxa"/>
            <w:tcBorders>
              <w:top w:val="nil"/>
              <w:left w:val="single" w:sz="4" w:space="0" w:color="auto"/>
              <w:bottom w:val="single" w:sz="4" w:space="0" w:color="auto"/>
              <w:right w:val="single" w:sz="4" w:space="0" w:color="auto"/>
            </w:tcBorders>
            <w:shd w:val="clear" w:color="000000" w:fill="FFFFFF"/>
            <w:vAlign w:val="center"/>
            <w:hideMark/>
          </w:tcPr>
          <w:p w:rsidR="00F1748E" w:rsidRPr="00265C60" w:rsidRDefault="00F1748E" w:rsidP="00B24D31">
            <w:pPr>
              <w:spacing w:line="240" w:lineRule="auto"/>
              <w:ind w:firstLine="0"/>
              <w:rPr>
                <w:sz w:val="20"/>
                <w:szCs w:val="20"/>
              </w:rPr>
            </w:pPr>
            <w:r w:rsidRPr="00265C60">
              <w:rPr>
                <w:b/>
                <w:sz w:val="20"/>
                <w:szCs w:val="20"/>
              </w:rPr>
              <w:t>Прирост к 2019 году</w:t>
            </w:r>
            <w:r w:rsidRPr="00265C60">
              <w:rPr>
                <w:sz w:val="20"/>
                <w:szCs w:val="20"/>
              </w:rPr>
              <w:t xml:space="preserve"> в номинальном выражении, млрд рублей</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sz w:val="20"/>
                <w:szCs w:val="20"/>
              </w:rPr>
            </w:pPr>
            <w:r w:rsidRPr="00265C60">
              <w:rPr>
                <w:sz w:val="20"/>
                <w:szCs w:val="20"/>
              </w:rPr>
              <w:t>24 084,2</w:t>
            </w:r>
          </w:p>
        </w:tc>
        <w:tc>
          <w:tcPr>
            <w:tcW w:w="1276" w:type="dxa"/>
            <w:tcBorders>
              <w:top w:val="nil"/>
              <w:left w:val="nil"/>
              <w:bottom w:val="single" w:sz="4" w:space="0" w:color="auto"/>
              <w:right w:val="single" w:sz="4" w:space="0" w:color="auto"/>
            </w:tcBorders>
            <w:shd w:val="clear" w:color="000000" w:fill="FFFFFF"/>
            <w:vAlign w:val="center"/>
          </w:tcPr>
          <w:p w:rsidR="00F1748E" w:rsidRPr="00265C60" w:rsidRDefault="00F1748E" w:rsidP="00F1748E">
            <w:pPr>
              <w:spacing w:line="240" w:lineRule="auto"/>
              <w:ind w:firstLine="0"/>
              <w:jc w:val="center"/>
              <w:rPr>
                <w:sz w:val="20"/>
                <w:szCs w:val="20"/>
              </w:rPr>
            </w:pPr>
            <w:r w:rsidRPr="00265C60">
              <w:rPr>
                <w:sz w:val="20"/>
                <w:szCs w:val="20"/>
              </w:rPr>
              <w:t>25 855,2</w:t>
            </w:r>
          </w:p>
        </w:tc>
        <w:tc>
          <w:tcPr>
            <w:tcW w:w="1134" w:type="dxa"/>
            <w:tcBorders>
              <w:top w:val="nil"/>
              <w:left w:val="nil"/>
              <w:bottom w:val="single" w:sz="4" w:space="0" w:color="auto"/>
              <w:right w:val="single" w:sz="4" w:space="0" w:color="auto"/>
            </w:tcBorders>
            <w:shd w:val="clear" w:color="000000" w:fill="FFFFFF"/>
            <w:vAlign w:val="center"/>
          </w:tcPr>
          <w:p w:rsidR="00F1748E" w:rsidRPr="00265C60" w:rsidRDefault="00F1748E" w:rsidP="00F1748E">
            <w:pPr>
              <w:spacing w:line="240" w:lineRule="auto"/>
              <w:ind w:firstLine="0"/>
              <w:jc w:val="center"/>
              <w:rPr>
                <w:sz w:val="20"/>
                <w:szCs w:val="20"/>
              </w:rPr>
            </w:pPr>
            <w:r w:rsidRPr="00265C60">
              <w:rPr>
                <w:sz w:val="20"/>
                <w:szCs w:val="20"/>
              </w:rPr>
              <w:t>27 881,6</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sz w:val="20"/>
                <w:szCs w:val="20"/>
              </w:rPr>
            </w:pPr>
            <w:r w:rsidRPr="00265C60">
              <w:rPr>
                <w:sz w:val="20"/>
                <w:szCs w:val="20"/>
              </w:rPr>
              <w:t>31 168,7</w:t>
            </w:r>
          </w:p>
        </w:tc>
      </w:tr>
      <w:tr w:rsidR="00F1748E" w:rsidRPr="00265C60" w:rsidTr="00A67CC7">
        <w:trPr>
          <w:trHeight w:val="20"/>
        </w:trPr>
        <w:tc>
          <w:tcPr>
            <w:tcW w:w="5529" w:type="dxa"/>
            <w:tcBorders>
              <w:top w:val="nil"/>
              <w:left w:val="single" w:sz="4" w:space="0" w:color="auto"/>
              <w:bottom w:val="single" w:sz="4" w:space="0" w:color="auto"/>
              <w:right w:val="single" w:sz="4" w:space="0" w:color="auto"/>
            </w:tcBorders>
            <w:shd w:val="clear" w:color="000000" w:fill="FFFFFF"/>
            <w:vAlign w:val="center"/>
            <w:hideMark/>
          </w:tcPr>
          <w:p w:rsidR="00F1748E" w:rsidRPr="00265C60" w:rsidRDefault="00F1748E" w:rsidP="00DC33CC">
            <w:pPr>
              <w:spacing w:line="240" w:lineRule="auto"/>
              <w:ind w:firstLine="0"/>
              <w:rPr>
                <w:i/>
                <w:iCs/>
                <w:sz w:val="18"/>
                <w:szCs w:val="18"/>
              </w:rPr>
            </w:pPr>
            <w:r w:rsidRPr="00265C60">
              <w:rPr>
                <w:i/>
                <w:iCs/>
                <w:sz w:val="18"/>
                <w:szCs w:val="18"/>
              </w:rPr>
              <w:t>Темп прироста к 2019 году в номинальном выражении, %</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i/>
                <w:iCs/>
                <w:sz w:val="20"/>
                <w:szCs w:val="20"/>
              </w:rPr>
            </w:pPr>
            <w:r w:rsidRPr="00265C60">
              <w:rPr>
                <w:i/>
                <w:iCs/>
                <w:sz w:val="20"/>
                <w:szCs w:val="20"/>
              </w:rPr>
              <w:t>132,2</w:t>
            </w:r>
          </w:p>
        </w:tc>
        <w:tc>
          <w:tcPr>
            <w:tcW w:w="1276" w:type="dxa"/>
            <w:tcBorders>
              <w:top w:val="nil"/>
              <w:left w:val="nil"/>
              <w:bottom w:val="single" w:sz="4" w:space="0" w:color="auto"/>
              <w:right w:val="single" w:sz="4" w:space="0" w:color="auto"/>
            </w:tcBorders>
            <w:shd w:val="clear" w:color="000000" w:fill="FFFFFF"/>
            <w:vAlign w:val="center"/>
          </w:tcPr>
          <w:p w:rsidR="00F1748E" w:rsidRPr="00265C60" w:rsidRDefault="00F1748E" w:rsidP="00F1748E">
            <w:pPr>
              <w:spacing w:line="240" w:lineRule="auto"/>
              <w:ind w:firstLine="0"/>
              <w:jc w:val="center"/>
              <w:rPr>
                <w:i/>
                <w:iCs/>
                <w:sz w:val="20"/>
                <w:szCs w:val="20"/>
              </w:rPr>
            </w:pPr>
            <w:r w:rsidRPr="00265C60">
              <w:rPr>
                <w:i/>
                <w:iCs/>
                <w:sz w:val="20"/>
                <w:szCs w:val="20"/>
              </w:rPr>
              <w:t>141,9</w:t>
            </w:r>
          </w:p>
        </w:tc>
        <w:tc>
          <w:tcPr>
            <w:tcW w:w="1134" w:type="dxa"/>
            <w:tcBorders>
              <w:top w:val="nil"/>
              <w:left w:val="nil"/>
              <w:bottom w:val="single" w:sz="4" w:space="0" w:color="auto"/>
              <w:right w:val="single" w:sz="4" w:space="0" w:color="auto"/>
            </w:tcBorders>
            <w:shd w:val="clear" w:color="000000" w:fill="FFFFFF"/>
            <w:vAlign w:val="center"/>
          </w:tcPr>
          <w:p w:rsidR="00F1748E" w:rsidRPr="00265C60" w:rsidRDefault="00F1748E" w:rsidP="00F1748E">
            <w:pPr>
              <w:spacing w:line="240" w:lineRule="auto"/>
              <w:ind w:firstLine="0"/>
              <w:jc w:val="center"/>
              <w:rPr>
                <w:i/>
                <w:iCs/>
                <w:sz w:val="20"/>
                <w:szCs w:val="20"/>
              </w:rPr>
            </w:pPr>
            <w:r w:rsidRPr="00265C60">
              <w:rPr>
                <w:i/>
                <w:iCs/>
                <w:sz w:val="20"/>
                <w:szCs w:val="20"/>
              </w:rPr>
              <w:t>153,1</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i/>
                <w:iCs/>
                <w:sz w:val="20"/>
                <w:szCs w:val="20"/>
              </w:rPr>
            </w:pPr>
            <w:r w:rsidRPr="00265C60">
              <w:rPr>
                <w:i/>
                <w:iCs/>
                <w:sz w:val="20"/>
                <w:szCs w:val="20"/>
              </w:rPr>
              <w:t>171,1</w:t>
            </w:r>
          </w:p>
        </w:tc>
      </w:tr>
      <w:tr w:rsidR="00F1748E" w:rsidRPr="00265C60" w:rsidTr="00A67CC7">
        <w:trPr>
          <w:trHeight w:val="20"/>
        </w:trPr>
        <w:tc>
          <w:tcPr>
            <w:tcW w:w="5529" w:type="dxa"/>
            <w:tcBorders>
              <w:top w:val="nil"/>
              <w:left w:val="single" w:sz="4" w:space="0" w:color="auto"/>
              <w:bottom w:val="single" w:sz="4" w:space="0" w:color="auto"/>
              <w:right w:val="single" w:sz="4" w:space="0" w:color="auto"/>
            </w:tcBorders>
            <w:shd w:val="clear" w:color="000000" w:fill="FFFFFF"/>
            <w:vAlign w:val="center"/>
            <w:hideMark/>
          </w:tcPr>
          <w:p w:rsidR="00F1748E" w:rsidRPr="00265C60" w:rsidRDefault="00F1748E" w:rsidP="00D07A8B">
            <w:pPr>
              <w:spacing w:line="240" w:lineRule="auto"/>
              <w:ind w:firstLine="0"/>
              <w:rPr>
                <w:sz w:val="20"/>
                <w:szCs w:val="20"/>
              </w:rPr>
            </w:pPr>
            <w:r w:rsidRPr="00265C60">
              <w:rPr>
                <w:sz w:val="20"/>
                <w:szCs w:val="20"/>
              </w:rPr>
              <w:t>Прирост к 2019 году в реальном выражении, млрд рублей</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sz w:val="20"/>
                <w:szCs w:val="20"/>
              </w:rPr>
            </w:pPr>
            <w:r w:rsidRPr="00265C60">
              <w:rPr>
                <w:sz w:val="20"/>
                <w:szCs w:val="20"/>
              </w:rPr>
              <w:t>8 227,7</w:t>
            </w:r>
          </w:p>
        </w:tc>
        <w:tc>
          <w:tcPr>
            <w:tcW w:w="1276" w:type="dxa"/>
            <w:tcBorders>
              <w:top w:val="nil"/>
              <w:left w:val="nil"/>
              <w:bottom w:val="single" w:sz="4" w:space="0" w:color="auto"/>
              <w:right w:val="single" w:sz="4" w:space="0" w:color="auto"/>
            </w:tcBorders>
            <w:shd w:val="clear" w:color="000000" w:fill="FFFFFF"/>
            <w:vAlign w:val="center"/>
          </w:tcPr>
          <w:p w:rsidR="00F1748E" w:rsidRPr="00265C60" w:rsidRDefault="00F1748E" w:rsidP="00F1748E">
            <w:pPr>
              <w:spacing w:line="240" w:lineRule="auto"/>
              <w:ind w:firstLine="0"/>
              <w:jc w:val="center"/>
              <w:rPr>
                <w:sz w:val="20"/>
                <w:szCs w:val="20"/>
              </w:rPr>
            </w:pPr>
            <w:r w:rsidRPr="00265C60">
              <w:rPr>
                <w:sz w:val="20"/>
                <w:szCs w:val="20"/>
              </w:rPr>
              <w:t>8 275,3</w:t>
            </w:r>
          </w:p>
        </w:tc>
        <w:tc>
          <w:tcPr>
            <w:tcW w:w="1134" w:type="dxa"/>
            <w:tcBorders>
              <w:top w:val="nil"/>
              <w:left w:val="nil"/>
              <w:bottom w:val="single" w:sz="4" w:space="0" w:color="auto"/>
              <w:right w:val="single" w:sz="4" w:space="0" w:color="auto"/>
            </w:tcBorders>
            <w:shd w:val="clear" w:color="000000" w:fill="FFFFFF"/>
            <w:vAlign w:val="center"/>
          </w:tcPr>
          <w:p w:rsidR="00F1748E" w:rsidRPr="00265C60" w:rsidRDefault="00F1748E" w:rsidP="00F1748E">
            <w:pPr>
              <w:spacing w:line="240" w:lineRule="auto"/>
              <w:ind w:firstLine="0"/>
              <w:jc w:val="center"/>
              <w:rPr>
                <w:sz w:val="20"/>
                <w:szCs w:val="20"/>
              </w:rPr>
            </w:pPr>
            <w:r w:rsidRPr="00265C60">
              <w:rPr>
                <w:sz w:val="20"/>
                <w:szCs w:val="20"/>
              </w:rPr>
              <w:t>8 427,6</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sz w:val="20"/>
                <w:szCs w:val="20"/>
              </w:rPr>
            </w:pPr>
            <w:r w:rsidRPr="00265C60">
              <w:rPr>
                <w:sz w:val="20"/>
                <w:szCs w:val="20"/>
              </w:rPr>
              <w:t>9 229,7</w:t>
            </w:r>
          </w:p>
        </w:tc>
      </w:tr>
      <w:tr w:rsidR="00F1748E" w:rsidRPr="00265C60" w:rsidTr="00A67CC7">
        <w:trPr>
          <w:trHeight w:val="20"/>
        </w:trPr>
        <w:tc>
          <w:tcPr>
            <w:tcW w:w="5529" w:type="dxa"/>
            <w:tcBorders>
              <w:top w:val="nil"/>
              <w:left w:val="single" w:sz="4" w:space="0" w:color="auto"/>
              <w:bottom w:val="single" w:sz="4" w:space="0" w:color="auto"/>
              <w:right w:val="single" w:sz="4" w:space="0" w:color="auto"/>
            </w:tcBorders>
            <w:shd w:val="clear" w:color="000000" w:fill="FFFFFF"/>
            <w:vAlign w:val="center"/>
            <w:hideMark/>
          </w:tcPr>
          <w:p w:rsidR="00F1748E" w:rsidRPr="00265C60" w:rsidRDefault="00F1748E" w:rsidP="00DC33CC">
            <w:pPr>
              <w:spacing w:line="240" w:lineRule="auto"/>
              <w:ind w:firstLine="0"/>
              <w:rPr>
                <w:i/>
                <w:iCs/>
                <w:sz w:val="18"/>
                <w:szCs w:val="18"/>
              </w:rPr>
            </w:pPr>
            <w:r w:rsidRPr="00265C60">
              <w:rPr>
                <w:i/>
                <w:iCs/>
                <w:sz w:val="18"/>
                <w:szCs w:val="18"/>
              </w:rPr>
              <w:t>Темп прироста к 2019 году в реальном выражении, %</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i/>
                <w:iCs/>
                <w:sz w:val="20"/>
                <w:szCs w:val="20"/>
              </w:rPr>
            </w:pPr>
            <w:r w:rsidRPr="00265C60">
              <w:rPr>
                <w:i/>
                <w:iCs/>
                <w:sz w:val="20"/>
                <w:szCs w:val="20"/>
              </w:rPr>
              <w:t>45,2</w:t>
            </w:r>
          </w:p>
        </w:tc>
        <w:tc>
          <w:tcPr>
            <w:tcW w:w="1276" w:type="dxa"/>
            <w:tcBorders>
              <w:top w:val="nil"/>
              <w:left w:val="nil"/>
              <w:bottom w:val="single" w:sz="4" w:space="0" w:color="auto"/>
              <w:right w:val="single" w:sz="4" w:space="0" w:color="auto"/>
            </w:tcBorders>
            <w:shd w:val="clear" w:color="000000" w:fill="FFFFFF"/>
            <w:vAlign w:val="center"/>
          </w:tcPr>
          <w:p w:rsidR="00F1748E" w:rsidRPr="00265C60" w:rsidRDefault="00F1748E" w:rsidP="00F1748E">
            <w:pPr>
              <w:spacing w:line="240" w:lineRule="auto"/>
              <w:ind w:firstLine="0"/>
              <w:jc w:val="center"/>
              <w:rPr>
                <w:i/>
                <w:iCs/>
                <w:sz w:val="20"/>
                <w:szCs w:val="20"/>
              </w:rPr>
            </w:pPr>
            <w:r w:rsidRPr="00265C60">
              <w:rPr>
                <w:i/>
                <w:iCs/>
                <w:sz w:val="20"/>
                <w:szCs w:val="20"/>
              </w:rPr>
              <w:t>45,4</w:t>
            </w:r>
          </w:p>
        </w:tc>
        <w:tc>
          <w:tcPr>
            <w:tcW w:w="1134" w:type="dxa"/>
            <w:tcBorders>
              <w:top w:val="nil"/>
              <w:left w:val="nil"/>
              <w:bottom w:val="single" w:sz="4" w:space="0" w:color="auto"/>
              <w:right w:val="single" w:sz="4" w:space="0" w:color="auto"/>
            </w:tcBorders>
            <w:shd w:val="clear" w:color="000000" w:fill="FFFFFF"/>
            <w:vAlign w:val="center"/>
          </w:tcPr>
          <w:p w:rsidR="00F1748E" w:rsidRPr="00265C60" w:rsidRDefault="00F1748E" w:rsidP="00F1748E">
            <w:pPr>
              <w:spacing w:line="240" w:lineRule="auto"/>
              <w:ind w:firstLine="0"/>
              <w:jc w:val="center"/>
              <w:rPr>
                <w:i/>
                <w:iCs/>
                <w:sz w:val="20"/>
                <w:szCs w:val="20"/>
              </w:rPr>
            </w:pPr>
            <w:r w:rsidRPr="00265C60">
              <w:rPr>
                <w:i/>
                <w:iCs/>
                <w:sz w:val="20"/>
                <w:szCs w:val="20"/>
              </w:rPr>
              <w:t>46,3</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i/>
                <w:iCs/>
                <w:sz w:val="20"/>
                <w:szCs w:val="20"/>
              </w:rPr>
            </w:pPr>
            <w:r w:rsidRPr="00265C60">
              <w:rPr>
                <w:i/>
                <w:iCs/>
                <w:sz w:val="20"/>
                <w:szCs w:val="20"/>
              </w:rPr>
              <w:t>50,7</w:t>
            </w:r>
          </w:p>
        </w:tc>
      </w:tr>
      <w:tr w:rsidR="00F1748E" w:rsidRPr="00265C60" w:rsidTr="00A67CC7">
        <w:trPr>
          <w:trHeight w:val="20"/>
        </w:trPr>
        <w:tc>
          <w:tcPr>
            <w:tcW w:w="5529" w:type="dxa"/>
            <w:tcBorders>
              <w:top w:val="nil"/>
              <w:left w:val="single" w:sz="4" w:space="0" w:color="auto"/>
              <w:bottom w:val="single" w:sz="4" w:space="0" w:color="auto"/>
              <w:right w:val="single" w:sz="4" w:space="0" w:color="auto"/>
            </w:tcBorders>
            <w:shd w:val="clear" w:color="000000" w:fill="FFFFFF"/>
            <w:vAlign w:val="center"/>
            <w:hideMark/>
          </w:tcPr>
          <w:p w:rsidR="00F1748E" w:rsidRPr="00265C60" w:rsidRDefault="00F1748E" w:rsidP="00B24D31">
            <w:pPr>
              <w:spacing w:line="240" w:lineRule="auto"/>
              <w:ind w:firstLine="0"/>
              <w:rPr>
                <w:sz w:val="20"/>
                <w:szCs w:val="20"/>
              </w:rPr>
            </w:pPr>
            <w:r w:rsidRPr="00265C60">
              <w:rPr>
                <w:b/>
                <w:sz w:val="20"/>
                <w:szCs w:val="20"/>
              </w:rPr>
              <w:t>Прирост к 2025 году</w:t>
            </w:r>
            <w:r w:rsidRPr="00265C60">
              <w:rPr>
                <w:sz w:val="20"/>
                <w:szCs w:val="20"/>
              </w:rPr>
              <w:t xml:space="preserve"> в номинальном выражении, млрд рублей</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sz w:val="20"/>
                <w:szCs w:val="20"/>
              </w:rPr>
            </w:pPr>
            <w:r w:rsidRPr="00265C60">
              <w:rPr>
                <w:sz w:val="20"/>
                <w:szCs w:val="20"/>
              </w:rPr>
              <w:t> </w:t>
            </w:r>
          </w:p>
        </w:tc>
        <w:tc>
          <w:tcPr>
            <w:tcW w:w="1276" w:type="dxa"/>
            <w:tcBorders>
              <w:top w:val="nil"/>
              <w:left w:val="nil"/>
              <w:bottom w:val="single" w:sz="4" w:space="0" w:color="auto"/>
              <w:right w:val="single" w:sz="4" w:space="0" w:color="auto"/>
            </w:tcBorders>
            <w:shd w:val="clear" w:color="000000" w:fill="FFFFFF"/>
            <w:vAlign w:val="center"/>
          </w:tcPr>
          <w:p w:rsidR="00F1748E" w:rsidRPr="00265C60" w:rsidRDefault="00F1748E" w:rsidP="00F1748E">
            <w:pPr>
              <w:spacing w:line="240" w:lineRule="auto"/>
              <w:ind w:firstLine="0"/>
              <w:jc w:val="center"/>
              <w:rPr>
                <w:sz w:val="20"/>
                <w:szCs w:val="20"/>
              </w:rPr>
            </w:pPr>
            <w:r w:rsidRPr="00265C60">
              <w:rPr>
                <w:sz w:val="20"/>
                <w:szCs w:val="20"/>
              </w:rPr>
              <w:t>1 771,0</w:t>
            </w:r>
          </w:p>
        </w:tc>
        <w:tc>
          <w:tcPr>
            <w:tcW w:w="1134" w:type="dxa"/>
            <w:tcBorders>
              <w:top w:val="nil"/>
              <w:left w:val="nil"/>
              <w:bottom w:val="single" w:sz="4" w:space="0" w:color="auto"/>
              <w:right w:val="single" w:sz="4" w:space="0" w:color="auto"/>
            </w:tcBorders>
            <w:shd w:val="clear" w:color="000000" w:fill="FFFFFF"/>
            <w:vAlign w:val="center"/>
          </w:tcPr>
          <w:p w:rsidR="00F1748E" w:rsidRPr="00265C60" w:rsidRDefault="00F1748E" w:rsidP="00F1748E">
            <w:pPr>
              <w:spacing w:line="240" w:lineRule="auto"/>
              <w:ind w:firstLine="0"/>
              <w:jc w:val="center"/>
              <w:rPr>
                <w:sz w:val="20"/>
                <w:szCs w:val="20"/>
              </w:rPr>
            </w:pPr>
            <w:r w:rsidRPr="00265C60">
              <w:rPr>
                <w:sz w:val="20"/>
                <w:szCs w:val="20"/>
              </w:rPr>
              <w:t>3 797,4</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sz w:val="20"/>
                <w:szCs w:val="20"/>
              </w:rPr>
            </w:pPr>
            <w:r w:rsidRPr="00265C60">
              <w:rPr>
                <w:sz w:val="20"/>
                <w:szCs w:val="20"/>
              </w:rPr>
              <w:t>7 084,5</w:t>
            </w:r>
          </w:p>
        </w:tc>
      </w:tr>
      <w:tr w:rsidR="00F1748E" w:rsidRPr="00265C60" w:rsidTr="00A67CC7">
        <w:trPr>
          <w:trHeight w:val="20"/>
        </w:trPr>
        <w:tc>
          <w:tcPr>
            <w:tcW w:w="5529" w:type="dxa"/>
            <w:tcBorders>
              <w:top w:val="nil"/>
              <w:left w:val="single" w:sz="4" w:space="0" w:color="auto"/>
              <w:bottom w:val="single" w:sz="4" w:space="0" w:color="auto"/>
              <w:right w:val="single" w:sz="4" w:space="0" w:color="auto"/>
            </w:tcBorders>
            <w:shd w:val="clear" w:color="000000" w:fill="FFFFFF"/>
            <w:vAlign w:val="center"/>
            <w:hideMark/>
          </w:tcPr>
          <w:p w:rsidR="00F1748E" w:rsidRPr="00265C60" w:rsidRDefault="00F1748E" w:rsidP="00F1748E">
            <w:pPr>
              <w:spacing w:line="240" w:lineRule="auto"/>
              <w:ind w:firstLine="0"/>
              <w:rPr>
                <w:i/>
                <w:iCs/>
                <w:sz w:val="18"/>
                <w:szCs w:val="18"/>
              </w:rPr>
            </w:pPr>
            <w:r w:rsidRPr="00265C60">
              <w:rPr>
                <w:i/>
                <w:iCs/>
                <w:sz w:val="18"/>
                <w:szCs w:val="18"/>
              </w:rPr>
              <w:t>Темп прироста к 2025 году в номинальном выражении, %</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i/>
                <w:iCs/>
                <w:sz w:val="20"/>
                <w:szCs w:val="20"/>
              </w:rPr>
            </w:pPr>
            <w:r w:rsidRPr="00265C60">
              <w:rPr>
                <w:i/>
                <w:iCs/>
                <w:sz w:val="20"/>
                <w:szCs w:val="20"/>
              </w:rPr>
              <w:t> </w:t>
            </w:r>
          </w:p>
        </w:tc>
        <w:tc>
          <w:tcPr>
            <w:tcW w:w="1276" w:type="dxa"/>
            <w:tcBorders>
              <w:top w:val="nil"/>
              <w:left w:val="nil"/>
              <w:bottom w:val="single" w:sz="4" w:space="0" w:color="auto"/>
              <w:right w:val="single" w:sz="4" w:space="0" w:color="auto"/>
            </w:tcBorders>
            <w:shd w:val="clear" w:color="000000" w:fill="FFFFFF"/>
            <w:vAlign w:val="center"/>
          </w:tcPr>
          <w:p w:rsidR="00F1748E" w:rsidRPr="00265C60" w:rsidRDefault="00F1748E" w:rsidP="00F1748E">
            <w:pPr>
              <w:spacing w:line="240" w:lineRule="auto"/>
              <w:ind w:firstLine="0"/>
              <w:jc w:val="center"/>
              <w:rPr>
                <w:i/>
                <w:iCs/>
                <w:sz w:val="20"/>
                <w:szCs w:val="20"/>
              </w:rPr>
            </w:pPr>
            <w:r w:rsidRPr="00265C60">
              <w:rPr>
                <w:i/>
                <w:iCs/>
                <w:sz w:val="20"/>
                <w:szCs w:val="20"/>
              </w:rPr>
              <w:t>4,2</w:t>
            </w:r>
          </w:p>
        </w:tc>
        <w:tc>
          <w:tcPr>
            <w:tcW w:w="1134" w:type="dxa"/>
            <w:tcBorders>
              <w:top w:val="nil"/>
              <w:left w:val="nil"/>
              <w:bottom w:val="single" w:sz="4" w:space="0" w:color="auto"/>
              <w:right w:val="single" w:sz="4" w:space="0" w:color="auto"/>
            </w:tcBorders>
            <w:shd w:val="clear" w:color="000000" w:fill="FFFFFF"/>
            <w:vAlign w:val="center"/>
          </w:tcPr>
          <w:p w:rsidR="00F1748E" w:rsidRPr="00265C60" w:rsidRDefault="00F1748E" w:rsidP="00F1748E">
            <w:pPr>
              <w:spacing w:line="240" w:lineRule="auto"/>
              <w:ind w:firstLine="0"/>
              <w:jc w:val="center"/>
              <w:rPr>
                <w:i/>
                <w:iCs/>
                <w:sz w:val="20"/>
                <w:szCs w:val="20"/>
              </w:rPr>
            </w:pPr>
            <w:r w:rsidRPr="00265C60">
              <w:rPr>
                <w:i/>
                <w:iCs/>
                <w:sz w:val="20"/>
                <w:szCs w:val="20"/>
              </w:rPr>
              <w:t>9,0</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i/>
                <w:iCs/>
                <w:sz w:val="20"/>
                <w:szCs w:val="20"/>
              </w:rPr>
            </w:pPr>
            <w:r w:rsidRPr="00265C60">
              <w:rPr>
                <w:i/>
                <w:iCs/>
                <w:sz w:val="20"/>
                <w:szCs w:val="20"/>
              </w:rPr>
              <w:t>16,7</w:t>
            </w:r>
          </w:p>
        </w:tc>
      </w:tr>
      <w:tr w:rsidR="00F1748E" w:rsidRPr="00265C60" w:rsidTr="00A67CC7">
        <w:trPr>
          <w:trHeight w:val="20"/>
        </w:trPr>
        <w:tc>
          <w:tcPr>
            <w:tcW w:w="5529" w:type="dxa"/>
            <w:tcBorders>
              <w:top w:val="nil"/>
              <w:left w:val="single" w:sz="4" w:space="0" w:color="auto"/>
              <w:bottom w:val="single" w:sz="4" w:space="0" w:color="auto"/>
              <w:right w:val="single" w:sz="4" w:space="0" w:color="auto"/>
            </w:tcBorders>
            <w:shd w:val="clear" w:color="000000" w:fill="FFFFFF"/>
            <w:vAlign w:val="center"/>
            <w:hideMark/>
          </w:tcPr>
          <w:p w:rsidR="00F1748E" w:rsidRPr="00265C60" w:rsidRDefault="00F1748E" w:rsidP="00B24D31">
            <w:pPr>
              <w:spacing w:line="240" w:lineRule="auto"/>
              <w:ind w:firstLine="0"/>
              <w:rPr>
                <w:sz w:val="20"/>
                <w:szCs w:val="20"/>
              </w:rPr>
            </w:pPr>
            <w:r w:rsidRPr="00265C60">
              <w:rPr>
                <w:sz w:val="20"/>
                <w:szCs w:val="20"/>
              </w:rPr>
              <w:t>Прирост к 2025 году в реальном выражении, млрд рублей</w:t>
            </w:r>
          </w:p>
        </w:tc>
        <w:tc>
          <w:tcPr>
            <w:tcW w:w="1276"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sz w:val="20"/>
                <w:szCs w:val="20"/>
              </w:rPr>
            </w:pPr>
            <w:r w:rsidRPr="00265C60">
              <w:rPr>
                <w:sz w:val="20"/>
                <w:szCs w:val="20"/>
              </w:rPr>
              <w:t> </w:t>
            </w:r>
          </w:p>
        </w:tc>
        <w:tc>
          <w:tcPr>
            <w:tcW w:w="1276" w:type="dxa"/>
            <w:tcBorders>
              <w:top w:val="nil"/>
              <w:left w:val="nil"/>
              <w:bottom w:val="single" w:sz="4" w:space="0" w:color="auto"/>
              <w:right w:val="single" w:sz="4" w:space="0" w:color="auto"/>
            </w:tcBorders>
            <w:shd w:val="clear" w:color="000000" w:fill="FFFFFF"/>
            <w:vAlign w:val="center"/>
          </w:tcPr>
          <w:p w:rsidR="00F1748E" w:rsidRPr="00265C60" w:rsidRDefault="00F1748E" w:rsidP="00F1748E">
            <w:pPr>
              <w:spacing w:line="240" w:lineRule="auto"/>
              <w:ind w:firstLine="0"/>
              <w:jc w:val="center"/>
              <w:rPr>
                <w:sz w:val="20"/>
                <w:szCs w:val="20"/>
              </w:rPr>
            </w:pPr>
            <w:r w:rsidRPr="00265C60">
              <w:rPr>
                <w:sz w:val="20"/>
                <w:szCs w:val="20"/>
              </w:rPr>
              <w:t>76,0</w:t>
            </w:r>
          </w:p>
        </w:tc>
        <w:tc>
          <w:tcPr>
            <w:tcW w:w="1134" w:type="dxa"/>
            <w:tcBorders>
              <w:top w:val="nil"/>
              <w:left w:val="nil"/>
              <w:bottom w:val="single" w:sz="4" w:space="0" w:color="auto"/>
              <w:right w:val="single" w:sz="4" w:space="0" w:color="auto"/>
            </w:tcBorders>
            <w:shd w:val="clear" w:color="000000" w:fill="FFFFFF"/>
            <w:vAlign w:val="center"/>
          </w:tcPr>
          <w:p w:rsidR="00F1748E" w:rsidRPr="00265C60" w:rsidRDefault="00F1748E" w:rsidP="00F1748E">
            <w:pPr>
              <w:spacing w:line="240" w:lineRule="auto"/>
              <w:ind w:firstLine="0"/>
              <w:jc w:val="center"/>
              <w:rPr>
                <w:sz w:val="20"/>
                <w:szCs w:val="20"/>
              </w:rPr>
            </w:pPr>
            <w:r w:rsidRPr="00265C60">
              <w:rPr>
                <w:sz w:val="20"/>
                <w:szCs w:val="20"/>
              </w:rPr>
              <w:t>319,7</w:t>
            </w:r>
          </w:p>
        </w:tc>
        <w:tc>
          <w:tcPr>
            <w:tcW w:w="1134" w:type="dxa"/>
            <w:tcBorders>
              <w:top w:val="nil"/>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sz w:val="20"/>
                <w:szCs w:val="20"/>
              </w:rPr>
            </w:pPr>
            <w:r w:rsidRPr="00265C60">
              <w:rPr>
                <w:sz w:val="20"/>
                <w:szCs w:val="20"/>
              </w:rPr>
              <w:t>1 602,8</w:t>
            </w:r>
          </w:p>
        </w:tc>
      </w:tr>
      <w:tr w:rsidR="00F1748E" w:rsidRPr="00265C60" w:rsidTr="00A67CC7">
        <w:trPr>
          <w:trHeight w:val="20"/>
        </w:trPr>
        <w:tc>
          <w:tcPr>
            <w:tcW w:w="55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1748E" w:rsidRPr="00265C60" w:rsidRDefault="00F1748E" w:rsidP="00F1748E">
            <w:pPr>
              <w:spacing w:line="240" w:lineRule="auto"/>
              <w:ind w:firstLine="0"/>
              <w:rPr>
                <w:i/>
                <w:iCs/>
                <w:sz w:val="18"/>
                <w:szCs w:val="18"/>
              </w:rPr>
            </w:pPr>
            <w:r w:rsidRPr="00265C60">
              <w:rPr>
                <w:i/>
                <w:iCs/>
                <w:sz w:val="18"/>
                <w:szCs w:val="18"/>
              </w:rPr>
              <w:t>Темп прироста к 2025 году в реальном выражении, %</w:t>
            </w:r>
          </w:p>
        </w:tc>
        <w:tc>
          <w:tcPr>
            <w:tcW w:w="1276" w:type="dxa"/>
            <w:tcBorders>
              <w:top w:val="single" w:sz="4" w:space="0" w:color="auto"/>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i/>
                <w:iCs/>
                <w:sz w:val="20"/>
                <w:szCs w:val="20"/>
              </w:rPr>
            </w:pPr>
            <w:r w:rsidRPr="00265C60">
              <w:rPr>
                <w:i/>
                <w:i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1748E" w:rsidRPr="00265C60" w:rsidRDefault="00F1748E" w:rsidP="00F1748E">
            <w:pPr>
              <w:spacing w:line="240" w:lineRule="auto"/>
              <w:ind w:firstLine="0"/>
              <w:jc w:val="center"/>
              <w:rPr>
                <w:i/>
                <w:iCs/>
                <w:sz w:val="20"/>
                <w:szCs w:val="20"/>
              </w:rPr>
            </w:pPr>
            <w:r w:rsidRPr="00265C60">
              <w:rPr>
                <w:i/>
                <w:iCs/>
                <w:sz w:val="20"/>
                <w:szCs w:val="20"/>
              </w:rPr>
              <w:t>0,2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1748E" w:rsidRPr="00265C60" w:rsidRDefault="00F1748E" w:rsidP="00F1748E">
            <w:pPr>
              <w:spacing w:line="240" w:lineRule="auto"/>
              <w:ind w:firstLine="0"/>
              <w:jc w:val="center"/>
              <w:rPr>
                <w:i/>
                <w:iCs/>
                <w:sz w:val="20"/>
                <w:szCs w:val="20"/>
              </w:rPr>
            </w:pPr>
            <w:r w:rsidRPr="00265C60">
              <w:rPr>
                <w:i/>
                <w:iCs/>
                <w:sz w:val="20"/>
                <w:szCs w:val="20"/>
              </w:rPr>
              <w:t>0,8</w:t>
            </w:r>
          </w:p>
        </w:tc>
        <w:tc>
          <w:tcPr>
            <w:tcW w:w="1134" w:type="dxa"/>
            <w:tcBorders>
              <w:top w:val="single" w:sz="4" w:space="0" w:color="auto"/>
              <w:left w:val="nil"/>
              <w:bottom w:val="single" w:sz="4" w:space="0" w:color="auto"/>
              <w:right w:val="single" w:sz="4" w:space="0" w:color="auto"/>
            </w:tcBorders>
            <w:shd w:val="clear" w:color="auto" w:fill="auto"/>
            <w:vAlign w:val="center"/>
          </w:tcPr>
          <w:p w:rsidR="00F1748E" w:rsidRPr="00265C60" w:rsidRDefault="00F1748E" w:rsidP="00F1748E">
            <w:pPr>
              <w:spacing w:line="240" w:lineRule="auto"/>
              <w:ind w:firstLine="0"/>
              <w:jc w:val="center"/>
              <w:rPr>
                <w:i/>
                <w:iCs/>
                <w:sz w:val="20"/>
                <w:szCs w:val="20"/>
              </w:rPr>
            </w:pPr>
            <w:r w:rsidRPr="00265C60">
              <w:rPr>
                <w:i/>
                <w:iCs/>
                <w:sz w:val="20"/>
                <w:szCs w:val="20"/>
              </w:rPr>
              <w:t>3,8</w:t>
            </w:r>
          </w:p>
        </w:tc>
      </w:tr>
      <w:tr w:rsidR="00F1748E" w:rsidRPr="00265C60" w:rsidTr="00A67CC7">
        <w:trPr>
          <w:trHeight w:val="20"/>
        </w:trPr>
        <w:tc>
          <w:tcPr>
            <w:tcW w:w="1034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F1748E" w:rsidRPr="00265C60" w:rsidRDefault="00F1748E" w:rsidP="004911AF">
            <w:pPr>
              <w:spacing w:line="240" w:lineRule="auto"/>
              <w:ind w:firstLine="0"/>
              <w:rPr>
                <w:i/>
                <w:iCs/>
                <w:sz w:val="16"/>
                <w:szCs w:val="16"/>
              </w:rPr>
            </w:pPr>
            <w:r w:rsidRPr="00265C60">
              <w:rPr>
                <w:i/>
                <w:iCs/>
                <w:sz w:val="16"/>
                <w:szCs w:val="16"/>
              </w:rPr>
              <w:t>Справочно:</w:t>
            </w:r>
          </w:p>
          <w:p w:rsidR="00F1748E" w:rsidRPr="00265C60" w:rsidRDefault="00F1748E" w:rsidP="004911AF">
            <w:pPr>
              <w:spacing w:line="240" w:lineRule="auto"/>
              <w:ind w:firstLine="0"/>
              <w:rPr>
                <w:i/>
                <w:iCs/>
                <w:sz w:val="16"/>
                <w:szCs w:val="16"/>
              </w:rPr>
            </w:pPr>
            <w:r w:rsidRPr="00265C60">
              <w:rPr>
                <w:i/>
                <w:iCs/>
                <w:sz w:val="16"/>
                <w:szCs w:val="16"/>
              </w:rPr>
              <w:t xml:space="preserve"> Индекс потребительских цен (декабрь к декабрю): 2020 год – 104,9 %, 2021 год – 108,4 %, 2022 год – 111,9 %, 2023 год – 107,5 %, 2024 год – </w:t>
            </w:r>
            <w:r w:rsidR="00476F32" w:rsidRPr="00265C60">
              <w:rPr>
                <w:i/>
                <w:iCs/>
                <w:sz w:val="16"/>
                <w:szCs w:val="16"/>
              </w:rPr>
              <w:t>109,5</w:t>
            </w:r>
            <w:r w:rsidRPr="00265C60">
              <w:rPr>
                <w:i/>
                <w:iCs/>
                <w:sz w:val="16"/>
                <w:szCs w:val="16"/>
              </w:rPr>
              <w:t xml:space="preserve">%, 2025 год – </w:t>
            </w:r>
            <w:r w:rsidR="00476F32" w:rsidRPr="00265C60">
              <w:rPr>
                <w:i/>
                <w:iCs/>
                <w:sz w:val="16"/>
                <w:szCs w:val="16"/>
              </w:rPr>
              <w:t>106,8</w:t>
            </w:r>
            <w:r w:rsidRPr="00265C60">
              <w:rPr>
                <w:i/>
                <w:iCs/>
                <w:sz w:val="16"/>
                <w:szCs w:val="16"/>
              </w:rPr>
              <w:t xml:space="preserve"> %; 2026 год – 104%;2027 год – 104%</w:t>
            </w:r>
            <w:r w:rsidR="00476F32" w:rsidRPr="00265C60">
              <w:rPr>
                <w:i/>
                <w:iCs/>
                <w:sz w:val="16"/>
                <w:szCs w:val="16"/>
              </w:rPr>
              <w:t>;2028 год – 104%</w:t>
            </w:r>
            <w:r w:rsidRPr="00265C60">
              <w:rPr>
                <w:i/>
                <w:iCs/>
                <w:sz w:val="16"/>
                <w:szCs w:val="16"/>
              </w:rPr>
              <w:t>.</w:t>
            </w:r>
          </w:p>
          <w:p w:rsidR="00F1748E" w:rsidRPr="00265C60" w:rsidRDefault="00F1748E" w:rsidP="00D07A8B">
            <w:pPr>
              <w:ind w:firstLine="0"/>
              <w:rPr>
                <w:i/>
                <w:iCs/>
                <w:sz w:val="18"/>
                <w:szCs w:val="18"/>
              </w:rPr>
            </w:pPr>
            <w:r w:rsidRPr="00265C60">
              <w:rPr>
                <w:i/>
                <w:iCs/>
                <w:sz w:val="16"/>
                <w:szCs w:val="16"/>
              </w:rPr>
              <w:t>Расходы федерального бюджета в 2019 году – 18 214,5 млрд рублей; в 202</w:t>
            </w:r>
            <w:r w:rsidR="00476F32" w:rsidRPr="00265C60">
              <w:rPr>
                <w:i/>
                <w:iCs/>
                <w:sz w:val="16"/>
                <w:szCs w:val="16"/>
              </w:rPr>
              <w:t>4</w:t>
            </w:r>
            <w:r w:rsidRPr="00265C60">
              <w:rPr>
                <w:i/>
                <w:iCs/>
                <w:sz w:val="16"/>
                <w:szCs w:val="16"/>
              </w:rPr>
              <w:t xml:space="preserve"> году – </w:t>
            </w:r>
            <w:r w:rsidR="00476F32" w:rsidRPr="00265C60">
              <w:rPr>
                <w:i/>
                <w:iCs/>
                <w:sz w:val="16"/>
                <w:szCs w:val="16"/>
              </w:rPr>
              <w:t>40 180,5 млрд</w:t>
            </w:r>
            <w:r w:rsidRPr="00265C60">
              <w:rPr>
                <w:i/>
                <w:iCs/>
                <w:sz w:val="16"/>
                <w:szCs w:val="16"/>
              </w:rPr>
              <w:t xml:space="preserve"> рублей.</w:t>
            </w:r>
          </w:p>
        </w:tc>
      </w:tr>
    </w:tbl>
    <w:p w:rsidR="00DC33CC" w:rsidRPr="00265C60" w:rsidRDefault="00DC33CC" w:rsidP="00A67CC7">
      <w:pPr>
        <w:spacing w:before="120"/>
        <w:rPr>
          <w:b/>
        </w:rPr>
      </w:pPr>
      <w:r w:rsidRPr="00265C60">
        <w:rPr>
          <w:b/>
        </w:rPr>
        <w:t>В 202</w:t>
      </w:r>
      <w:r w:rsidR="00476F32" w:rsidRPr="00265C60">
        <w:rPr>
          <w:b/>
        </w:rPr>
        <w:t>6</w:t>
      </w:r>
      <w:r w:rsidRPr="00265C60">
        <w:rPr>
          <w:b/>
        </w:rPr>
        <w:t>–202</w:t>
      </w:r>
      <w:r w:rsidR="00476F32" w:rsidRPr="00265C60">
        <w:rPr>
          <w:b/>
        </w:rPr>
        <w:t>8</w:t>
      </w:r>
      <w:r w:rsidRPr="00265C60">
        <w:rPr>
          <w:b/>
        </w:rPr>
        <w:t xml:space="preserve"> годах </w:t>
      </w:r>
      <w:r w:rsidR="009E6C74" w:rsidRPr="00265C60">
        <w:rPr>
          <w:b/>
        </w:rPr>
        <w:t>расходы</w:t>
      </w:r>
      <w:r w:rsidRPr="00265C60">
        <w:t xml:space="preserve"> федерального бюджета</w:t>
      </w:r>
      <w:r w:rsidR="009E6C74" w:rsidRPr="00265C60">
        <w:t xml:space="preserve"> </w:t>
      </w:r>
      <w:r w:rsidR="00CB4088" w:rsidRPr="00265C60">
        <w:t xml:space="preserve">планируются </w:t>
      </w:r>
      <w:r w:rsidR="008C0E6B" w:rsidRPr="00265C60">
        <w:t>с приростом по</w:t>
      </w:r>
      <w:r w:rsidR="00C13D28">
        <w:t> </w:t>
      </w:r>
      <w:r w:rsidR="008C0E6B" w:rsidRPr="00265C60">
        <w:t xml:space="preserve">отношению к </w:t>
      </w:r>
      <w:r w:rsidR="00476F32" w:rsidRPr="00265C60">
        <w:t>2025 году</w:t>
      </w:r>
      <w:r w:rsidR="00423332" w:rsidRPr="00265C60">
        <w:t xml:space="preserve"> в номинальном</w:t>
      </w:r>
      <w:r w:rsidR="00A7108E" w:rsidRPr="00265C60">
        <w:t xml:space="preserve"> </w:t>
      </w:r>
      <w:r w:rsidR="006A1538" w:rsidRPr="00265C60">
        <w:t xml:space="preserve">и </w:t>
      </w:r>
      <w:r w:rsidR="009E6C74" w:rsidRPr="00265C60">
        <w:t>в реальном выражении</w:t>
      </w:r>
      <w:r w:rsidRPr="00265C60">
        <w:t>.</w:t>
      </w:r>
      <w:r w:rsidRPr="00265C60">
        <w:rPr>
          <w:b/>
        </w:rPr>
        <w:t xml:space="preserve"> </w:t>
      </w:r>
    </w:p>
    <w:p w:rsidR="003157EA" w:rsidRPr="00265C60" w:rsidRDefault="003157EA" w:rsidP="00DC33CC">
      <w:r w:rsidRPr="00265C60">
        <w:rPr>
          <w:b/>
        </w:rPr>
        <w:t>По сравнению с 2019 годом</w:t>
      </w:r>
      <w:r w:rsidRPr="00265C60">
        <w:t xml:space="preserve"> рост расходов федерального бюджета в 202</w:t>
      </w:r>
      <w:r w:rsidR="00476F32" w:rsidRPr="00265C60">
        <w:t>6</w:t>
      </w:r>
      <w:r w:rsidR="009728FC" w:rsidRPr="00265C60">
        <w:t>–</w:t>
      </w:r>
      <w:r w:rsidRPr="00265C60">
        <w:t>202</w:t>
      </w:r>
      <w:r w:rsidR="00476F32" w:rsidRPr="00265C60">
        <w:t>8</w:t>
      </w:r>
      <w:r w:rsidRPr="00265C60">
        <w:t xml:space="preserve"> годах составит </w:t>
      </w:r>
      <w:r w:rsidR="00016D4A" w:rsidRPr="00265C60">
        <w:t>более значительную величину как в</w:t>
      </w:r>
      <w:r w:rsidR="00173301" w:rsidRPr="00265C60">
        <w:t xml:space="preserve"> номинальном</w:t>
      </w:r>
      <w:r w:rsidR="00016D4A" w:rsidRPr="00265C60">
        <w:t>, так и</w:t>
      </w:r>
      <w:r w:rsidR="00173301" w:rsidRPr="00265C60">
        <w:t xml:space="preserve"> в реальном выражении.</w:t>
      </w:r>
    </w:p>
    <w:p w:rsidR="000A1517" w:rsidRDefault="00A41EF9" w:rsidP="00DC33CC">
      <w:r w:rsidRPr="00265C60">
        <w:t>Расчет о</w:t>
      </w:r>
      <w:r w:rsidR="000A1517" w:rsidRPr="00265C60">
        <w:t>бщ</w:t>
      </w:r>
      <w:r w:rsidRPr="00265C60">
        <w:t>его</w:t>
      </w:r>
      <w:r w:rsidR="000A1517" w:rsidRPr="00265C60">
        <w:t xml:space="preserve"> объем</w:t>
      </w:r>
      <w:r w:rsidRPr="00265C60">
        <w:t>а</w:t>
      </w:r>
      <w:r w:rsidR="000A1517" w:rsidRPr="00265C60">
        <w:t xml:space="preserve"> расходов федерального бюджета на 202</w:t>
      </w:r>
      <w:r w:rsidR="00476F32" w:rsidRPr="00265C60">
        <w:t>6</w:t>
      </w:r>
      <w:r w:rsidR="009728FC" w:rsidRPr="00265C60">
        <w:t>–</w:t>
      </w:r>
      <w:r w:rsidR="000A1517" w:rsidRPr="00265C60">
        <w:t>202</w:t>
      </w:r>
      <w:r w:rsidR="00476F32" w:rsidRPr="00265C60">
        <w:t>8</w:t>
      </w:r>
      <w:r w:rsidR="00B24D31">
        <w:t> </w:t>
      </w:r>
      <w:r w:rsidR="000A1517" w:rsidRPr="00265C60">
        <w:t xml:space="preserve">годы </w:t>
      </w:r>
      <w:r w:rsidRPr="00265C60">
        <w:t>осуществлен</w:t>
      </w:r>
      <w:r w:rsidR="000A1517" w:rsidRPr="00265C60">
        <w:t xml:space="preserve"> </w:t>
      </w:r>
      <w:r w:rsidR="00C817B1" w:rsidRPr="00265C60">
        <w:t>в соответствии с пунктом</w:t>
      </w:r>
      <w:r w:rsidR="00173301" w:rsidRPr="00265C60">
        <w:t xml:space="preserve"> 3 статьи 199 Бюджетного кодекса Российской Федерации (бюджетное правило) </w:t>
      </w:r>
      <w:r w:rsidR="00B27A83" w:rsidRPr="00265C60">
        <w:t xml:space="preserve">и </w:t>
      </w:r>
      <w:r w:rsidR="008F0BB1" w:rsidRPr="00265C60">
        <w:t>представлен в следующей таблице</w:t>
      </w:r>
      <w:r w:rsidR="000A1517" w:rsidRPr="00265C60">
        <w:t>.</w:t>
      </w:r>
    </w:p>
    <w:p w:rsidR="00CA5EAC" w:rsidRPr="00265C60" w:rsidRDefault="00CA5EAC" w:rsidP="00B24D31">
      <w:pPr>
        <w:widowControl w:val="0"/>
        <w:autoSpaceDE w:val="0"/>
        <w:autoSpaceDN w:val="0"/>
        <w:adjustRightInd w:val="0"/>
        <w:spacing w:line="240" w:lineRule="auto"/>
        <w:ind w:right="-286" w:firstLine="539"/>
        <w:jc w:val="right"/>
        <w:rPr>
          <w:sz w:val="16"/>
          <w:szCs w:val="16"/>
        </w:rPr>
      </w:pPr>
      <w:r w:rsidRPr="00265C60">
        <w:rPr>
          <w:sz w:val="16"/>
          <w:szCs w:val="16"/>
        </w:rPr>
        <w:t xml:space="preserve">                                                                       </w:t>
      </w:r>
      <w:r w:rsidR="00AF6EAC" w:rsidRPr="00265C60">
        <w:rPr>
          <w:sz w:val="16"/>
          <w:szCs w:val="16"/>
        </w:rPr>
        <w:t xml:space="preserve">                         </w:t>
      </w:r>
      <w:r w:rsidR="00B24D31">
        <w:rPr>
          <w:sz w:val="16"/>
          <w:szCs w:val="16"/>
        </w:rPr>
        <w:t>(млрд</w:t>
      </w:r>
      <w:r w:rsidRPr="00265C60">
        <w:rPr>
          <w:sz w:val="16"/>
          <w:szCs w:val="16"/>
        </w:rPr>
        <w:t xml:space="preserve"> рублей)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1418"/>
        <w:gridCol w:w="1417"/>
        <w:gridCol w:w="1418"/>
      </w:tblGrid>
      <w:tr w:rsidR="00684E9C" w:rsidRPr="00265C60" w:rsidTr="00A67CC7">
        <w:trPr>
          <w:trHeight w:val="283"/>
          <w:tblHeader/>
        </w:trPr>
        <w:tc>
          <w:tcPr>
            <w:tcW w:w="5778" w:type="dxa"/>
            <w:hideMark/>
          </w:tcPr>
          <w:p w:rsidR="000A1517" w:rsidRPr="00265C60" w:rsidRDefault="000A1517" w:rsidP="00D91F9A">
            <w:pPr>
              <w:spacing w:line="276" w:lineRule="auto"/>
              <w:ind w:firstLine="0"/>
              <w:contextualSpacing/>
              <w:jc w:val="center"/>
              <w:rPr>
                <w:rFonts w:eastAsia="Calibri"/>
                <w:b/>
                <w:bCs/>
                <w:sz w:val="18"/>
                <w:szCs w:val="18"/>
                <w:lang w:eastAsia="en-US"/>
              </w:rPr>
            </w:pPr>
            <w:r w:rsidRPr="00265C60">
              <w:rPr>
                <w:rFonts w:eastAsia="Calibri"/>
                <w:b/>
                <w:bCs/>
                <w:sz w:val="18"/>
                <w:szCs w:val="18"/>
                <w:lang w:eastAsia="en-US"/>
              </w:rPr>
              <w:t>Показатель</w:t>
            </w:r>
          </w:p>
        </w:tc>
        <w:tc>
          <w:tcPr>
            <w:tcW w:w="1418" w:type="dxa"/>
            <w:hideMark/>
          </w:tcPr>
          <w:p w:rsidR="000A1517" w:rsidRPr="00265C60" w:rsidRDefault="000A1517" w:rsidP="00476F32">
            <w:pPr>
              <w:spacing w:line="276" w:lineRule="auto"/>
              <w:ind w:firstLine="0"/>
              <w:contextualSpacing/>
              <w:jc w:val="center"/>
              <w:rPr>
                <w:rFonts w:eastAsia="Calibri"/>
                <w:b/>
                <w:bCs/>
                <w:sz w:val="18"/>
                <w:szCs w:val="18"/>
                <w:lang w:eastAsia="en-US"/>
              </w:rPr>
            </w:pPr>
            <w:r w:rsidRPr="00265C60">
              <w:rPr>
                <w:rFonts w:eastAsia="Calibri"/>
                <w:b/>
                <w:bCs/>
                <w:sz w:val="18"/>
                <w:szCs w:val="18"/>
                <w:lang w:eastAsia="en-US"/>
              </w:rPr>
              <w:t>202</w:t>
            </w:r>
            <w:r w:rsidR="00476F32" w:rsidRPr="00265C60">
              <w:rPr>
                <w:rFonts w:eastAsia="Calibri"/>
                <w:b/>
                <w:bCs/>
                <w:sz w:val="18"/>
                <w:szCs w:val="18"/>
                <w:lang w:eastAsia="en-US"/>
              </w:rPr>
              <w:t>6</w:t>
            </w:r>
            <w:r w:rsidRPr="00265C60">
              <w:rPr>
                <w:rFonts w:eastAsia="Calibri"/>
                <w:b/>
                <w:bCs/>
                <w:sz w:val="18"/>
                <w:szCs w:val="18"/>
                <w:lang w:eastAsia="en-US"/>
              </w:rPr>
              <w:t xml:space="preserve"> год</w:t>
            </w:r>
          </w:p>
        </w:tc>
        <w:tc>
          <w:tcPr>
            <w:tcW w:w="1417" w:type="dxa"/>
            <w:hideMark/>
          </w:tcPr>
          <w:p w:rsidR="000A1517" w:rsidRPr="00265C60" w:rsidRDefault="000A1517" w:rsidP="00476F32">
            <w:pPr>
              <w:spacing w:line="276" w:lineRule="auto"/>
              <w:ind w:firstLine="0"/>
              <w:contextualSpacing/>
              <w:jc w:val="center"/>
              <w:rPr>
                <w:rFonts w:eastAsia="Calibri"/>
                <w:b/>
                <w:bCs/>
                <w:sz w:val="18"/>
                <w:szCs w:val="18"/>
                <w:lang w:eastAsia="en-US"/>
              </w:rPr>
            </w:pPr>
            <w:r w:rsidRPr="00265C60">
              <w:rPr>
                <w:rFonts w:eastAsia="Calibri"/>
                <w:b/>
                <w:bCs/>
                <w:sz w:val="18"/>
                <w:szCs w:val="18"/>
                <w:lang w:eastAsia="en-US"/>
              </w:rPr>
              <w:t>202</w:t>
            </w:r>
            <w:r w:rsidR="00476F32" w:rsidRPr="00265C60">
              <w:rPr>
                <w:rFonts w:eastAsia="Calibri"/>
                <w:b/>
                <w:bCs/>
                <w:sz w:val="18"/>
                <w:szCs w:val="18"/>
                <w:lang w:eastAsia="en-US"/>
              </w:rPr>
              <w:t>7</w:t>
            </w:r>
            <w:r w:rsidRPr="00265C60">
              <w:rPr>
                <w:rFonts w:eastAsia="Calibri"/>
                <w:b/>
                <w:bCs/>
                <w:sz w:val="18"/>
                <w:szCs w:val="18"/>
                <w:lang w:eastAsia="en-US"/>
              </w:rPr>
              <w:t xml:space="preserve"> год</w:t>
            </w:r>
          </w:p>
        </w:tc>
        <w:tc>
          <w:tcPr>
            <w:tcW w:w="1418" w:type="dxa"/>
            <w:hideMark/>
          </w:tcPr>
          <w:p w:rsidR="000A1517" w:rsidRPr="00265C60" w:rsidRDefault="000A1517" w:rsidP="00476F32">
            <w:pPr>
              <w:spacing w:line="276" w:lineRule="auto"/>
              <w:ind w:firstLine="0"/>
              <w:contextualSpacing/>
              <w:jc w:val="center"/>
              <w:rPr>
                <w:rFonts w:eastAsia="Calibri"/>
                <w:b/>
                <w:bCs/>
                <w:sz w:val="18"/>
                <w:szCs w:val="18"/>
                <w:lang w:eastAsia="en-US"/>
              </w:rPr>
            </w:pPr>
            <w:r w:rsidRPr="00265C60">
              <w:rPr>
                <w:rFonts w:eastAsia="Calibri"/>
                <w:b/>
                <w:bCs/>
                <w:sz w:val="18"/>
                <w:szCs w:val="18"/>
                <w:lang w:eastAsia="en-US"/>
              </w:rPr>
              <w:t>202</w:t>
            </w:r>
            <w:r w:rsidR="00476F32" w:rsidRPr="00265C60">
              <w:rPr>
                <w:rFonts w:eastAsia="Calibri"/>
                <w:b/>
                <w:bCs/>
                <w:sz w:val="18"/>
                <w:szCs w:val="18"/>
                <w:lang w:eastAsia="en-US"/>
              </w:rPr>
              <w:t>8</w:t>
            </w:r>
            <w:r w:rsidRPr="00265C60">
              <w:rPr>
                <w:rFonts w:eastAsia="Calibri"/>
                <w:b/>
                <w:bCs/>
                <w:sz w:val="18"/>
                <w:szCs w:val="18"/>
                <w:lang w:eastAsia="en-US"/>
              </w:rPr>
              <w:t xml:space="preserve"> год</w:t>
            </w:r>
          </w:p>
        </w:tc>
      </w:tr>
      <w:tr w:rsidR="00684E9C" w:rsidRPr="00265C60" w:rsidTr="00A67CC7">
        <w:trPr>
          <w:trHeight w:val="283"/>
        </w:trPr>
        <w:tc>
          <w:tcPr>
            <w:tcW w:w="5778" w:type="dxa"/>
            <w:shd w:val="clear" w:color="auto" w:fill="auto"/>
            <w:vAlign w:val="center"/>
          </w:tcPr>
          <w:p w:rsidR="000A1517" w:rsidRPr="00265C60" w:rsidRDefault="000A1517" w:rsidP="00CA5EAC">
            <w:pPr>
              <w:spacing w:line="276" w:lineRule="auto"/>
              <w:ind w:firstLine="0"/>
              <w:contextualSpacing/>
              <w:jc w:val="left"/>
              <w:rPr>
                <w:rFonts w:eastAsia="Calibri"/>
                <w:b/>
                <w:bCs/>
                <w:sz w:val="18"/>
                <w:szCs w:val="18"/>
              </w:rPr>
            </w:pPr>
            <w:r w:rsidRPr="00265C60">
              <w:rPr>
                <w:rFonts w:eastAsia="Calibri"/>
                <w:b/>
                <w:bCs/>
                <w:sz w:val="18"/>
                <w:szCs w:val="18"/>
              </w:rPr>
              <w:t xml:space="preserve">Общий объем расходов федерального бюджета – всего </w:t>
            </w:r>
          </w:p>
        </w:tc>
        <w:tc>
          <w:tcPr>
            <w:tcW w:w="1418" w:type="dxa"/>
            <w:shd w:val="clear" w:color="auto" w:fill="auto"/>
            <w:vAlign w:val="center"/>
          </w:tcPr>
          <w:p w:rsidR="000A1517" w:rsidRPr="00265C60" w:rsidRDefault="00476F32" w:rsidP="00E53301">
            <w:pPr>
              <w:spacing w:line="276" w:lineRule="auto"/>
              <w:ind w:firstLine="0"/>
              <w:contextualSpacing/>
              <w:jc w:val="center"/>
              <w:rPr>
                <w:rFonts w:eastAsia="Calibri"/>
                <w:b/>
                <w:bCs/>
                <w:sz w:val="18"/>
                <w:szCs w:val="18"/>
                <w:lang w:eastAsia="en-US"/>
              </w:rPr>
            </w:pPr>
            <w:r w:rsidRPr="00265C60">
              <w:rPr>
                <w:rFonts w:eastAsia="Calibri"/>
                <w:b/>
                <w:bCs/>
                <w:sz w:val="18"/>
                <w:szCs w:val="18"/>
                <w:lang w:eastAsia="en-US"/>
              </w:rPr>
              <w:t>44 069,7</w:t>
            </w:r>
          </w:p>
        </w:tc>
        <w:tc>
          <w:tcPr>
            <w:tcW w:w="1417" w:type="dxa"/>
            <w:shd w:val="clear" w:color="auto" w:fill="auto"/>
            <w:vAlign w:val="center"/>
          </w:tcPr>
          <w:p w:rsidR="000A1517" w:rsidRPr="00265C60" w:rsidRDefault="00476F32" w:rsidP="00E53301">
            <w:pPr>
              <w:spacing w:line="276" w:lineRule="auto"/>
              <w:ind w:firstLine="0"/>
              <w:contextualSpacing/>
              <w:jc w:val="center"/>
              <w:rPr>
                <w:rFonts w:eastAsia="Calibri"/>
                <w:b/>
                <w:bCs/>
                <w:sz w:val="18"/>
                <w:szCs w:val="18"/>
                <w:lang w:eastAsia="en-US"/>
              </w:rPr>
            </w:pPr>
            <w:r w:rsidRPr="00265C60">
              <w:rPr>
                <w:rFonts w:eastAsia="Calibri"/>
                <w:b/>
                <w:bCs/>
                <w:sz w:val="18"/>
                <w:szCs w:val="18"/>
                <w:lang w:eastAsia="en-US"/>
              </w:rPr>
              <w:t>46 096,1</w:t>
            </w:r>
          </w:p>
        </w:tc>
        <w:tc>
          <w:tcPr>
            <w:tcW w:w="1418" w:type="dxa"/>
            <w:shd w:val="clear" w:color="auto" w:fill="auto"/>
            <w:vAlign w:val="center"/>
          </w:tcPr>
          <w:p w:rsidR="000A1517" w:rsidRPr="00265C60" w:rsidRDefault="00476F32" w:rsidP="00E53301">
            <w:pPr>
              <w:spacing w:line="276" w:lineRule="auto"/>
              <w:ind w:firstLine="0"/>
              <w:contextualSpacing/>
              <w:jc w:val="center"/>
              <w:rPr>
                <w:rFonts w:eastAsia="Calibri"/>
                <w:b/>
                <w:bCs/>
                <w:sz w:val="18"/>
                <w:szCs w:val="18"/>
                <w:lang w:eastAsia="en-US"/>
              </w:rPr>
            </w:pPr>
            <w:r w:rsidRPr="00265C60">
              <w:rPr>
                <w:rFonts w:eastAsia="Calibri"/>
                <w:b/>
                <w:bCs/>
                <w:sz w:val="18"/>
                <w:szCs w:val="18"/>
                <w:lang w:eastAsia="en-US"/>
              </w:rPr>
              <w:t>49 383,2</w:t>
            </w:r>
          </w:p>
        </w:tc>
      </w:tr>
      <w:tr w:rsidR="00684E9C" w:rsidRPr="00265C60" w:rsidTr="00A67CC7">
        <w:trPr>
          <w:trHeight w:val="283"/>
        </w:trPr>
        <w:tc>
          <w:tcPr>
            <w:tcW w:w="5778" w:type="dxa"/>
            <w:vAlign w:val="center"/>
            <w:hideMark/>
          </w:tcPr>
          <w:p w:rsidR="00FB52E0" w:rsidRPr="00265C60" w:rsidRDefault="00FB52E0" w:rsidP="00D91F9A">
            <w:pPr>
              <w:spacing w:line="276" w:lineRule="auto"/>
              <w:ind w:firstLine="0"/>
              <w:contextualSpacing/>
              <w:jc w:val="left"/>
              <w:rPr>
                <w:rFonts w:eastAsia="Calibri"/>
                <w:bCs/>
                <w:sz w:val="18"/>
                <w:szCs w:val="18"/>
              </w:rPr>
            </w:pPr>
            <w:r w:rsidRPr="00265C60">
              <w:rPr>
                <w:rFonts w:eastAsia="Calibri"/>
                <w:bCs/>
                <w:sz w:val="18"/>
                <w:szCs w:val="18"/>
              </w:rPr>
              <w:t xml:space="preserve">1. Базовые нефтегазовые доходы </w:t>
            </w:r>
          </w:p>
        </w:tc>
        <w:tc>
          <w:tcPr>
            <w:tcW w:w="1418" w:type="dxa"/>
            <w:vAlign w:val="center"/>
            <w:hideMark/>
          </w:tcPr>
          <w:p w:rsidR="00FB52E0" w:rsidRPr="00265C60" w:rsidRDefault="00476F32" w:rsidP="00FB52E0">
            <w:pPr>
              <w:spacing w:line="240" w:lineRule="auto"/>
              <w:ind w:firstLine="0"/>
              <w:jc w:val="center"/>
              <w:rPr>
                <w:sz w:val="20"/>
                <w:szCs w:val="20"/>
              </w:rPr>
            </w:pPr>
            <w:r w:rsidRPr="00265C60">
              <w:rPr>
                <w:sz w:val="20"/>
                <w:szCs w:val="20"/>
              </w:rPr>
              <w:t>8 957,0</w:t>
            </w:r>
          </w:p>
        </w:tc>
        <w:tc>
          <w:tcPr>
            <w:tcW w:w="1417" w:type="dxa"/>
            <w:vAlign w:val="center"/>
            <w:hideMark/>
          </w:tcPr>
          <w:p w:rsidR="00FB52E0" w:rsidRPr="00265C60" w:rsidRDefault="00476F32" w:rsidP="00FB52E0">
            <w:pPr>
              <w:spacing w:line="240" w:lineRule="auto"/>
              <w:ind w:firstLine="0"/>
              <w:jc w:val="center"/>
              <w:rPr>
                <w:sz w:val="20"/>
                <w:szCs w:val="20"/>
              </w:rPr>
            </w:pPr>
            <w:r w:rsidRPr="00265C60">
              <w:rPr>
                <w:sz w:val="20"/>
                <w:szCs w:val="20"/>
              </w:rPr>
              <w:t>8 708,3</w:t>
            </w:r>
          </w:p>
        </w:tc>
        <w:tc>
          <w:tcPr>
            <w:tcW w:w="1418" w:type="dxa"/>
            <w:vAlign w:val="center"/>
            <w:hideMark/>
          </w:tcPr>
          <w:p w:rsidR="00FB52E0" w:rsidRPr="00265C60" w:rsidRDefault="00476F32" w:rsidP="00FB52E0">
            <w:pPr>
              <w:spacing w:line="240" w:lineRule="auto"/>
              <w:ind w:firstLine="0"/>
              <w:jc w:val="center"/>
              <w:rPr>
                <w:sz w:val="20"/>
                <w:szCs w:val="20"/>
              </w:rPr>
            </w:pPr>
            <w:r w:rsidRPr="00265C60">
              <w:rPr>
                <w:sz w:val="20"/>
                <w:szCs w:val="20"/>
              </w:rPr>
              <w:t>8 922,1</w:t>
            </w:r>
          </w:p>
        </w:tc>
      </w:tr>
      <w:tr w:rsidR="00684E9C" w:rsidRPr="00265C60" w:rsidTr="00A67CC7">
        <w:trPr>
          <w:trHeight w:val="283"/>
        </w:trPr>
        <w:tc>
          <w:tcPr>
            <w:tcW w:w="5778" w:type="dxa"/>
            <w:shd w:val="clear" w:color="auto" w:fill="auto"/>
            <w:vAlign w:val="center"/>
            <w:hideMark/>
          </w:tcPr>
          <w:p w:rsidR="00FB52E0" w:rsidRPr="00265C60" w:rsidRDefault="00FB52E0" w:rsidP="00D91F9A">
            <w:pPr>
              <w:spacing w:line="276" w:lineRule="auto"/>
              <w:ind w:firstLine="0"/>
              <w:contextualSpacing/>
              <w:jc w:val="left"/>
              <w:rPr>
                <w:rFonts w:eastAsia="Calibri"/>
                <w:bCs/>
                <w:sz w:val="18"/>
                <w:szCs w:val="18"/>
              </w:rPr>
            </w:pPr>
            <w:r w:rsidRPr="00265C60">
              <w:rPr>
                <w:rFonts w:eastAsia="Calibri"/>
                <w:bCs/>
                <w:sz w:val="18"/>
                <w:szCs w:val="18"/>
              </w:rPr>
              <w:t xml:space="preserve">2. Ненефтегазовые доходы </w:t>
            </w:r>
          </w:p>
        </w:tc>
        <w:tc>
          <w:tcPr>
            <w:tcW w:w="1418" w:type="dxa"/>
            <w:shd w:val="clear" w:color="auto" w:fill="auto"/>
            <w:vAlign w:val="center"/>
            <w:hideMark/>
          </w:tcPr>
          <w:p w:rsidR="00FB52E0" w:rsidRPr="00265C60" w:rsidRDefault="00476F32" w:rsidP="00FB52E0">
            <w:pPr>
              <w:spacing w:line="240" w:lineRule="auto"/>
              <w:ind w:firstLine="0"/>
              <w:jc w:val="center"/>
              <w:rPr>
                <w:sz w:val="20"/>
                <w:szCs w:val="20"/>
              </w:rPr>
            </w:pPr>
            <w:r w:rsidRPr="00265C60">
              <w:rPr>
                <w:sz w:val="20"/>
                <w:szCs w:val="20"/>
              </w:rPr>
              <w:t>31 364,7</w:t>
            </w:r>
          </w:p>
        </w:tc>
        <w:tc>
          <w:tcPr>
            <w:tcW w:w="1417" w:type="dxa"/>
            <w:shd w:val="clear" w:color="auto" w:fill="auto"/>
            <w:vAlign w:val="center"/>
            <w:hideMark/>
          </w:tcPr>
          <w:p w:rsidR="00FB52E0" w:rsidRPr="00265C60" w:rsidRDefault="00476F32" w:rsidP="00FB52E0">
            <w:pPr>
              <w:spacing w:line="240" w:lineRule="auto"/>
              <w:ind w:firstLine="0"/>
              <w:jc w:val="center"/>
              <w:rPr>
                <w:sz w:val="20"/>
                <w:szCs w:val="20"/>
              </w:rPr>
            </w:pPr>
            <w:r w:rsidRPr="00265C60">
              <w:rPr>
                <w:sz w:val="20"/>
                <w:szCs w:val="20"/>
              </w:rPr>
              <w:t>33 859,9</w:t>
            </w:r>
          </w:p>
        </w:tc>
        <w:tc>
          <w:tcPr>
            <w:tcW w:w="1418" w:type="dxa"/>
            <w:shd w:val="clear" w:color="auto" w:fill="auto"/>
            <w:vAlign w:val="center"/>
            <w:hideMark/>
          </w:tcPr>
          <w:p w:rsidR="00FB52E0" w:rsidRPr="00265C60" w:rsidRDefault="00476F32" w:rsidP="00FB52E0">
            <w:pPr>
              <w:spacing w:line="240" w:lineRule="auto"/>
              <w:ind w:firstLine="0"/>
              <w:jc w:val="center"/>
              <w:rPr>
                <w:sz w:val="20"/>
                <w:szCs w:val="20"/>
              </w:rPr>
            </w:pPr>
            <w:r w:rsidRPr="00265C60">
              <w:rPr>
                <w:sz w:val="20"/>
                <w:szCs w:val="20"/>
              </w:rPr>
              <w:t>36 164,6</w:t>
            </w:r>
          </w:p>
        </w:tc>
      </w:tr>
      <w:tr w:rsidR="00684E9C" w:rsidRPr="00265C60" w:rsidTr="00A67CC7">
        <w:trPr>
          <w:trHeight w:val="283"/>
        </w:trPr>
        <w:tc>
          <w:tcPr>
            <w:tcW w:w="5778" w:type="dxa"/>
            <w:shd w:val="clear" w:color="auto" w:fill="FFFFFF" w:themeFill="background1"/>
            <w:vAlign w:val="center"/>
          </w:tcPr>
          <w:p w:rsidR="00FB52E0" w:rsidRPr="00265C60" w:rsidRDefault="00FB52E0" w:rsidP="00D91F9A">
            <w:pPr>
              <w:spacing w:line="276" w:lineRule="auto"/>
              <w:ind w:firstLine="0"/>
              <w:contextualSpacing/>
              <w:jc w:val="left"/>
              <w:rPr>
                <w:rFonts w:eastAsia="Calibri"/>
                <w:bCs/>
                <w:sz w:val="18"/>
                <w:szCs w:val="18"/>
              </w:rPr>
            </w:pPr>
            <w:r w:rsidRPr="00265C60">
              <w:rPr>
                <w:rFonts w:eastAsia="Calibri"/>
                <w:bCs/>
                <w:sz w:val="18"/>
                <w:szCs w:val="18"/>
              </w:rPr>
              <w:t>3. Расходы на обслуживание государственного долга</w:t>
            </w:r>
          </w:p>
        </w:tc>
        <w:tc>
          <w:tcPr>
            <w:tcW w:w="1418" w:type="dxa"/>
            <w:shd w:val="clear" w:color="auto" w:fill="FFFFFF" w:themeFill="background1"/>
            <w:vAlign w:val="center"/>
          </w:tcPr>
          <w:p w:rsidR="00FB52E0" w:rsidRPr="00265C60" w:rsidRDefault="00476F32" w:rsidP="00FB52E0">
            <w:pPr>
              <w:spacing w:line="240" w:lineRule="auto"/>
              <w:ind w:firstLine="0"/>
              <w:jc w:val="center"/>
              <w:rPr>
                <w:iCs/>
                <w:sz w:val="20"/>
                <w:szCs w:val="20"/>
              </w:rPr>
            </w:pPr>
            <w:r w:rsidRPr="00265C60">
              <w:rPr>
                <w:iCs/>
                <w:sz w:val="20"/>
                <w:szCs w:val="20"/>
              </w:rPr>
              <w:t>3 900,2</w:t>
            </w:r>
          </w:p>
        </w:tc>
        <w:tc>
          <w:tcPr>
            <w:tcW w:w="1417" w:type="dxa"/>
            <w:shd w:val="clear" w:color="auto" w:fill="FFFFFF" w:themeFill="background1"/>
            <w:vAlign w:val="center"/>
          </w:tcPr>
          <w:p w:rsidR="00FB52E0" w:rsidRPr="00265C60" w:rsidRDefault="00476F32" w:rsidP="00FB52E0">
            <w:pPr>
              <w:spacing w:line="240" w:lineRule="auto"/>
              <w:ind w:firstLine="0"/>
              <w:jc w:val="center"/>
              <w:rPr>
                <w:iCs/>
                <w:sz w:val="20"/>
                <w:szCs w:val="20"/>
              </w:rPr>
            </w:pPr>
            <w:r w:rsidRPr="00265C60">
              <w:rPr>
                <w:iCs/>
                <w:sz w:val="20"/>
                <w:szCs w:val="20"/>
              </w:rPr>
              <w:t>3 757,5</w:t>
            </w:r>
          </w:p>
        </w:tc>
        <w:tc>
          <w:tcPr>
            <w:tcW w:w="1418" w:type="dxa"/>
            <w:shd w:val="clear" w:color="auto" w:fill="FFFFFF" w:themeFill="background1"/>
            <w:vAlign w:val="center"/>
          </w:tcPr>
          <w:p w:rsidR="00FB52E0" w:rsidRPr="00265C60" w:rsidRDefault="00476F32" w:rsidP="00FB52E0">
            <w:pPr>
              <w:spacing w:line="240" w:lineRule="auto"/>
              <w:ind w:firstLine="0"/>
              <w:jc w:val="center"/>
              <w:rPr>
                <w:iCs/>
                <w:sz w:val="20"/>
                <w:szCs w:val="20"/>
              </w:rPr>
            </w:pPr>
            <w:r w:rsidRPr="00265C60">
              <w:rPr>
                <w:iCs/>
                <w:sz w:val="20"/>
                <w:szCs w:val="20"/>
              </w:rPr>
              <w:t>4 522,5</w:t>
            </w:r>
          </w:p>
        </w:tc>
      </w:tr>
      <w:tr w:rsidR="00476F32" w:rsidRPr="00265C60" w:rsidTr="00A67CC7">
        <w:trPr>
          <w:trHeight w:val="283"/>
        </w:trPr>
        <w:tc>
          <w:tcPr>
            <w:tcW w:w="5778" w:type="dxa"/>
            <w:shd w:val="clear" w:color="auto" w:fill="FFFFFF" w:themeFill="background1"/>
            <w:vAlign w:val="center"/>
          </w:tcPr>
          <w:p w:rsidR="00FB52E0" w:rsidRPr="00265C60" w:rsidRDefault="00D92A52" w:rsidP="00FB52E0">
            <w:pPr>
              <w:spacing w:line="276" w:lineRule="auto"/>
              <w:ind w:firstLine="0"/>
              <w:contextualSpacing/>
              <w:jc w:val="left"/>
              <w:rPr>
                <w:rFonts w:eastAsia="Calibri"/>
                <w:sz w:val="18"/>
                <w:szCs w:val="18"/>
              </w:rPr>
            </w:pPr>
            <w:r w:rsidRPr="00265C60">
              <w:rPr>
                <w:rFonts w:eastAsia="Calibri"/>
                <w:sz w:val="18"/>
                <w:szCs w:val="18"/>
              </w:rPr>
              <w:t>4</w:t>
            </w:r>
            <w:r w:rsidR="00FB52E0" w:rsidRPr="00265C60">
              <w:rPr>
                <w:rFonts w:eastAsia="Calibri"/>
                <w:sz w:val="18"/>
                <w:szCs w:val="18"/>
              </w:rPr>
              <w:t>.  Разница между предоставлением и возвратом бюджетных кредитов</w:t>
            </w:r>
          </w:p>
        </w:tc>
        <w:tc>
          <w:tcPr>
            <w:tcW w:w="1418" w:type="dxa"/>
            <w:shd w:val="clear" w:color="auto" w:fill="FFFFFF" w:themeFill="background1"/>
            <w:vAlign w:val="center"/>
          </w:tcPr>
          <w:p w:rsidR="00FB52E0" w:rsidRPr="00265C60" w:rsidRDefault="00FB52E0" w:rsidP="00312295">
            <w:pPr>
              <w:spacing w:line="240" w:lineRule="auto"/>
              <w:ind w:firstLine="0"/>
              <w:jc w:val="center"/>
              <w:rPr>
                <w:iCs/>
                <w:sz w:val="20"/>
                <w:szCs w:val="20"/>
              </w:rPr>
            </w:pPr>
            <w:r w:rsidRPr="00265C60">
              <w:rPr>
                <w:iCs/>
                <w:sz w:val="20"/>
                <w:szCs w:val="20"/>
              </w:rPr>
              <w:t>-</w:t>
            </w:r>
            <w:r w:rsidR="00476F32" w:rsidRPr="00265C60">
              <w:rPr>
                <w:iCs/>
                <w:sz w:val="20"/>
                <w:szCs w:val="20"/>
              </w:rPr>
              <w:t>152,</w:t>
            </w:r>
            <w:r w:rsidR="00312295" w:rsidRPr="00265C60">
              <w:rPr>
                <w:iCs/>
                <w:sz w:val="20"/>
                <w:szCs w:val="20"/>
              </w:rPr>
              <w:t>2</w:t>
            </w:r>
          </w:p>
        </w:tc>
        <w:tc>
          <w:tcPr>
            <w:tcW w:w="1417" w:type="dxa"/>
            <w:shd w:val="clear" w:color="auto" w:fill="FFFFFF" w:themeFill="background1"/>
            <w:vAlign w:val="center"/>
          </w:tcPr>
          <w:p w:rsidR="00FB52E0" w:rsidRPr="00265C60" w:rsidRDefault="00FB52E0" w:rsidP="00312295">
            <w:pPr>
              <w:spacing w:line="240" w:lineRule="auto"/>
              <w:ind w:firstLine="0"/>
              <w:jc w:val="center"/>
              <w:rPr>
                <w:iCs/>
                <w:sz w:val="20"/>
                <w:szCs w:val="20"/>
              </w:rPr>
            </w:pPr>
            <w:r w:rsidRPr="00265C60">
              <w:rPr>
                <w:iCs/>
                <w:sz w:val="20"/>
                <w:szCs w:val="20"/>
              </w:rPr>
              <w:t>-</w:t>
            </w:r>
            <w:r w:rsidR="00476F32" w:rsidRPr="00265C60">
              <w:rPr>
                <w:iCs/>
                <w:sz w:val="20"/>
                <w:szCs w:val="20"/>
              </w:rPr>
              <w:t>229,</w:t>
            </w:r>
            <w:r w:rsidR="00312295" w:rsidRPr="00265C60">
              <w:rPr>
                <w:iCs/>
                <w:sz w:val="20"/>
                <w:szCs w:val="20"/>
              </w:rPr>
              <w:t>6</w:t>
            </w:r>
          </w:p>
        </w:tc>
        <w:tc>
          <w:tcPr>
            <w:tcW w:w="1418" w:type="dxa"/>
            <w:shd w:val="clear" w:color="auto" w:fill="FFFFFF" w:themeFill="background1"/>
            <w:vAlign w:val="center"/>
          </w:tcPr>
          <w:p w:rsidR="00FB52E0" w:rsidRPr="00265C60" w:rsidRDefault="008F1A54" w:rsidP="00476F32">
            <w:pPr>
              <w:spacing w:line="240" w:lineRule="auto"/>
              <w:ind w:firstLine="0"/>
              <w:jc w:val="center"/>
              <w:rPr>
                <w:iCs/>
                <w:sz w:val="20"/>
                <w:szCs w:val="20"/>
              </w:rPr>
            </w:pPr>
            <w:r w:rsidRPr="00265C60">
              <w:rPr>
                <w:iCs/>
                <w:sz w:val="20"/>
                <w:szCs w:val="20"/>
              </w:rPr>
              <w:t>-</w:t>
            </w:r>
            <w:r w:rsidR="00476F32" w:rsidRPr="00265C60">
              <w:rPr>
                <w:iCs/>
                <w:sz w:val="20"/>
                <w:szCs w:val="20"/>
              </w:rPr>
              <w:t>226,0</w:t>
            </w:r>
          </w:p>
        </w:tc>
      </w:tr>
    </w:tbl>
    <w:p w:rsidR="000A1517" w:rsidRPr="00265C60" w:rsidRDefault="000A1517" w:rsidP="000A1517">
      <w:pPr>
        <w:spacing w:after="200" w:line="276" w:lineRule="auto"/>
        <w:ind w:firstLine="0"/>
        <w:rPr>
          <w:rFonts w:eastAsia="Calibri"/>
          <w:b/>
          <w:i/>
          <w:sz w:val="4"/>
          <w:lang w:eastAsia="en-US"/>
        </w:rPr>
      </w:pPr>
    </w:p>
    <w:p w:rsidR="00D6320C" w:rsidRPr="00265C60" w:rsidRDefault="00D6320C" w:rsidP="00D6320C">
      <w:pPr>
        <w:rPr>
          <w:spacing w:val="-4"/>
        </w:rPr>
      </w:pPr>
      <w:bookmarkStart w:id="4" w:name="RANGE!J3"/>
      <w:bookmarkEnd w:id="4"/>
      <w:r w:rsidRPr="00265C60">
        <w:rPr>
          <w:b/>
        </w:rPr>
        <w:t>3.3.</w:t>
      </w:r>
      <w:r w:rsidRPr="00265C60">
        <w:rPr>
          <w:b/>
          <w:spacing w:val="-4"/>
        </w:rPr>
        <w:t xml:space="preserve"> Основные параметры консолидированных бюджетов субъектов Российской Федерации на 2024</w:t>
      </w:r>
      <w:r w:rsidRPr="00265C60">
        <w:rPr>
          <w:rFonts w:eastAsiaTheme="minorHAnsi"/>
          <w:lang w:eastAsia="en-US"/>
        </w:rPr>
        <w:t>–</w:t>
      </w:r>
      <w:r w:rsidRPr="00265C60">
        <w:rPr>
          <w:b/>
          <w:spacing w:val="-4"/>
        </w:rPr>
        <w:t xml:space="preserve">2028 годы </w:t>
      </w:r>
      <w:r w:rsidRPr="00265C60">
        <w:rPr>
          <w:spacing w:val="-4"/>
        </w:rPr>
        <w:t>представлены в следующей таблице.</w:t>
      </w:r>
    </w:p>
    <w:p w:rsidR="00D6320C" w:rsidRPr="00B24D31" w:rsidRDefault="00D6320C" w:rsidP="00B24D31">
      <w:pPr>
        <w:autoSpaceDE w:val="0"/>
        <w:autoSpaceDN w:val="0"/>
        <w:adjustRightInd w:val="0"/>
        <w:spacing w:line="240" w:lineRule="auto"/>
        <w:ind w:right="-144"/>
        <w:jc w:val="right"/>
        <w:rPr>
          <w:spacing w:val="-4"/>
          <w:sz w:val="16"/>
          <w:szCs w:val="16"/>
        </w:rPr>
      </w:pPr>
      <w:r w:rsidRPr="00B24D31">
        <w:rPr>
          <w:spacing w:val="-4"/>
          <w:sz w:val="16"/>
          <w:szCs w:val="16"/>
        </w:rPr>
        <w:t>(млрд рублей)</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81"/>
        <w:gridCol w:w="737"/>
        <w:gridCol w:w="708"/>
        <w:gridCol w:w="582"/>
        <w:gridCol w:w="722"/>
        <w:gridCol w:w="709"/>
        <w:gridCol w:w="696"/>
        <w:gridCol w:w="850"/>
        <w:gridCol w:w="851"/>
        <w:gridCol w:w="850"/>
        <w:gridCol w:w="807"/>
      </w:tblGrid>
      <w:tr w:rsidR="00D6320C" w:rsidRPr="00265C60" w:rsidTr="00A67CC7">
        <w:trPr>
          <w:trHeight w:val="20"/>
          <w:tblHeader/>
          <w:jc w:val="center"/>
        </w:trPr>
        <w:tc>
          <w:tcPr>
            <w:tcW w:w="2381" w:type="dxa"/>
            <w:vMerge w:val="restart"/>
            <w:vAlign w:val="center"/>
            <w:hideMark/>
          </w:tcPr>
          <w:p w:rsidR="00D6320C" w:rsidRPr="00265C60" w:rsidRDefault="00D6320C" w:rsidP="00FD3308">
            <w:pPr>
              <w:autoSpaceDE w:val="0"/>
              <w:autoSpaceDN w:val="0"/>
              <w:adjustRightInd w:val="0"/>
              <w:spacing w:line="240" w:lineRule="auto"/>
              <w:ind w:firstLine="0"/>
              <w:jc w:val="center"/>
              <w:rPr>
                <w:b/>
                <w:sz w:val="18"/>
                <w:szCs w:val="18"/>
              </w:rPr>
            </w:pPr>
            <w:r w:rsidRPr="00265C60">
              <w:rPr>
                <w:b/>
                <w:sz w:val="18"/>
                <w:szCs w:val="18"/>
              </w:rPr>
              <w:t>Наименование</w:t>
            </w:r>
          </w:p>
        </w:tc>
        <w:tc>
          <w:tcPr>
            <w:tcW w:w="2027" w:type="dxa"/>
            <w:gridSpan w:val="3"/>
          </w:tcPr>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2024 год</w:t>
            </w:r>
          </w:p>
        </w:tc>
        <w:tc>
          <w:tcPr>
            <w:tcW w:w="2127" w:type="dxa"/>
            <w:gridSpan w:val="3"/>
          </w:tcPr>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2025 год</w:t>
            </w:r>
          </w:p>
        </w:tc>
        <w:tc>
          <w:tcPr>
            <w:tcW w:w="850" w:type="dxa"/>
            <w:vMerge w:val="restart"/>
            <w:vAlign w:val="center"/>
            <w:hideMark/>
          </w:tcPr>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2026 год</w:t>
            </w:r>
          </w:p>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(прогноз)</w:t>
            </w:r>
          </w:p>
        </w:tc>
        <w:tc>
          <w:tcPr>
            <w:tcW w:w="851" w:type="dxa"/>
            <w:vMerge w:val="restart"/>
            <w:vAlign w:val="center"/>
          </w:tcPr>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2027 год</w:t>
            </w:r>
          </w:p>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(прогноз)</w:t>
            </w:r>
          </w:p>
        </w:tc>
        <w:tc>
          <w:tcPr>
            <w:tcW w:w="850" w:type="dxa"/>
            <w:vMerge w:val="restart"/>
            <w:vAlign w:val="center"/>
          </w:tcPr>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2028 год</w:t>
            </w:r>
          </w:p>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(прогноз)</w:t>
            </w:r>
          </w:p>
        </w:tc>
        <w:tc>
          <w:tcPr>
            <w:tcW w:w="807" w:type="dxa"/>
            <w:vMerge w:val="restart"/>
            <w:vAlign w:val="center"/>
          </w:tcPr>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2028 год</w:t>
            </w:r>
          </w:p>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в % к оценке 2025 года</w:t>
            </w:r>
          </w:p>
        </w:tc>
      </w:tr>
      <w:tr w:rsidR="00D6320C" w:rsidRPr="00265C60" w:rsidTr="00A67CC7">
        <w:trPr>
          <w:trHeight w:val="20"/>
          <w:tblHeader/>
          <w:jc w:val="center"/>
        </w:trPr>
        <w:tc>
          <w:tcPr>
            <w:tcW w:w="2381" w:type="dxa"/>
            <w:vMerge/>
            <w:vAlign w:val="center"/>
            <w:hideMark/>
          </w:tcPr>
          <w:p w:rsidR="00D6320C" w:rsidRPr="00265C60" w:rsidRDefault="00D6320C" w:rsidP="00FD3308">
            <w:pPr>
              <w:autoSpaceDE w:val="0"/>
              <w:autoSpaceDN w:val="0"/>
              <w:adjustRightInd w:val="0"/>
              <w:jc w:val="center"/>
              <w:rPr>
                <w:b/>
                <w:sz w:val="18"/>
                <w:szCs w:val="18"/>
              </w:rPr>
            </w:pPr>
          </w:p>
        </w:tc>
        <w:tc>
          <w:tcPr>
            <w:tcW w:w="737" w:type="dxa"/>
          </w:tcPr>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 xml:space="preserve">прогноз* </w:t>
            </w:r>
          </w:p>
        </w:tc>
        <w:tc>
          <w:tcPr>
            <w:tcW w:w="708" w:type="dxa"/>
          </w:tcPr>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отчет**</w:t>
            </w:r>
          </w:p>
        </w:tc>
        <w:tc>
          <w:tcPr>
            <w:tcW w:w="582" w:type="dxa"/>
          </w:tcPr>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w:t>
            </w:r>
          </w:p>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откло-нения</w:t>
            </w:r>
          </w:p>
        </w:tc>
        <w:tc>
          <w:tcPr>
            <w:tcW w:w="722" w:type="dxa"/>
          </w:tcPr>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 xml:space="preserve">прогноз* </w:t>
            </w:r>
          </w:p>
        </w:tc>
        <w:tc>
          <w:tcPr>
            <w:tcW w:w="709" w:type="dxa"/>
          </w:tcPr>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оценка</w:t>
            </w:r>
          </w:p>
        </w:tc>
        <w:tc>
          <w:tcPr>
            <w:tcW w:w="696" w:type="dxa"/>
          </w:tcPr>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w:t>
            </w:r>
          </w:p>
          <w:p w:rsidR="00D6320C" w:rsidRPr="00265C60" w:rsidRDefault="00D6320C" w:rsidP="00FD3308">
            <w:pPr>
              <w:autoSpaceDE w:val="0"/>
              <w:autoSpaceDN w:val="0"/>
              <w:adjustRightInd w:val="0"/>
              <w:spacing w:line="240" w:lineRule="auto"/>
              <w:ind w:firstLine="0"/>
              <w:jc w:val="center"/>
              <w:rPr>
                <w:b/>
                <w:sz w:val="16"/>
                <w:szCs w:val="16"/>
              </w:rPr>
            </w:pPr>
            <w:r w:rsidRPr="00265C60">
              <w:rPr>
                <w:b/>
                <w:sz w:val="16"/>
                <w:szCs w:val="16"/>
              </w:rPr>
              <w:t>откло-нения</w:t>
            </w:r>
          </w:p>
        </w:tc>
        <w:tc>
          <w:tcPr>
            <w:tcW w:w="850" w:type="dxa"/>
            <w:vMerge/>
            <w:vAlign w:val="center"/>
            <w:hideMark/>
          </w:tcPr>
          <w:p w:rsidR="00D6320C" w:rsidRPr="00265C60" w:rsidRDefault="00D6320C" w:rsidP="00FD3308">
            <w:pPr>
              <w:autoSpaceDE w:val="0"/>
              <w:autoSpaceDN w:val="0"/>
              <w:adjustRightInd w:val="0"/>
              <w:spacing w:line="240" w:lineRule="auto"/>
              <w:ind w:firstLine="0"/>
              <w:jc w:val="center"/>
              <w:rPr>
                <w:b/>
                <w:sz w:val="16"/>
                <w:szCs w:val="16"/>
              </w:rPr>
            </w:pPr>
          </w:p>
        </w:tc>
        <w:tc>
          <w:tcPr>
            <w:tcW w:w="851" w:type="dxa"/>
            <w:vMerge/>
            <w:vAlign w:val="center"/>
          </w:tcPr>
          <w:p w:rsidR="00D6320C" w:rsidRPr="00265C60" w:rsidRDefault="00D6320C" w:rsidP="00FD3308">
            <w:pPr>
              <w:autoSpaceDE w:val="0"/>
              <w:autoSpaceDN w:val="0"/>
              <w:adjustRightInd w:val="0"/>
              <w:spacing w:line="240" w:lineRule="auto"/>
              <w:ind w:firstLine="0"/>
              <w:jc w:val="center"/>
              <w:rPr>
                <w:b/>
                <w:sz w:val="16"/>
                <w:szCs w:val="16"/>
              </w:rPr>
            </w:pPr>
          </w:p>
        </w:tc>
        <w:tc>
          <w:tcPr>
            <w:tcW w:w="850" w:type="dxa"/>
            <w:vMerge/>
            <w:vAlign w:val="center"/>
          </w:tcPr>
          <w:p w:rsidR="00D6320C" w:rsidRPr="00265C60" w:rsidRDefault="00D6320C" w:rsidP="00FD3308">
            <w:pPr>
              <w:autoSpaceDE w:val="0"/>
              <w:autoSpaceDN w:val="0"/>
              <w:adjustRightInd w:val="0"/>
              <w:spacing w:line="240" w:lineRule="auto"/>
              <w:ind w:firstLine="0"/>
              <w:jc w:val="center"/>
              <w:rPr>
                <w:b/>
                <w:sz w:val="16"/>
                <w:szCs w:val="16"/>
              </w:rPr>
            </w:pPr>
          </w:p>
        </w:tc>
        <w:tc>
          <w:tcPr>
            <w:tcW w:w="807" w:type="dxa"/>
            <w:vMerge/>
            <w:vAlign w:val="center"/>
          </w:tcPr>
          <w:p w:rsidR="00D6320C" w:rsidRPr="00265C60" w:rsidRDefault="00D6320C" w:rsidP="00FD3308">
            <w:pPr>
              <w:autoSpaceDE w:val="0"/>
              <w:autoSpaceDN w:val="0"/>
              <w:adjustRightInd w:val="0"/>
              <w:spacing w:line="240" w:lineRule="auto"/>
              <w:ind w:firstLine="0"/>
              <w:jc w:val="center"/>
              <w:rPr>
                <w:b/>
                <w:sz w:val="16"/>
                <w:szCs w:val="16"/>
              </w:rPr>
            </w:pPr>
          </w:p>
        </w:tc>
      </w:tr>
      <w:tr w:rsidR="00D6320C" w:rsidRPr="00265C60" w:rsidTr="00A67CC7">
        <w:trPr>
          <w:trHeight w:val="20"/>
          <w:jc w:val="center"/>
        </w:trPr>
        <w:tc>
          <w:tcPr>
            <w:tcW w:w="2381" w:type="dxa"/>
            <w:vAlign w:val="center"/>
            <w:hideMark/>
          </w:tcPr>
          <w:p w:rsidR="00D6320C" w:rsidRPr="00265C60" w:rsidRDefault="00D6320C" w:rsidP="00FD3308">
            <w:pPr>
              <w:autoSpaceDE w:val="0"/>
              <w:autoSpaceDN w:val="0"/>
              <w:adjustRightInd w:val="0"/>
              <w:spacing w:line="240" w:lineRule="auto"/>
              <w:ind w:firstLine="0"/>
              <w:jc w:val="left"/>
              <w:rPr>
                <w:b/>
                <w:bCs/>
                <w:sz w:val="16"/>
                <w:szCs w:val="16"/>
              </w:rPr>
            </w:pPr>
            <w:r w:rsidRPr="00265C60">
              <w:rPr>
                <w:b/>
                <w:bCs/>
                <w:sz w:val="16"/>
                <w:szCs w:val="16"/>
              </w:rPr>
              <w:t>Доходы – всего</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22 402,5</w:t>
            </w:r>
          </w:p>
        </w:tc>
        <w:tc>
          <w:tcPr>
            <w:tcW w:w="708"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24 621,5</w:t>
            </w:r>
          </w:p>
        </w:tc>
        <w:tc>
          <w:tcPr>
            <w:tcW w:w="582"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109,9</w:t>
            </w:r>
          </w:p>
        </w:tc>
        <w:tc>
          <w:tcPr>
            <w:tcW w:w="722"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25 344,2</w:t>
            </w:r>
          </w:p>
        </w:tc>
        <w:tc>
          <w:tcPr>
            <w:tcW w:w="709"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25 759,7</w:t>
            </w:r>
          </w:p>
        </w:tc>
        <w:tc>
          <w:tcPr>
            <w:tcW w:w="696"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101,6</w:t>
            </w:r>
          </w:p>
        </w:tc>
        <w:tc>
          <w:tcPr>
            <w:tcW w:w="850"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26 597,8</w:t>
            </w:r>
          </w:p>
        </w:tc>
        <w:tc>
          <w:tcPr>
            <w:tcW w:w="851"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28 557,8</w:t>
            </w:r>
          </w:p>
        </w:tc>
        <w:tc>
          <w:tcPr>
            <w:tcW w:w="850"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30 567,1</w:t>
            </w:r>
          </w:p>
        </w:tc>
        <w:tc>
          <w:tcPr>
            <w:tcW w:w="807"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118,7</w:t>
            </w:r>
          </w:p>
        </w:tc>
      </w:tr>
      <w:tr w:rsidR="00D6320C" w:rsidRPr="00265C60" w:rsidTr="00A67CC7">
        <w:trPr>
          <w:trHeight w:val="20"/>
          <w:jc w:val="center"/>
        </w:trPr>
        <w:tc>
          <w:tcPr>
            <w:tcW w:w="2381" w:type="dxa"/>
            <w:vAlign w:val="center"/>
          </w:tcPr>
          <w:p w:rsidR="00D6320C" w:rsidRPr="00265C60" w:rsidRDefault="00D6320C" w:rsidP="00FD3308">
            <w:pPr>
              <w:autoSpaceDE w:val="0"/>
              <w:autoSpaceDN w:val="0"/>
              <w:adjustRightInd w:val="0"/>
              <w:spacing w:line="240" w:lineRule="auto"/>
              <w:ind w:left="170" w:firstLine="0"/>
              <w:jc w:val="left"/>
              <w:rPr>
                <w:b/>
                <w:bCs/>
                <w:sz w:val="16"/>
                <w:szCs w:val="16"/>
              </w:rPr>
            </w:pPr>
            <w:r w:rsidRPr="00265C60">
              <w:rPr>
                <w:b/>
                <w:bCs/>
                <w:sz w:val="16"/>
                <w:szCs w:val="16"/>
              </w:rPr>
              <w:t>в %  ВВП</w:t>
            </w:r>
          </w:p>
        </w:tc>
        <w:tc>
          <w:tcPr>
            <w:tcW w:w="737"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12,4</w:t>
            </w:r>
          </w:p>
        </w:tc>
        <w:tc>
          <w:tcPr>
            <w:tcW w:w="708"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12,2</w:t>
            </w:r>
          </w:p>
        </w:tc>
        <w:tc>
          <w:tcPr>
            <w:tcW w:w="58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 </w:t>
            </w:r>
          </w:p>
        </w:tc>
        <w:tc>
          <w:tcPr>
            <w:tcW w:w="72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11,8</w:t>
            </w:r>
          </w:p>
        </w:tc>
        <w:tc>
          <w:tcPr>
            <w:tcW w:w="709"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11,9</w:t>
            </w:r>
          </w:p>
        </w:tc>
        <w:tc>
          <w:tcPr>
            <w:tcW w:w="696"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11,3</w:t>
            </w:r>
          </w:p>
        </w:tc>
        <w:tc>
          <w:tcPr>
            <w:tcW w:w="851"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11,2</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11,1</w:t>
            </w:r>
          </w:p>
        </w:tc>
        <w:tc>
          <w:tcPr>
            <w:tcW w:w="807"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 </w:t>
            </w:r>
          </w:p>
        </w:tc>
      </w:tr>
      <w:tr w:rsidR="00D6320C" w:rsidRPr="00265C60" w:rsidTr="00A67CC7">
        <w:trPr>
          <w:trHeight w:val="20"/>
          <w:jc w:val="center"/>
        </w:trPr>
        <w:tc>
          <w:tcPr>
            <w:tcW w:w="2381" w:type="dxa"/>
            <w:vAlign w:val="center"/>
          </w:tcPr>
          <w:p w:rsidR="00D6320C" w:rsidRPr="00265C60" w:rsidRDefault="00D6320C" w:rsidP="00FD3308">
            <w:pPr>
              <w:autoSpaceDE w:val="0"/>
              <w:autoSpaceDN w:val="0"/>
              <w:adjustRightInd w:val="0"/>
              <w:spacing w:line="240" w:lineRule="auto"/>
              <w:ind w:left="182" w:firstLine="0"/>
              <w:rPr>
                <w:sz w:val="16"/>
                <w:szCs w:val="16"/>
              </w:rPr>
            </w:pPr>
            <w:r w:rsidRPr="00265C60">
              <w:rPr>
                <w:sz w:val="16"/>
                <w:szCs w:val="16"/>
              </w:rPr>
              <w:t>прирост к предыдущему году, %</w:t>
            </w:r>
          </w:p>
        </w:tc>
        <w:tc>
          <w:tcPr>
            <w:tcW w:w="737"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708"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10,3</w:t>
            </w:r>
          </w:p>
        </w:tc>
        <w:tc>
          <w:tcPr>
            <w:tcW w:w="58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72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709"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4,6</w:t>
            </w:r>
          </w:p>
        </w:tc>
        <w:tc>
          <w:tcPr>
            <w:tcW w:w="696"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3,3</w:t>
            </w:r>
          </w:p>
        </w:tc>
        <w:tc>
          <w:tcPr>
            <w:tcW w:w="851"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7,4</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7,0</w:t>
            </w:r>
          </w:p>
        </w:tc>
        <w:tc>
          <w:tcPr>
            <w:tcW w:w="807"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 </w:t>
            </w:r>
          </w:p>
        </w:tc>
      </w:tr>
      <w:tr w:rsidR="00D6320C" w:rsidRPr="00265C60" w:rsidTr="00A67CC7">
        <w:trPr>
          <w:trHeight w:val="20"/>
          <w:jc w:val="center"/>
        </w:trPr>
        <w:tc>
          <w:tcPr>
            <w:tcW w:w="2381" w:type="dxa"/>
            <w:vAlign w:val="center"/>
            <w:hideMark/>
          </w:tcPr>
          <w:p w:rsidR="00D6320C" w:rsidRPr="00265C60" w:rsidRDefault="00D6320C" w:rsidP="00FD3308">
            <w:pPr>
              <w:autoSpaceDE w:val="0"/>
              <w:autoSpaceDN w:val="0"/>
              <w:adjustRightInd w:val="0"/>
              <w:spacing w:line="240" w:lineRule="auto"/>
              <w:ind w:firstLine="0"/>
              <w:rPr>
                <w:sz w:val="16"/>
                <w:szCs w:val="16"/>
              </w:rPr>
            </w:pPr>
            <w:r w:rsidRPr="00265C60">
              <w:rPr>
                <w:sz w:val="16"/>
                <w:szCs w:val="16"/>
              </w:rPr>
              <w:t>в том числе:</w:t>
            </w:r>
          </w:p>
        </w:tc>
        <w:tc>
          <w:tcPr>
            <w:tcW w:w="737"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708"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58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72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709"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696"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851"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807"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 </w:t>
            </w:r>
          </w:p>
        </w:tc>
      </w:tr>
      <w:tr w:rsidR="00D6320C" w:rsidRPr="00265C60" w:rsidTr="00A67CC7">
        <w:trPr>
          <w:trHeight w:val="20"/>
          <w:jc w:val="center"/>
        </w:trPr>
        <w:tc>
          <w:tcPr>
            <w:tcW w:w="2381" w:type="dxa"/>
            <w:vAlign w:val="center"/>
            <w:hideMark/>
          </w:tcPr>
          <w:p w:rsidR="00D6320C" w:rsidRPr="00265C60" w:rsidRDefault="00D6320C" w:rsidP="00FD3308">
            <w:pPr>
              <w:autoSpaceDE w:val="0"/>
              <w:autoSpaceDN w:val="0"/>
              <w:adjustRightInd w:val="0"/>
              <w:spacing w:line="240" w:lineRule="auto"/>
              <w:ind w:firstLine="0"/>
              <w:rPr>
                <w:sz w:val="16"/>
                <w:szCs w:val="16"/>
              </w:rPr>
            </w:pPr>
            <w:r w:rsidRPr="00265C60">
              <w:rPr>
                <w:sz w:val="16"/>
                <w:szCs w:val="16"/>
              </w:rPr>
              <w:t>налоговые и неналоговые доходы</w:t>
            </w:r>
          </w:p>
        </w:tc>
        <w:tc>
          <w:tcPr>
            <w:tcW w:w="737"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19 178,9</w:t>
            </w:r>
          </w:p>
        </w:tc>
        <w:tc>
          <w:tcPr>
            <w:tcW w:w="708"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20 570,9</w:t>
            </w:r>
          </w:p>
        </w:tc>
        <w:tc>
          <w:tcPr>
            <w:tcW w:w="58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107,3</w:t>
            </w:r>
          </w:p>
        </w:tc>
        <w:tc>
          <w:tcPr>
            <w:tcW w:w="72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22 082,3</w:t>
            </w:r>
          </w:p>
        </w:tc>
        <w:tc>
          <w:tcPr>
            <w:tcW w:w="709"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21 952,2</w:t>
            </w:r>
          </w:p>
        </w:tc>
        <w:tc>
          <w:tcPr>
            <w:tcW w:w="696"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99,4</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23 045,0</w:t>
            </w:r>
          </w:p>
        </w:tc>
        <w:tc>
          <w:tcPr>
            <w:tcW w:w="851"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24 799,7</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26 529,5</w:t>
            </w:r>
          </w:p>
        </w:tc>
        <w:tc>
          <w:tcPr>
            <w:tcW w:w="807"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120,9</w:t>
            </w:r>
          </w:p>
        </w:tc>
      </w:tr>
      <w:tr w:rsidR="00D6320C" w:rsidRPr="00265C60" w:rsidTr="00A67CC7">
        <w:trPr>
          <w:trHeight w:val="20"/>
          <w:jc w:val="center"/>
        </w:trPr>
        <w:tc>
          <w:tcPr>
            <w:tcW w:w="2381" w:type="dxa"/>
            <w:vAlign w:val="center"/>
          </w:tcPr>
          <w:p w:rsidR="00D6320C" w:rsidRPr="00265C60" w:rsidRDefault="00D6320C" w:rsidP="00FD3308">
            <w:pPr>
              <w:autoSpaceDE w:val="0"/>
              <w:autoSpaceDN w:val="0"/>
              <w:adjustRightInd w:val="0"/>
              <w:spacing w:line="240" w:lineRule="auto"/>
              <w:ind w:left="113" w:firstLine="0"/>
              <w:jc w:val="left"/>
              <w:rPr>
                <w:sz w:val="16"/>
                <w:szCs w:val="16"/>
              </w:rPr>
            </w:pPr>
            <w:r w:rsidRPr="00265C60">
              <w:rPr>
                <w:sz w:val="16"/>
                <w:szCs w:val="16"/>
              </w:rPr>
              <w:t>в % к доходам</w:t>
            </w:r>
          </w:p>
        </w:tc>
        <w:tc>
          <w:tcPr>
            <w:tcW w:w="737"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85,6</w:t>
            </w:r>
          </w:p>
        </w:tc>
        <w:tc>
          <w:tcPr>
            <w:tcW w:w="708"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83,5</w:t>
            </w:r>
          </w:p>
        </w:tc>
        <w:tc>
          <w:tcPr>
            <w:tcW w:w="58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72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87,1</w:t>
            </w:r>
          </w:p>
        </w:tc>
        <w:tc>
          <w:tcPr>
            <w:tcW w:w="709"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85,2</w:t>
            </w:r>
          </w:p>
        </w:tc>
        <w:tc>
          <w:tcPr>
            <w:tcW w:w="696"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86,6</w:t>
            </w:r>
          </w:p>
        </w:tc>
        <w:tc>
          <w:tcPr>
            <w:tcW w:w="851"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86,8</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86,8</w:t>
            </w:r>
          </w:p>
        </w:tc>
        <w:tc>
          <w:tcPr>
            <w:tcW w:w="807"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r>
      <w:tr w:rsidR="00D6320C" w:rsidRPr="00265C60" w:rsidTr="00A67CC7">
        <w:trPr>
          <w:trHeight w:val="20"/>
          <w:jc w:val="center"/>
        </w:trPr>
        <w:tc>
          <w:tcPr>
            <w:tcW w:w="2381" w:type="dxa"/>
            <w:vAlign w:val="center"/>
          </w:tcPr>
          <w:p w:rsidR="00D6320C" w:rsidRPr="00265C60" w:rsidRDefault="00D6320C" w:rsidP="00FD3308">
            <w:pPr>
              <w:autoSpaceDE w:val="0"/>
              <w:autoSpaceDN w:val="0"/>
              <w:adjustRightInd w:val="0"/>
              <w:spacing w:line="240" w:lineRule="auto"/>
              <w:ind w:left="113" w:firstLine="0"/>
              <w:jc w:val="left"/>
              <w:rPr>
                <w:sz w:val="16"/>
                <w:szCs w:val="16"/>
              </w:rPr>
            </w:pPr>
            <w:r w:rsidRPr="00265C60">
              <w:rPr>
                <w:sz w:val="16"/>
                <w:szCs w:val="16"/>
              </w:rPr>
              <w:t>в %  ВВП</w:t>
            </w:r>
          </w:p>
        </w:tc>
        <w:tc>
          <w:tcPr>
            <w:tcW w:w="737"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10,7</w:t>
            </w:r>
          </w:p>
        </w:tc>
        <w:tc>
          <w:tcPr>
            <w:tcW w:w="708"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10,2</w:t>
            </w:r>
          </w:p>
        </w:tc>
        <w:tc>
          <w:tcPr>
            <w:tcW w:w="58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72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10,3</w:t>
            </w:r>
          </w:p>
        </w:tc>
        <w:tc>
          <w:tcPr>
            <w:tcW w:w="709"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10,1</w:t>
            </w:r>
          </w:p>
        </w:tc>
        <w:tc>
          <w:tcPr>
            <w:tcW w:w="696"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9,8</w:t>
            </w:r>
          </w:p>
        </w:tc>
        <w:tc>
          <w:tcPr>
            <w:tcW w:w="851"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9,7</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9,6</w:t>
            </w:r>
          </w:p>
        </w:tc>
        <w:tc>
          <w:tcPr>
            <w:tcW w:w="807"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r>
      <w:tr w:rsidR="00D6320C" w:rsidRPr="00265C60" w:rsidTr="00A67CC7">
        <w:trPr>
          <w:trHeight w:val="20"/>
          <w:jc w:val="center"/>
        </w:trPr>
        <w:tc>
          <w:tcPr>
            <w:tcW w:w="2381" w:type="dxa"/>
            <w:vAlign w:val="center"/>
            <w:hideMark/>
          </w:tcPr>
          <w:p w:rsidR="00D6320C" w:rsidRPr="00265C60" w:rsidRDefault="00D6320C" w:rsidP="00FD3308">
            <w:pPr>
              <w:autoSpaceDE w:val="0"/>
              <w:autoSpaceDN w:val="0"/>
              <w:adjustRightInd w:val="0"/>
              <w:spacing w:line="240" w:lineRule="auto"/>
              <w:ind w:firstLine="0"/>
              <w:rPr>
                <w:sz w:val="16"/>
                <w:szCs w:val="16"/>
              </w:rPr>
            </w:pPr>
            <w:r w:rsidRPr="00265C60">
              <w:rPr>
                <w:sz w:val="16"/>
                <w:szCs w:val="16"/>
              </w:rPr>
              <w:t>межбюджетные трансферты из федерального бюджета</w:t>
            </w:r>
          </w:p>
        </w:tc>
        <w:tc>
          <w:tcPr>
            <w:tcW w:w="737"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3 223,6</w:t>
            </w:r>
          </w:p>
        </w:tc>
        <w:tc>
          <w:tcPr>
            <w:tcW w:w="708"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3 653,1</w:t>
            </w:r>
          </w:p>
        </w:tc>
        <w:tc>
          <w:tcPr>
            <w:tcW w:w="58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113,3</w:t>
            </w:r>
          </w:p>
        </w:tc>
        <w:tc>
          <w:tcPr>
            <w:tcW w:w="72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3 261,9</w:t>
            </w:r>
          </w:p>
        </w:tc>
        <w:tc>
          <w:tcPr>
            <w:tcW w:w="709"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3 807,5</w:t>
            </w:r>
          </w:p>
        </w:tc>
        <w:tc>
          <w:tcPr>
            <w:tcW w:w="696"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116,7</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3 552,8</w:t>
            </w:r>
          </w:p>
        </w:tc>
        <w:tc>
          <w:tcPr>
            <w:tcW w:w="851"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3 758,1</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4 037,6</w:t>
            </w:r>
          </w:p>
        </w:tc>
        <w:tc>
          <w:tcPr>
            <w:tcW w:w="807"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106,0</w:t>
            </w:r>
          </w:p>
        </w:tc>
      </w:tr>
      <w:tr w:rsidR="00D6320C" w:rsidRPr="00265C60" w:rsidTr="00A67CC7">
        <w:trPr>
          <w:trHeight w:val="20"/>
          <w:jc w:val="center"/>
        </w:trPr>
        <w:tc>
          <w:tcPr>
            <w:tcW w:w="2381" w:type="dxa"/>
            <w:vAlign w:val="center"/>
            <w:hideMark/>
          </w:tcPr>
          <w:p w:rsidR="00D6320C" w:rsidRPr="00265C60" w:rsidRDefault="00D6320C" w:rsidP="00FD3308">
            <w:pPr>
              <w:autoSpaceDE w:val="0"/>
              <w:autoSpaceDN w:val="0"/>
              <w:adjustRightInd w:val="0"/>
              <w:spacing w:line="240" w:lineRule="auto"/>
              <w:ind w:left="170" w:firstLine="0"/>
              <w:jc w:val="left"/>
              <w:rPr>
                <w:sz w:val="16"/>
                <w:szCs w:val="16"/>
              </w:rPr>
            </w:pPr>
            <w:r w:rsidRPr="00265C60">
              <w:rPr>
                <w:sz w:val="16"/>
                <w:szCs w:val="16"/>
              </w:rPr>
              <w:t>в % к доходам</w:t>
            </w:r>
          </w:p>
        </w:tc>
        <w:tc>
          <w:tcPr>
            <w:tcW w:w="737"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14,4</w:t>
            </w:r>
          </w:p>
        </w:tc>
        <w:tc>
          <w:tcPr>
            <w:tcW w:w="708"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14,8</w:t>
            </w:r>
          </w:p>
        </w:tc>
        <w:tc>
          <w:tcPr>
            <w:tcW w:w="58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72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12,9</w:t>
            </w:r>
          </w:p>
        </w:tc>
        <w:tc>
          <w:tcPr>
            <w:tcW w:w="709"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14,8</w:t>
            </w:r>
          </w:p>
        </w:tc>
        <w:tc>
          <w:tcPr>
            <w:tcW w:w="696"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13,4</w:t>
            </w:r>
          </w:p>
        </w:tc>
        <w:tc>
          <w:tcPr>
            <w:tcW w:w="851"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13,2</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13,2</w:t>
            </w:r>
          </w:p>
        </w:tc>
        <w:tc>
          <w:tcPr>
            <w:tcW w:w="807"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r>
      <w:tr w:rsidR="00D6320C" w:rsidRPr="00265C60" w:rsidTr="00A67CC7">
        <w:trPr>
          <w:trHeight w:val="20"/>
          <w:jc w:val="center"/>
        </w:trPr>
        <w:tc>
          <w:tcPr>
            <w:tcW w:w="2381" w:type="dxa"/>
            <w:vAlign w:val="center"/>
          </w:tcPr>
          <w:p w:rsidR="00D6320C" w:rsidRPr="00265C60" w:rsidRDefault="00D6320C" w:rsidP="00FD3308">
            <w:pPr>
              <w:autoSpaceDE w:val="0"/>
              <w:autoSpaceDN w:val="0"/>
              <w:adjustRightInd w:val="0"/>
              <w:spacing w:line="240" w:lineRule="auto"/>
              <w:ind w:left="170" w:firstLine="0"/>
              <w:jc w:val="left"/>
              <w:rPr>
                <w:sz w:val="16"/>
                <w:szCs w:val="16"/>
              </w:rPr>
            </w:pPr>
            <w:r w:rsidRPr="00265C60">
              <w:rPr>
                <w:sz w:val="16"/>
                <w:szCs w:val="16"/>
              </w:rPr>
              <w:t>в %  ВВП</w:t>
            </w:r>
          </w:p>
        </w:tc>
        <w:tc>
          <w:tcPr>
            <w:tcW w:w="737"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1,8</w:t>
            </w:r>
          </w:p>
        </w:tc>
        <w:tc>
          <w:tcPr>
            <w:tcW w:w="708"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1,8</w:t>
            </w:r>
          </w:p>
        </w:tc>
        <w:tc>
          <w:tcPr>
            <w:tcW w:w="58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72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1,5</w:t>
            </w:r>
          </w:p>
        </w:tc>
        <w:tc>
          <w:tcPr>
            <w:tcW w:w="709"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1,8</w:t>
            </w:r>
          </w:p>
        </w:tc>
        <w:tc>
          <w:tcPr>
            <w:tcW w:w="696"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1,5</w:t>
            </w:r>
          </w:p>
        </w:tc>
        <w:tc>
          <w:tcPr>
            <w:tcW w:w="851"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1,5</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1,5</w:t>
            </w:r>
          </w:p>
        </w:tc>
        <w:tc>
          <w:tcPr>
            <w:tcW w:w="807"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r>
      <w:tr w:rsidR="00D6320C" w:rsidRPr="00265C60" w:rsidTr="00A67CC7">
        <w:trPr>
          <w:trHeight w:val="20"/>
          <w:jc w:val="center"/>
        </w:trPr>
        <w:tc>
          <w:tcPr>
            <w:tcW w:w="2381" w:type="dxa"/>
            <w:vAlign w:val="center"/>
            <w:hideMark/>
          </w:tcPr>
          <w:p w:rsidR="00D6320C" w:rsidRPr="00265C60" w:rsidRDefault="00D6320C" w:rsidP="00FD3308">
            <w:pPr>
              <w:autoSpaceDE w:val="0"/>
              <w:autoSpaceDN w:val="0"/>
              <w:adjustRightInd w:val="0"/>
              <w:spacing w:line="240" w:lineRule="auto"/>
              <w:ind w:firstLine="0"/>
              <w:rPr>
                <w:b/>
                <w:bCs/>
                <w:sz w:val="16"/>
                <w:szCs w:val="16"/>
              </w:rPr>
            </w:pPr>
            <w:r w:rsidRPr="00265C60">
              <w:rPr>
                <w:b/>
                <w:bCs/>
                <w:sz w:val="16"/>
                <w:szCs w:val="16"/>
              </w:rPr>
              <w:t>Расходы -  всего</w:t>
            </w:r>
          </w:p>
        </w:tc>
        <w:tc>
          <w:tcPr>
            <w:tcW w:w="737"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22 445,6</w:t>
            </w:r>
          </w:p>
        </w:tc>
        <w:tc>
          <w:tcPr>
            <w:tcW w:w="708"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24 919,3</w:t>
            </w:r>
          </w:p>
        </w:tc>
        <w:tc>
          <w:tcPr>
            <w:tcW w:w="58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111,0</w:t>
            </w:r>
          </w:p>
        </w:tc>
        <w:tc>
          <w:tcPr>
            <w:tcW w:w="72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25 396,5</w:t>
            </w:r>
          </w:p>
        </w:tc>
        <w:tc>
          <w:tcPr>
            <w:tcW w:w="709"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26 072,1</w:t>
            </w:r>
          </w:p>
        </w:tc>
        <w:tc>
          <w:tcPr>
            <w:tcW w:w="696"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102,7</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26 898,3</w:t>
            </w:r>
          </w:p>
        </w:tc>
        <w:tc>
          <w:tcPr>
            <w:tcW w:w="851"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28 802,7</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30 743,9</w:t>
            </w:r>
          </w:p>
        </w:tc>
        <w:tc>
          <w:tcPr>
            <w:tcW w:w="807"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117,9</w:t>
            </w:r>
          </w:p>
        </w:tc>
      </w:tr>
      <w:tr w:rsidR="00D6320C" w:rsidRPr="00265C60" w:rsidTr="00A67CC7">
        <w:trPr>
          <w:trHeight w:val="20"/>
          <w:jc w:val="center"/>
        </w:trPr>
        <w:tc>
          <w:tcPr>
            <w:tcW w:w="2381" w:type="dxa"/>
            <w:vAlign w:val="center"/>
          </w:tcPr>
          <w:p w:rsidR="00D6320C" w:rsidRPr="00265C60" w:rsidRDefault="00D6320C" w:rsidP="00FD3308">
            <w:pPr>
              <w:autoSpaceDE w:val="0"/>
              <w:autoSpaceDN w:val="0"/>
              <w:adjustRightInd w:val="0"/>
              <w:spacing w:line="240" w:lineRule="auto"/>
              <w:ind w:left="170" w:firstLine="0"/>
              <w:jc w:val="left"/>
              <w:rPr>
                <w:b/>
                <w:bCs/>
                <w:sz w:val="16"/>
                <w:szCs w:val="16"/>
              </w:rPr>
            </w:pPr>
            <w:r w:rsidRPr="00265C60">
              <w:rPr>
                <w:b/>
                <w:bCs/>
                <w:sz w:val="16"/>
                <w:szCs w:val="16"/>
              </w:rPr>
              <w:t>в % ВВП</w:t>
            </w:r>
          </w:p>
        </w:tc>
        <w:tc>
          <w:tcPr>
            <w:tcW w:w="737"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12,5</w:t>
            </w:r>
          </w:p>
        </w:tc>
        <w:tc>
          <w:tcPr>
            <w:tcW w:w="708"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12,4</w:t>
            </w:r>
          </w:p>
        </w:tc>
        <w:tc>
          <w:tcPr>
            <w:tcW w:w="58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 </w:t>
            </w:r>
          </w:p>
        </w:tc>
        <w:tc>
          <w:tcPr>
            <w:tcW w:w="72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11,8</w:t>
            </w:r>
          </w:p>
        </w:tc>
        <w:tc>
          <w:tcPr>
            <w:tcW w:w="709"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12,0</w:t>
            </w:r>
          </w:p>
        </w:tc>
        <w:tc>
          <w:tcPr>
            <w:tcW w:w="696"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11,4</w:t>
            </w:r>
          </w:p>
        </w:tc>
        <w:tc>
          <w:tcPr>
            <w:tcW w:w="851"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11,3</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11,1</w:t>
            </w:r>
          </w:p>
        </w:tc>
        <w:tc>
          <w:tcPr>
            <w:tcW w:w="807"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 </w:t>
            </w:r>
          </w:p>
        </w:tc>
      </w:tr>
      <w:tr w:rsidR="00D6320C" w:rsidRPr="00265C60" w:rsidTr="00A67CC7">
        <w:trPr>
          <w:trHeight w:val="20"/>
          <w:jc w:val="center"/>
        </w:trPr>
        <w:tc>
          <w:tcPr>
            <w:tcW w:w="2381" w:type="dxa"/>
            <w:vAlign w:val="center"/>
          </w:tcPr>
          <w:p w:rsidR="00D6320C" w:rsidRPr="00265C60" w:rsidRDefault="00D6320C" w:rsidP="00FD3308">
            <w:pPr>
              <w:autoSpaceDE w:val="0"/>
              <w:autoSpaceDN w:val="0"/>
              <w:adjustRightInd w:val="0"/>
              <w:spacing w:line="240" w:lineRule="auto"/>
              <w:ind w:left="182" w:firstLine="0"/>
              <w:rPr>
                <w:bCs/>
                <w:sz w:val="16"/>
                <w:szCs w:val="16"/>
              </w:rPr>
            </w:pPr>
            <w:r w:rsidRPr="00265C60">
              <w:rPr>
                <w:bCs/>
                <w:sz w:val="16"/>
                <w:szCs w:val="16"/>
              </w:rPr>
              <w:t xml:space="preserve">прирост к предыдущему году, </w:t>
            </w:r>
            <w:r w:rsidRPr="00265C60">
              <w:rPr>
                <w:sz w:val="16"/>
                <w:szCs w:val="16"/>
              </w:rPr>
              <w:t>%</w:t>
            </w:r>
          </w:p>
        </w:tc>
        <w:tc>
          <w:tcPr>
            <w:tcW w:w="737"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708"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10,6 </w:t>
            </w:r>
          </w:p>
        </w:tc>
        <w:tc>
          <w:tcPr>
            <w:tcW w:w="58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72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709"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4,6 </w:t>
            </w:r>
          </w:p>
        </w:tc>
        <w:tc>
          <w:tcPr>
            <w:tcW w:w="696"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3,2</w:t>
            </w:r>
          </w:p>
        </w:tc>
        <w:tc>
          <w:tcPr>
            <w:tcW w:w="851"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7,1</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6,7</w:t>
            </w:r>
          </w:p>
        </w:tc>
        <w:tc>
          <w:tcPr>
            <w:tcW w:w="807"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6"/>
                <w:szCs w:val="16"/>
              </w:rPr>
            </w:pPr>
            <w:r w:rsidRPr="00265C60">
              <w:rPr>
                <w:sz w:val="16"/>
                <w:szCs w:val="16"/>
              </w:rPr>
              <w:t> </w:t>
            </w:r>
          </w:p>
        </w:tc>
      </w:tr>
      <w:tr w:rsidR="00D6320C" w:rsidRPr="00265C60" w:rsidTr="00A67CC7">
        <w:trPr>
          <w:trHeight w:val="20"/>
          <w:jc w:val="center"/>
        </w:trPr>
        <w:tc>
          <w:tcPr>
            <w:tcW w:w="2381" w:type="dxa"/>
            <w:vAlign w:val="center"/>
            <w:hideMark/>
          </w:tcPr>
          <w:p w:rsidR="00D6320C" w:rsidRPr="00265C60" w:rsidRDefault="00D6320C" w:rsidP="00FD3308">
            <w:pPr>
              <w:autoSpaceDE w:val="0"/>
              <w:autoSpaceDN w:val="0"/>
              <w:adjustRightInd w:val="0"/>
              <w:spacing w:line="240" w:lineRule="auto"/>
              <w:ind w:firstLine="0"/>
              <w:rPr>
                <w:b/>
                <w:bCs/>
                <w:sz w:val="16"/>
                <w:szCs w:val="16"/>
              </w:rPr>
            </w:pPr>
            <w:r w:rsidRPr="00265C60">
              <w:rPr>
                <w:b/>
                <w:bCs/>
                <w:sz w:val="16"/>
                <w:szCs w:val="16"/>
              </w:rPr>
              <w:t>Дефицит (-)/Профицит (+)</w:t>
            </w:r>
          </w:p>
        </w:tc>
        <w:tc>
          <w:tcPr>
            <w:tcW w:w="737"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-43,1</w:t>
            </w:r>
          </w:p>
        </w:tc>
        <w:tc>
          <w:tcPr>
            <w:tcW w:w="708"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-297,8</w:t>
            </w:r>
          </w:p>
        </w:tc>
        <w:tc>
          <w:tcPr>
            <w:tcW w:w="58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 </w:t>
            </w:r>
          </w:p>
        </w:tc>
        <w:tc>
          <w:tcPr>
            <w:tcW w:w="72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-52,3</w:t>
            </w:r>
          </w:p>
        </w:tc>
        <w:tc>
          <w:tcPr>
            <w:tcW w:w="709"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-312,3</w:t>
            </w:r>
          </w:p>
        </w:tc>
        <w:tc>
          <w:tcPr>
            <w:tcW w:w="696"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-300,4</w:t>
            </w:r>
          </w:p>
        </w:tc>
        <w:tc>
          <w:tcPr>
            <w:tcW w:w="851"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-244,9</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-176,8</w:t>
            </w:r>
          </w:p>
        </w:tc>
        <w:tc>
          <w:tcPr>
            <w:tcW w:w="807"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 </w:t>
            </w:r>
          </w:p>
        </w:tc>
      </w:tr>
      <w:tr w:rsidR="00D6320C" w:rsidRPr="00265C60" w:rsidTr="00A67CC7">
        <w:trPr>
          <w:trHeight w:val="20"/>
          <w:jc w:val="center"/>
        </w:trPr>
        <w:tc>
          <w:tcPr>
            <w:tcW w:w="2381" w:type="dxa"/>
            <w:vAlign w:val="center"/>
          </w:tcPr>
          <w:p w:rsidR="00D6320C" w:rsidRPr="00265C60" w:rsidRDefault="00D6320C" w:rsidP="00FD3308">
            <w:pPr>
              <w:autoSpaceDE w:val="0"/>
              <w:autoSpaceDN w:val="0"/>
              <w:adjustRightInd w:val="0"/>
              <w:spacing w:line="240" w:lineRule="auto"/>
              <w:ind w:left="170" w:firstLine="0"/>
              <w:jc w:val="left"/>
              <w:rPr>
                <w:b/>
                <w:bCs/>
                <w:sz w:val="16"/>
                <w:szCs w:val="16"/>
              </w:rPr>
            </w:pPr>
            <w:r w:rsidRPr="00265C60">
              <w:rPr>
                <w:b/>
                <w:bCs/>
                <w:sz w:val="16"/>
                <w:szCs w:val="16"/>
              </w:rPr>
              <w:t>в % ВВП</w:t>
            </w:r>
          </w:p>
        </w:tc>
        <w:tc>
          <w:tcPr>
            <w:tcW w:w="737"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-0,02</w:t>
            </w:r>
          </w:p>
        </w:tc>
        <w:tc>
          <w:tcPr>
            <w:tcW w:w="708"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-0,1</w:t>
            </w:r>
          </w:p>
        </w:tc>
        <w:tc>
          <w:tcPr>
            <w:tcW w:w="58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 </w:t>
            </w:r>
          </w:p>
        </w:tc>
        <w:tc>
          <w:tcPr>
            <w:tcW w:w="722"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-0,02</w:t>
            </w:r>
          </w:p>
        </w:tc>
        <w:tc>
          <w:tcPr>
            <w:tcW w:w="709"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-0,1</w:t>
            </w:r>
          </w:p>
        </w:tc>
        <w:tc>
          <w:tcPr>
            <w:tcW w:w="696"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 </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-0,1</w:t>
            </w:r>
          </w:p>
        </w:tc>
        <w:tc>
          <w:tcPr>
            <w:tcW w:w="851"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-0,1</w:t>
            </w:r>
          </w:p>
        </w:tc>
        <w:tc>
          <w:tcPr>
            <w:tcW w:w="850"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-0,1</w:t>
            </w:r>
          </w:p>
        </w:tc>
        <w:tc>
          <w:tcPr>
            <w:tcW w:w="807"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b/>
                <w:bCs/>
                <w:sz w:val="16"/>
                <w:szCs w:val="16"/>
              </w:rPr>
            </w:pPr>
            <w:r w:rsidRPr="00265C60">
              <w:rPr>
                <w:b/>
                <w:bCs/>
                <w:sz w:val="16"/>
                <w:szCs w:val="16"/>
              </w:rPr>
              <w:t> </w:t>
            </w:r>
          </w:p>
        </w:tc>
      </w:tr>
    </w:tbl>
    <w:p w:rsidR="00D6320C" w:rsidRPr="00265C60" w:rsidRDefault="00D6320C" w:rsidP="00D6320C">
      <w:pPr>
        <w:autoSpaceDE w:val="0"/>
        <w:autoSpaceDN w:val="0"/>
        <w:adjustRightInd w:val="0"/>
        <w:spacing w:line="240" w:lineRule="auto"/>
        <w:rPr>
          <w:sz w:val="16"/>
          <w:szCs w:val="16"/>
        </w:rPr>
      </w:pPr>
      <w:r w:rsidRPr="00265C60">
        <w:rPr>
          <w:sz w:val="16"/>
          <w:szCs w:val="16"/>
        </w:rPr>
        <w:t>*Прогнозы основных параметров консолидированного бюджета Российской Федерации, представленные к законопроекту о федеральном бюджете на соответствующий финансовый год и плановый период.</w:t>
      </w:r>
    </w:p>
    <w:p w:rsidR="00D6320C" w:rsidRPr="00265C60" w:rsidRDefault="00D6320C" w:rsidP="00D6320C">
      <w:pPr>
        <w:autoSpaceDE w:val="0"/>
        <w:autoSpaceDN w:val="0"/>
        <w:adjustRightInd w:val="0"/>
        <w:spacing w:line="240" w:lineRule="auto"/>
        <w:rPr>
          <w:sz w:val="16"/>
          <w:szCs w:val="16"/>
        </w:rPr>
      </w:pPr>
      <w:r w:rsidRPr="00265C60">
        <w:rPr>
          <w:sz w:val="16"/>
          <w:szCs w:val="16"/>
        </w:rPr>
        <w:t>** С учетом исполнения бюджета г. Байконура.</w:t>
      </w:r>
    </w:p>
    <w:p w:rsidR="00D6320C" w:rsidRPr="00265C60" w:rsidRDefault="00D6320C" w:rsidP="00D6320C">
      <w:pPr>
        <w:autoSpaceDE w:val="0"/>
        <w:autoSpaceDN w:val="0"/>
        <w:adjustRightInd w:val="0"/>
        <w:spacing w:before="120"/>
      </w:pPr>
      <w:r w:rsidRPr="00265C60">
        <w:rPr>
          <w:b/>
        </w:rPr>
        <w:t xml:space="preserve">Анализ прогноза </w:t>
      </w:r>
      <w:r w:rsidRPr="00265C60">
        <w:t xml:space="preserve">основных </w:t>
      </w:r>
      <w:r w:rsidRPr="00265C60">
        <w:rPr>
          <w:b/>
        </w:rPr>
        <w:t>параметров консолидированных бюджетов субъектов Российской Федерации</w:t>
      </w:r>
      <w:r w:rsidRPr="00265C60">
        <w:t xml:space="preserve"> на 2026–2028 годы свидетельствует о положительной динамике доходов и расходов указанных бюджетов в номинальном выражении.</w:t>
      </w:r>
    </w:p>
    <w:p w:rsidR="00FD3308" w:rsidRPr="00265C60" w:rsidRDefault="00FD3308" w:rsidP="00D6320C">
      <w:pPr>
        <w:autoSpaceDE w:val="0"/>
        <w:autoSpaceDN w:val="0"/>
        <w:adjustRightInd w:val="0"/>
      </w:pPr>
      <w:r w:rsidRPr="00265C60">
        <w:t>Доля доходов консолидированных бюджетов субъектов Российской Федерации в ВВП в</w:t>
      </w:r>
      <w:r w:rsidR="00D6320C" w:rsidRPr="00265C60">
        <w:t xml:space="preserve"> 2026–2028 годах </w:t>
      </w:r>
      <w:r w:rsidRPr="00265C60">
        <w:t xml:space="preserve">снижается по сравнению с оценкой 2025 года (11,9 % в ВВП) и сохраняется в среднесрочном периоде на уровне 11,3–11,1 % в ВВП. </w:t>
      </w:r>
    </w:p>
    <w:p w:rsidR="00D6320C" w:rsidRPr="00265C60" w:rsidRDefault="006E3D31" w:rsidP="00D6320C">
      <w:pPr>
        <w:autoSpaceDE w:val="0"/>
        <w:autoSpaceDN w:val="0"/>
        <w:adjustRightInd w:val="0"/>
      </w:pPr>
      <w:r w:rsidRPr="00265C60">
        <w:t xml:space="preserve">Структура доходов консолидированных бюджетов субъектов в </w:t>
      </w:r>
      <w:r w:rsidR="0042372A" w:rsidRPr="00265C60">
        <w:t>2026–2028 годах сохраняется</w:t>
      </w:r>
      <w:r w:rsidRPr="00265C60">
        <w:t>: д</w:t>
      </w:r>
      <w:r w:rsidR="00D6320C" w:rsidRPr="00265C60">
        <w:t xml:space="preserve">оля налоговых и неналоговых доходов в общем объеме доходов </w:t>
      </w:r>
      <w:r w:rsidR="00B00935" w:rsidRPr="00265C60">
        <w:t xml:space="preserve">незначительно увеличивается с </w:t>
      </w:r>
      <w:r w:rsidR="00FD3308" w:rsidRPr="00265C60">
        <w:t>86,6</w:t>
      </w:r>
      <w:r w:rsidR="00B00935" w:rsidRPr="00265C60">
        <w:t xml:space="preserve"> процента в 2026 году до </w:t>
      </w:r>
      <w:r w:rsidR="00FD3308" w:rsidRPr="00265C60">
        <w:t>86,8 процента</w:t>
      </w:r>
      <w:r w:rsidR="00B00935" w:rsidRPr="00265C60">
        <w:t xml:space="preserve"> в 2028 году</w:t>
      </w:r>
      <w:r w:rsidR="00FD3308" w:rsidRPr="00265C60">
        <w:t xml:space="preserve">, доля межбюджетных трансфертов </w:t>
      </w:r>
      <w:r w:rsidR="00B00935" w:rsidRPr="00265C60">
        <w:t>незначительно снижается с</w:t>
      </w:r>
      <w:r w:rsidRPr="00265C60">
        <w:t xml:space="preserve"> </w:t>
      </w:r>
      <w:r w:rsidR="00FD3308" w:rsidRPr="00265C60">
        <w:t>13,4</w:t>
      </w:r>
      <w:r w:rsidR="00B00935" w:rsidRPr="00265C60">
        <w:t xml:space="preserve"> процента в 2026</w:t>
      </w:r>
      <w:r w:rsidR="00C13D28">
        <w:t> </w:t>
      </w:r>
      <w:r w:rsidR="00B00935" w:rsidRPr="00265C60">
        <w:t>год до</w:t>
      </w:r>
      <w:r w:rsidR="00B24D31">
        <w:t> </w:t>
      </w:r>
      <w:r w:rsidR="00FD3308" w:rsidRPr="00265C60">
        <w:t>13,2</w:t>
      </w:r>
      <w:r w:rsidR="00B24D31">
        <w:t> </w:t>
      </w:r>
      <w:r w:rsidR="00FD3308" w:rsidRPr="00265C60">
        <w:t>процента</w:t>
      </w:r>
      <w:r w:rsidR="00B00935" w:rsidRPr="00265C60">
        <w:t xml:space="preserve"> в 2028 году</w:t>
      </w:r>
      <w:r w:rsidR="00D6320C" w:rsidRPr="00265C60">
        <w:t>.</w:t>
      </w:r>
    </w:p>
    <w:p w:rsidR="00D6320C" w:rsidRPr="00265C60" w:rsidRDefault="00D6320C" w:rsidP="00D6320C">
      <w:pPr>
        <w:autoSpaceDE w:val="0"/>
        <w:autoSpaceDN w:val="0"/>
        <w:adjustRightInd w:val="0"/>
      </w:pPr>
      <w:r w:rsidRPr="00265C60">
        <w:t xml:space="preserve">Объем </w:t>
      </w:r>
      <w:r w:rsidRPr="00265C60">
        <w:rPr>
          <w:b/>
        </w:rPr>
        <w:t>межбюджетных трансфертов</w:t>
      </w:r>
      <w:r w:rsidRPr="00265C60">
        <w:t xml:space="preserve"> из федерального бюджета бюджетам субъектов Российской Федерации в 2026</w:t>
      </w:r>
      <w:r w:rsidR="00FD3308" w:rsidRPr="00265C60">
        <w:t xml:space="preserve"> году снижается по сравнению с 2025 годом, в 2027</w:t>
      </w:r>
      <w:r w:rsidRPr="00265C60">
        <w:t>–2028 годах ежегодно увеличивается по сравнению с предыдущим годом. В целом в 2028 году по</w:t>
      </w:r>
      <w:r w:rsidR="00B24D31">
        <w:t> </w:t>
      </w:r>
      <w:r w:rsidRPr="00265C60">
        <w:t xml:space="preserve">сравнению с 2025 годом </w:t>
      </w:r>
      <w:r w:rsidR="00FD3308" w:rsidRPr="00265C60">
        <w:t xml:space="preserve">объем </w:t>
      </w:r>
      <w:r w:rsidRPr="00265C60">
        <w:t>межбюджетны</w:t>
      </w:r>
      <w:r w:rsidR="00FD3308" w:rsidRPr="00265C60">
        <w:t>х</w:t>
      </w:r>
      <w:r w:rsidRPr="00265C60">
        <w:t xml:space="preserve"> трансферт</w:t>
      </w:r>
      <w:r w:rsidR="00FD3308" w:rsidRPr="00265C60">
        <w:t>ов</w:t>
      </w:r>
      <w:r w:rsidRPr="00265C60">
        <w:t xml:space="preserve"> увелич</w:t>
      </w:r>
      <w:r w:rsidR="00FD3308" w:rsidRPr="00265C60">
        <w:t>и</w:t>
      </w:r>
      <w:r w:rsidR="000C7E66">
        <w:t>тся на 6 %.</w:t>
      </w:r>
      <w:r w:rsidRPr="00265C60">
        <w:t xml:space="preserve"> </w:t>
      </w:r>
      <w:r w:rsidR="000C7E66">
        <w:t>П</w:t>
      </w:r>
      <w:r w:rsidRPr="00265C60">
        <w:t>ри этом доля межбюджетных трансфертов в доходах консолидированных бюджетов субъектов Российской Федерации снизится на</w:t>
      </w:r>
      <w:r w:rsidR="00FD3308" w:rsidRPr="00265C60">
        <w:t xml:space="preserve"> </w:t>
      </w:r>
      <w:r w:rsidRPr="00265C60">
        <w:t>1,6 процентного пункта.</w:t>
      </w:r>
    </w:p>
    <w:p w:rsidR="00D6320C" w:rsidRPr="00265C60" w:rsidRDefault="00D6320C" w:rsidP="00D6320C">
      <w:pPr>
        <w:autoSpaceDE w:val="0"/>
        <w:autoSpaceDN w:val="0"/>
        <w:adjustRightInd w:val="0"/>
      </w:pPr>
      <w:r w:rsidRPr="00265C60">
        <w:t>Доля расходов консолидированных бюджетов субъектов Российской Федерации в</w:t>
      </w:r>
      <w:r w:rsidR="00B24D31">
        <w:t> </w:t>
      </w:r>
      <w:r w:rsidRPr="00265C60">
        <w:t>расходах бюджетов бюджетной системы Российской Федерации составляет порядка 32 %.</w:t>
      </w:r>
    </w:p>
    <w:p w:rsidR="00D6320C" w:rsidRPr="00265C60" w:rsidRDefault="00D6320C" w:rsidP="00D6320C">
      <w:pPr>
        <w:autoSpaceDE w:val="0"/>
        <w:autoSpaceDN w:val="0"/>
        <w:adjustRightInd w:val="0"/>
      </w:pPr>
      <w:r w:rsidRPr="00265C60">
        <w:t xml:space="preserve">В 2026–2028 годах прогнозируется </w:t>
      </w:r>
      <w:r w:rsidRPr="00265C60">
        <w:rPr>
          <w:b/>
        </w:rPr>
        <w:t>уменьшение доли расходов консолидированных бюджетов</w:t>
      </w:r>
      <w:r w:rsidRPr="00265C60">
        <w:t xml:space="preserve"> </w:t>
      </w:r>
      <w:r w:rsidR="000C7E66">
        <w:t>субъектов Российской Федерации</w:t>
      </w:r>
      <w:r w:rsidRPr="00265C60">
        <w:t xml:space="preserve"> в ВВП с 12 % в 2025 году до 11,1 % в</w:t>
      </w:r>
      <w:r w:rsidR="00B24D31">
        <w:t> </w:t>
      </w:r>
      <w:r w:rsidRPr="00265C60">
        <w:t>2028</w:t>
      </w:r>
      <w:r w:rsidR="00B24D31">
        <w:t> </w:t>
      </w:r>
      <w:r w:rsidRPr="00265C60">
        <w:t>году.</w:t>
      </w:r>
    </w:p>
    <w:p w:rsidR="00D6320C" w:rsidRPr="00265C60" w:rsidRDefault="006E3D31" w:rsidP="00D6320C">
      <w:pPr>
        <w:autoSpaceDE w:val="0"/>
        <w:autoSpaceDN w:val="0"/>
        <w:adjustRightInd w:val="0"/>
      </w:pPr>
      <w:r w:rsidRPr="00265C60">
        <w:t>Согласно Основным направлениям бюджетной, налоговой и таможенно-тарифной политики на 2026 год и на плановый период 2027 и 2028 годов п</w:t>
      </w:r>
      <w:r w:rsidR="00D6320C" w:rsidRPr="00265C60">
        <w:t>ри прогнозировании объема расходных обязательств консолидированных бюджетов субъектов Российской Федерации учитывались:</w:t>
      </w:r>
    </w:p>
    <w:p w:rsidR="00D6320C" w:rsidRPr="00265C60" w:rsidRDefault="00D6320C" w:rsidP="00D6320C">
      <w:pPr>
        <w:autoSpaceDE w:val="0"/>
        <w:autoSpaceDN w:val="0"/>
        <w:adjustRightInd w:val="0"/>
      </w:pPr>
      <w:r w:rsidRPr="00265C60">
        <w:t>оценка исполнения в 2025 году, уточненный прогноз показателей социально-экономического развития;</w:t>
      </w:r>
    </w:p>
    <w:p w:rsidR="00D6320C" w:rsidRPr="00265C60" w:rsidRDefault="00D6320C" w:rsidP="00D6320C">
      <w:pPr>
        <w:autoSpaceDE w:val="0"/>
        <w:autoSpaceDN w:val="0"/>
        <w:adjustRightInd w:val="0"/>
      </w:pPr>
      <w:r w:rsidRPr="00265C60">
        <w:t xml:space="preserve">необходимость выполнения установленных </w:t>
      </w:r>
      <w:r w:rsidR="004F627B">
        <w:t>указами</w:t>
      </w:r>
      <w:r w:rsidRPr="00265C60">
        <w:t xml:space="preserve"> Президента Российской Федерации целевых показателей повышения оплаты труда работников в сфере образования, здравоохранения, культуры, социального обслуживания;</w:t>
      </w:r>
    </w:p>
    <w:p w:rsidR="00D6320C" w:rsidRPr="00265C60" w:rsidRDefault="00D6320C" w:rsidP="00D6320C">
      <w:pPr>
        <w:autoSpaceDE w:val="0"/>
        <w:autoSpaceDN w:val="0"/>
        <w:adjustRightInd w:val="0"/>
      </w:pPr>
      <w:r w:rsidRPr="00265C60">
        <w:t>индексация оплаты труда категорий работников бюджетной сферы, которые не</w:t>
      </w:r>
      <w:r w:rsidR="00B24D31">
        <w:t> </w:t>
      </w:r>
      <w:r w:rsidRPr="00265C60">
        <w:t>попадают под действие данных указов Президента, на прогнозный уровень ИПЦ ежегодно с 1 октября;</w:t>
      </w:r>
    </w:p>
    <w:p w:rsidR="00D6320C" w:rsidRPr="00265C60" w:rsidRDefault="00D6320C" w:rsidP="00D6320C">
      <w:pPr>
        <w:autoSpaceDE w:val="0"/>
        <w:autoSpaceDN w:val="0"/>
        <w:adjustRightInd w:val="0"/>
      </w:pPr>
      <w:r w:rsidRPr="00265C60">
        <w:t>повышение уровня минимального размера оплаты труда;</w:t>
      </w:r>
    </w:p>
    <w:p w:rsidR="00D6320C" w:rsidRPr="00265C60" w:rsidRDefault="00D6320C" w:rsidP="00D6320C">
      <w:pPr>
        <w:autoSpaceDE w:val="0"/>
        <w:autoSpaceDN w:val="0"/>
        <w:adjustRightInd w:val="0"/>
      </w:pPr>
      <w:r w:rsidRPr="00265C60">
        <w:t>реализация нацпроектов и программ, в том числе индивидуальных программ развития регионов с низким уровнем социально-экономического развития;</w:t>
      </w:r>
    </w:p>
    <w:p w:rsidR="00D6320C" w:rsidRPr="00265C60" w:rsidRDefault="00D6320C" w:rsidP="00D6320C">
      <w:pPr>
        <w:autoSpaceDE w:val="0"/>
        <w:autoSpaceDN w:val="0"/>
        <w:adjustRightInd w:val="0"/>
      </w:pPr>
      <w:r w:rsidRPr="00265C60">
        <w:t>ежегодная индексация расходов на социальное обеспечение населения;</w:t>
      </w:r>
    </w:p>
    <w:p w:rsidR="00D6320C" w:rsidRPr="00265C60" w:rsidRDefault="00D6320C" w:rsidP="00D6320C">
      <w:pPr>
        <w:autoSpaceDE w:val="0"/>
        <w:autoSpaceDN w:val="0"/>
        <w:adjustRightInd w:val="0"/>
      </w:pPr>
      <w:r w:rsidRPr="00265C60">
        <w:t>ежегодное изменение объемов целевых межбюджетных трансфертов, предоставляемых из федерального бюджета.</w:t>
      </w:r>
    </w:p>
    <w:p w:rsidR="00D6320C" w:rsidRPr="00265C60" w:rsidRDefault="00D6320C" w:rsidP="00D6320C">
      <w:pPr>
        <w:autoSpaceDE w:val="0"/>
        <w:autoSpaceDN w:val="0"/>
        <w:adjustRightInd w:val="0"/>
      </w:pPr>
      <w:r w:rsidRPr="00265C60">
        <w:rPr>
          <w:b/>
        </w:rPr>
        <w:t>Анализ расходов</w:t>
      </w:r>
      <w:r w:rsidRPr="00265C60">
        <w:t xml:space="preserve"> консолидированных бюджетов субъектов Российской Федерации за</w:t>
      </w:r>
      <w:r w:rsidR="00B24D31">
        <w:t> </w:t>
      </w:r>
      <w:r w:rsidRPr="00265C60">
        <w:t>2022</w:t>
      </w:r>
      <w:r w:rsidRPr="00265C60">
        <w:rPr>
          <w:szCs w:val="28"/>
        </w:rPr>
        <w:t>–</w:t>
      </w:r>
      <w:r w:rsidRPr="00265C60">
        <w:t>2025 годы представлен в следующей таблице.</w:t>
      </w:r>
    </w:p>
    <w:p w:rsidR="00D6320C" w:rsidRPr="00B24D31" w:rsidRDefault="00D6320C" w:rsidP="00A67CC7">
      <w:pPr>
        <w:keepNext/>
        <w:autoSpaceDE w:val="0"/>
        <w:autoSpaceDN w:val="0"/>
        <w:adjustRightInd w:val="0"/>
        <w:spacing w:line="240" w:lineRule="auto"/>
        <w:jc w:val="right"/>
        <w:rPr>
          <w:sz w:val="18"/>
          <w:szCs w:val="18"/>
        </w:rPr>
      </w:pPr>
      <w:r w:rsidRPr="00B24D31">
        <w:rPr>
          <w:sz w:val="18"/>
          <w:szCs w:val="18"/>
        </w:rPr>
        <w:t>(млрд рублей)</w:t>
      </w:r>
    </w:p>
    <w:tbl>
      <w:tblPr>
        <w:tblStyle w:val="-1"/>
        <w:tblW w:w="0" w:type="auto"/>
        <w:tblLook w:val="04A0" w:firstRow="1" w:lastRow="0" w:firstColumn="1" w:lastColumn="0" w:noHBand="0" w:noVBand="1"/>
      </w:tblPr>
      <w:tblGrid>
        <w:gridCol w:w="5365"/>
        <w:gridCol w:w="1124"/>
        <w:gridCol w:w="1124"/>
        <w:gridCol w:w="1116"/>
        <w:gridCol w:w="1124"/>
      </w:tblGrid>
      <w:tr w:rsidR="00D6320C" w:rsidRPr="00265C60" w:rsidTr="00FD3308">
        <w:trPr>
          <w:tblHeader/>
        </w:trPr>
        <w:tc>
          <w:tcPr>
            <w:tcW w:w="5365" w:type="dxa"/>
          </w:tcPr>
          <w:p w:rsidR="00D6320C" w:rsidRPr="00265C60" w:rsidRDefault="00D6320C" w:rsidP="00A67CC7">
            <w:pPr>
              <w:keepNext/>
              <w:autoSpaceDE w:val="0"/>
              <w:autoSpaceDN w:val="0"/>
              <w:adjustRightInd w:val="0"/>
              <w:spacing w:line="240" w:lineRule="auto"/>
              <w:ind w:firstLine="0"/>
              <w:jc w:val="center"/>
              <w:rPr>
                <w:rFonts w:eastAsia="Calibri"/>
                <w:b/>
                <w:sz w:val="18"/>
                <w:szCs w:val="18"/>
              </w:rPr>
            </w:pPr>
            <w:r w:rsidRPr="00265C60">
              <w:rPr>
                <w:rFonts w:eastAsia="Calibri"/>
                <w:b/>
                <w:sz w:val="18"/>
                <w:szCs w:val="18"/>
              </w:rPr>
              <w:t xml:space="preserve">Расходы консолидированных бюджетов </w:t>
            </w:r>
          </w:p>
          <w:p w:rsidR="00D6320C" w:rsidRPr="00265C60" w:rsidRDefault="00D6320C" w:rsidP="00A67CC7">
            <w:pPr>
              <w:keepNext/>
              <w:autoSpaceDE w:val="0"/>
              <w:autoSpaceDN w:val="0"/>
              <w:adjustRightInd w:val="0"/>
              <w:spacing w:line="240" w:lineRule="auto"/>
              <w:ind w:firstLine="0"/>
              <w:jc w:val="center"/>
              <w:rPr>
                <w:rFonts w:eastAsia="Calibri"/>
                <w:b/>
                <w:sz w:val="16"/>
                <w:szCs w:val="16"/>
              </w:rPr>
            </w:pPr>
            <w:r w:rsidRPr="00265C60">
              <w:rPr>
                <w:rFonts w:eastAsia="Calibri"/>
                <w:b/>
                <w:sz w:val="18"/>
                <w:szCs w:val="18"/>
              </w:rPr>
              <w:t>субъектов Российской Федерации</w:t>
            </w:r>
          </w:p>
        </w:tc>
        <w:tc>
          <w:tcPr>
            <w:tcW w:w="1124" w:type="dxa"/>
            <w:vAlign w:val="center"/>
          </w:tcPr>
          <w:p w:rsidR="00D6320C" w:rsidRPr="00265C60" w:rsidRDefault="00D6320C" w:rsidP="00A67CC7">
            <w:pPr>
              <w:keepNext/>
              <w:autoSpaceDE w:val="0"/>
              <w:autoSpaceDN w:val="0"/>
              <w:adjustRightInd w:val="0"/>
              <w:spacing w:line="240" w:lineRule="auto"/>
              <w:ind w:firstLine="0"/>
              <w:jc w:val="center"/>
              <w:rPr>
                <w:rFonts w:eastAsia="Calibri"/>
                <w:b/>
                <w:sz w:val="18"/>
                <w:szCs w:val="18"/>
              </w:rPr>
            </w:pPr>
            <w:r w:rsidRPr="00265C60">
              <w:rPr>
                <w:rFonts w:eastAsia="Calibri"/>
                <w:b/>
                <w:sz w:val="18"/>
                <w:szCs w:val="18"/>
              </w:rPr>
              <w:t>2022 год</w:t>
            </w:r>
          </w:p>
        </w:tc>
        <w:tc>
          <w:tcPr>
            <w:tcW w:w="1124" w:type="dxa"/>
            <w:vAlign w:val="center"/>
          </w:tcPr>
          <w:p w:rsidR="00D6320C" w:rsidRPr="00265C60" w:rsidRDefault="00D6320C" w:rsidP="00A67CC7">
            <w:pPr>
              <w:keepNext/>
              <w:autoSpaceDE w:val="0"/>
              <w:autoSpaceDN w:val="0"/>
              <w:adjustRightInd w:val="0"/>
              <w:spacing w:line="240" w:lineRule="auto"/>
              <w:ind w:firstLine="0"/>
              <w:jc w:val="center"/>
              <w:rPr>
                <w:rFonts w:eastAsia="Calibri"/>
                <w:b/>
                <w:sz w:val="18"/>
                <w:szCs w:val="18"/>
              </w:rPr>
            </w:pPr>
            <w:r w:rsidRPr="00265C60">
              <w:rPr>
                <w:rFonts w:eastAsia="Calibri"/>
                <w:b/>
                <w:sz w:val="18"/>
                <w:szCs w:val="18"/>
              </w:rPr>
              <w:t>2023 год</w:t>
            </w:r>
          </w:p>
        </w:tc>
        <w:tc>
          <w:tcPr>
            <w:tcW w:w="1116" w:type="dxa"/>
            <w:vAlign w:val="center"/>
          </w:tcPr>
          <w:p w:rsidR="00D6320C" w:rsidRPr="00265C60" w:rsidRDefault="00D6320C" w:rsidP="00A67CC7">
            <w:pPr>
              <w:keepNext/>
              <w:autoSpaceDE w:val="0"/>
              <w:autoSpaceDN w:val="0"/>
              <w:adjustRightInd w:val="0"/>
              <w:spacing w:line="240" w:lineRule="auto"/>
              <w:ind w:firstLine="0"/>
              <w:jc w:val="center"/>
              <w:rPr>
                <w:rFonts w:eastAsia="Calibri"/>
                <w:b/>
                <w:sz w:val="18"/>
                <w:szCs w:val="18"/>
              </w:rPr>
            </w:pPr>
            <w:r w:rsidRPr="00265C60">
              <w:rPr>
                <w:rFonts w:eastAsia="Calibri"/>
                <w:b/>
                <w:sz w:val="18"/>
                <w:szCs w:val="18"/>
              </w:rPr>
              <w:t>2024 год</w:t>
            </w:r>
          </w:p>
        </w:tc>
        <w:tc>
          <w:tcPr>
            <w:tcW w:w="1124" w:type="dxa"/>
            <w:vAlign w:val="center"/>
          </w:tcPr>
          <w:p w:rsidR="00D6320C" w:rsidRPr="00265C60" w:rsidRDefault="00D6320C" w:rsidP="00A67CC7">
            <w:pPr>
              <w:keepNext/>
              <w:autoSpaceDE w:val="0"/>
              <w:autoSpaceDN w:val="0"/>
              <w:adjustRightInd w:val="0"/>
              <w:spacing w:line="240" w:lineRule="auto"/>
              <w:ind w:firstLine="0"/>
              <w:jc w:val="center"/>
              <w:rPr>
                <w:rFonts w:eastAsia="Calibri"/>
                <w:b/>
                <w:sz w:val="18"/>
                <w:szCs w:val="18"/>
              </w:rPr>
            </w:pPr>
            <w:r w:rsidRPr="00265C60">
              <w:rPr>
                <w:rFonts w:eastAsia="Calibri"/>
                <w:b/>
                <w:sz w:val="18"/>
                <w:szCs w:val="18"/>
              </w:rPr>
              <w:t>2025 год</w:t>
            </w:r>
          </w:p>
        </w:tc>
      </w:tr>
      <w:tr w:rsidR="00D6320C" w:rsidRPr="00265C60" w:rsidTr="00FD3308">
        <w:trPr>
          <w:trHeight w:val="283"/>
        </w:trPr>
        <w:tc>
          <w:tcPr>
            <w:tcW w:w="5365" w:type="dxa"/>
          </w:tcPr>
          <w:p w:rsidR="00D6320C" w:rsidRPr="00265C60" w:rsidRDefault="00D6320C" w:rsidP="00FD3308">
            <w:pPr>
              <w:autoSpaceDE w:val="0"/>
              <w:autoSpaceDN w:val="0"/>
              <w:adjustRightInd w:val="0"/>
              <w:spacing w:line="240" w:lineRule="auto"/>
              <w:ind w:firstLine="0"/>
              <w:rPr>
                <w:rFonts w:eastAsia="Calibri"/>
                <w:sz w:val="18"/>
                <w:szCs w:val="18"/>
              </w:rPr>
            </w:pPr>
            <w:r w:rsidRPr="00265C60">
              <w:rPr>
                <w:rFonts w:eastAsia="Calibri"/>
                <w:sz w:val="18"/>
                <w:szCs w:val="18"/>
              </w:rPr>
              <w:t xml:space="preserve">Прогноз расходов бюджетов субъектов Российской Федерации* </w:t>
            </w:r>
          </w:p>
        </w:tc>
        <w:tc>
          <w:tcPr>
            <w:tcW w:w="1124" w:type="dxa"/>
            <w:vAlign w:val="center"/>
          </w:tcPr>
          <w:p w:rsidR="00D6320C" w:rsidRPr="00265C60" w:rsidRDefault="00D6320C" w:rsidP="00FD3308">
            <w:pPr>
              <w:autoSpaceDE w:val="0"/>
              <w:autoSpaceDN w:val="0"/>
              <w:adjustRightInd w:val="0"/>
              <w:spacing w:line="240" w:lineRule="auto"/>
              <w:ind w:firstLine="0"/>
              <w:jc w:val="center"/>
              <w:rPr>
                <w:rFonts w:eastAsia="Calibri"/>
                <w:sz w:val="18"/>
                <w:szCs w:val="16"/>
              </w:rPr>
            </w:pPr>
            <w:r w:rsidRPr="00265C60">
              <w:rPr>
                <w:rFonts w:eastAsia="Calibri"/>
                <w:sz w:val="18"/>
                <w:szCs w:val="16"/>
              </w:rPr>
              <w:t>16 815,5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FD3308">
            <w:pPr>
              <w:autoSpaceDE w:val="0"/>
              <w:autoSpaceDN w:val="0"/>
              <w:adjustRightInd w:val="0"/>
              <w:spacing w:line="240" w:lineRule="auto"/>
              <w:ind w:firstLine="0"/>
              <w:jc w:val="center"/>
              <w:rPr>
                <w:rFonts w:eastAsia="Calibri"/>
                <w:sz w:val="18"/>
                <w:szCs w:val="16"/>
              </w:rPr>
            </w:pPr>
            <w:r w:rsidRPr="00265C60">
              <w:rPr>
                <w:rFonts w:eastAsia="Calibri"/>
                <w:sz w:val="18"/>
                <w:szCs w:val="16"/>
              </w:rPr>
              <w:t>19 360,5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22 445,6</w:t>
            </w:r>
          </w:p>
        </w:tc>
        <w:tc>
          <w:tcPr>
            <w:tcW w:w="1124" w:type="dxa"/>
            <w:tcBorders>
              <w:top w:val="single" w:sz="4" w:space="0" w:color="auto"/>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25 396,5</w:t>
            </w:r>
          </w:p>
        </w:tc>
      </w:tr>
      <w:tr w:rsidR="00D6320C" w:rsidRPr="00265C60" w:rsidTr="00FD3308">
        <w:trPr>
          <w:trHeight w:val="283"/>
        </w:trPr>
        <w:tc>
          <w:tcPr>
            <w:tcW w:w="5365" w:type="dxa"/>
            <w:vAlign w:val="center"/>
          </w:tcPr>
          <w:p w:rsidR="00D6320C" w:rsidRPr="00265C60" w:rsidRDefault="00D6320C" w:rsidP="00FD3308">
            <w:pPr>
              <w:autoSpaceDE w:val="0"/>
              <w:autoSpaceDN w:val="0"/>
              <w:adjustRightInd w:val="0"/>
              <w:spacing w:line="240" w:lineRule="auto"/>
              <w:ind w:firstLine="0"/>
              <w:jc w:val="left"/>
              <w:rPr>
                <w:rFonts w:eastAsia="Calibri"/>
                <w:sz w:val="18"/>
                <w:szCs w:val="18"/>
              </w:rPr>
            </w:pPr>
            <w:r w:rsidRPr="00265C60">
              <w:rPr>
                <w:rFonts w:eastAsia="Calibri"/>
                <w:sz w:val="18"/>
                <w:szCs w:val="18"/>
              </w:rPr>
              <w:t>Сводная бюджетная роспись на соответствующий год (утвержденная)</w:t>
            </w:r>
          </w:p>
        </w:tc>
        <w:tc>
          <w:tcPr>
            <w:tcW w:w="1124" w:type="dxa"/>
            <w:vAlign w:val="center"/>
          </w:tcPr>
          <w:p w:rsidR="00D6320C" w:rsidRPr="00265C60" w:rsidRDefault="00D6320C" w:rsidP="00FD3308">
            <w:pPr>
              <w:autoSpaceDE w:val="0"/>
              <w:autoSpaceDN w:val="0"/>
              <w:adjustRightInd w:val="0"/>
              <w:spacing w:line="240" w:lineRule="auto"/>
              <w:ind w:firstLine="0"/>
              <w:jc w:val="center"/>
              <w:rPr>
                <w:rFonts w:eastAsia="Calibri"/>
                <w:sz w:val="18"/>
                <w:szCs w:val="16"/>
              </w:rPr>
            </w:pPr>
            <w:r w:rsidRPr="00265C60">
              <w:rPr>
                <w:rFonts w:eastAsia="Calibri"/>
                <w:sz w:val="18"/>
                <w:szCs w:val="16"/>
              </w:rPr>
              <w:t>17 867,4</w:t>
            </w:r>
          </w:p>
        </w:tc>
        <w:tc>
          <w:tcPr>
            <w:tcW w:w="1124"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autoSpaceDE w:val="0"/>
              <w:autoSpaceDN w:val="0"/>
              <w:adjustRightInd w:val="0"/>
              <w:spacing w:line="240" w:lineRule="auto"/>
              <w:ind w:firstLine="0"/>
              <w:jc w:val="center"/>
              <w:rPr>
                <w:rFonts w:eastAsia="Calibri"/>
                <w:sz w:val="18"/>
                <w:szCs w:val="16"/>
              </w:rPr>
            </w:pPr>
            <w:r w:rsidRPr="00265C60">
              <w:rPr>
                <w:rFonts w:eastAsia="Calibri"/>
                <w:sz w:val="18"/>
                <w:szCs w:val="16"/>
              </w:rPr>
              <w:t>20 269,1</w:t>
            </w:r>
          </w:p>
        </w:tc>
        <w:tc>
          <w:tcPr>
            <w:tcW w:w="1116"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22 672,6</w:t>
            </w:r>
          </w:p>
        </w:tc>
        <w:tc>
          <w:tcPr>
            <w:tcW w:w="1124"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26 329,0</w:t>
            </w:r>
          </w:p>
        </w:tc>
      </w:tr>
      <w:tr w:rsidR="00D6320C" w:rsidRPr="00265C60" w:rsidTr="00FD3308">
        <w:trPr>
          <w:trHeight w:val="283"/>
        </w:trPr>
        <w:tc>
          <w:tcPr>
            <w:tcW w:w="5365" w:type="dxa"/>
            <w:vAlign w:val="center"/>
          </w:tcPr>
          <w:p w:rsidR="00D6320C" w:rsidRPr="00265C60" w:rsidRDefault="00D6320C" w:rsidP="00FD3308">
            <w:pPr>
              <w:autoSpaceDE w:val="0"/>
              <w:autoSpaceDN w:val="0"/>
              <w:adjustRightInd w:val="0"/>
              <w:spacing w:line="240" w:lineRule="auto"/>
              <w:ind w:firstLine="0"/>
              <w:jc w:val="left"/>
              <w:rPr>
                <w:rFonts w:eastAsia="Calibri"/>
                <w:sz w:val="18"/>
                <w:szCs w:val="18"/>
              </w:rPr>
            </w:pPr>
            <w:r w:rsidRPr="00265C60">
              <w:rPr>
                <w:rFonts w:eastAsia="Calibri"/>
                <w:sz w:val="18"/>
                <w:szCs w:val="18"/>
              </w:rPr>
              <w:t xml:space="preserve">Сводная бюджетная роспись на соответствующий год </w:t>
            </w:r>
            <w:r w:rsidRPr="00265C60">
              <w:rPr>
                <w:rFonts w:eastAsia="Calibri"/>
                <w:sz w:val="18"/>
                <w:szCs w:val="18"/>
              </w:rPr>
              <w:br/>
              <w:t>(с изменениями)</w:t>
            </w:r>
          </w:p>
        </w:tc>
        <w:tc>
          <w:tcPr>
            <w:tcW w:w="1124" w:type="dxa"/>
            <w:vAlign w:val="center"/>
          </w:tcPr>
          <w:p w:rsidR="00D6320C" w:rsidRPr="00265C60" w:rsidRDefault="00D6320C" w:rsidP="00FD3308">
            <w:pPr>
              <w:autoSpaceDE w:val="0"/>
              <w:autoSpaceDN w:val="0"/>
              <w:adjustRightInd w:val="0"/>
              <w:spacing w:line="240" w:lineRule="auto"/>
              <w:ind w:firstLine="0"/>
              <w:jc w:val="center"/>
              <w:rPr>
                <w:rFonts w:eastAsia="Calibri"/>
                <w:sz w:val="18"/>
                <w:szCs w:val="16"/>
              </w:rPr>
            </w:pPr>
            <w:r w:rsidRPr="00265C60">
              <w:rPr>
                <w:rFonts w:eastAsia="Calibri"/>
                <w:sz w:val="18"/>
                <w:szCs w:val="16"/>
              </w:rPr>
              <w:t>20 719,9</w:t>
            </w:r>
          </w:p>
        </w:tc>
        <w:tc>
          <w:tcPr>
            <w:tcW w:w="1124"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autoSpaceDE w:val="0"/>
              <w:autoSpaceDN w:val="0"/>
              <w:adjustRightInd w:val="0"/>
              <w:spacing w:line="240" w:lineRule="auto"/>
              <w:ind w:firstLine="0"/>
              <w:jc w:val="center"/>
              <w:rPr>
                <w:rFonts w:eastAsia="Calibri"/>
                <w:sz w:val="18"/>
                <w:szCs w:val="16"/>
              </w:rPr>
            </w:pPr>
            <w:r w:rsidRPr="00265C60">
              <w:rPr>
                <w:rFonts w:eastAsia="Calibri"/>
                <w:sz w:val="18"/>
                <w:szCs w:val="16"/>
              </w:rPr>
              <w:t>23 706,5</w:t>
            </w:r>
          </w:p>
        </w:tc>
        <w:tc>
          <w:tcPr>
            <w:tcW w:w="1116"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26 330,7</w:t>
            </w:r>
          </w:p>
        </w:tc>
        <w:tc>
          <w:tcPr>
            <w:tcW w:w="1124"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28 391,6</w:t>
            </w:r>
          </w:p>
        </w:tc>
      </w:tr>
      <w:tr w:rsidR="00D6320C" w:rsidRPr="00265C60" w:rsidTr="00FD3308">
        <w:trPr>
          <w:trHeight w:val="227"/>
        </w:trPr>
        <w:tc>
          <w:tcPr>
            <w:tcW w:w="5365" w:type="dxa"/>
            <w:vAlign w:val="center"/>
          </w:tcPr>
          <w:p w:rsidR="00D6320C" w:rsidRPr="00265C60" w:rsidRDefault="00D6320C" w:rsidP="00FD3308">
            <w:pPr>
              <w:autoSpaceDE w:val="0"/>
              <w:autoSpaceDN w:val="0"/>
              <w:adjustRightInd w:val="0"/>
              <w:spacing w:line="240" w:lineRule="auto"/>
              <w:ind w:firstLine="0"/>
              <w:jc w:val="left"/>
              <w:rPr>
                <w:rFonts w:eastAsia="Calibri"/>
                <w:i/>
                <w:iCs/>
                <w:sz w:val="18"/>
                <w:szCs w:val="18"/>
              </w:rPr>
            </w:pPr>
            <w:r w:rsidRPr="00265C60">
              <w:rPr>
                <w:rFonts w:eastAsia="Calibri"/>
                <w:i/>
                <w:iCs/>
                <w:sz w:val="18"/>
                <w:szCs w:val="18"/>
              </w:rPr>
              <w:t>Отклонение от показателей утвержденной сводной бюджетной росписи</w:t>
            </w:r>
          </w:p>
        </w:tc>
        <w:tc>
          <w:tcPr>
            <w:tcW w:w="1124" w:type="dxa"/>
            <w:vAlign w:val="center"/>
          </w:tcPr>
          <w:p w:rsidR="00D6320C" w:rsidRPr="00265C60" w:rsidRDefault="00D6320C" w:rsidP="00FD3308">
            <w:pPr>
              <w:autoSpaceDE w:val="0"/>
              <w:autoSpaceDN w:val="0"/>
              <w:adjustRightInd w:val="0"/>
              <w:spacing w:line="240" w:lineRule="auto"/>
              <w:ind w:firstLine="0"/>
              <w:jc w:val="center"/>
              <w:rPr>
                <w:rFonts w:eastAsia="Calibri"/>
                <w:i/>
                <w:sz w:val="18"/>
                <w:szCs w:val="16"/>
              </w:rPr>
            </w:pPr>
          </w:p>
        </w:tc>
        <w:tc>
          <w:tcPr>
            <w:tcW w:w="1124"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autoSpaceDE w:val="0"/>
              <w:autoSpaceDN w:val="0"/>
              <w:adjustRightInd w:val="0"/>
              <w:spacing w:line="240" w:lineRule="auto"/>
              <w:ind w:firstLine="0"/>
              <w:jc w:val="center"/>
              <w:rPr>
                <w:rFonts w:eastAsia="Calibri"/>
                <w:sz w:val="18"/>
                <w:szCs w:val="16"/>
              </w:rPr>
            </w:pPr>
          </w:p>
        </w:tc>
        <w:tc>
          <w:tcPr>
            <w:tcW w:w="1116"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p>
        </w:tc>
        <w:tc>
          <w:tcPr>
            <w:tcW w:w="1124"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p>
        </w:tc>
      </w:tr>
      <w:tr w:rsidR="00D6320C" w:rsidRPr="00265C60" w:rsidTr="00FD3308">
        <w:trPr>
          <w:trHeight w:val="227"/>
        </w:trPr>
        <w:tc>
          <w:tcPr>
            <w:tcW w:w="5365" w:type="dxa"/>
            <w:vAlign w:val="center"/>
          </w:tcPr>
          <w:p w:rsidR="00D6320C" w:rsidRPr="00265C60" w:rsidRDefault="00D6320C" w:rsidP="00D07A8B">
            <w:pPr>
              <w:autoSpaceDE w:val="0"/>
              <w:autoSpaceDN w:val="0"/>
              <w:adjustRightInd w:val="0"/>
              <w:spacing w:line="240" w:lineRule="auto"/>
              <w:ind w:firstLine="0"/>
              <w:jc w:val="left"/>
              <w:rPr>
                <w:rFonts w:eastAsia="Calibri"/>
                <w:i/>
                <w:iCs/>
                <w:sz w:val="18"/>
                <w:szCs w:val="18"/>
              </w:rPr>
            </w:pPr>
            <w:r w:rsidRPr="00265C60">
              <w:rPr>
                <w:rFonts w:eastAsia="Calibri"/>
                <w:i/>
                <w:iCs/>
                <w:sz w:val="18"/>
                <w:szCs w:val="18"/>
              </w:rPr>
              <w:t>в млрд рублей</w:t>
            </w:r>
          </w:p>
        </w:tc>
        <w:tc>
          <w:tcPr>
            <w:tcW w:w="1124" w:type="dxa"/>
            <w:vAlign w:val="center"/>
          </w:tcPr>
          <w:p w:rsidR="00D6320C" w:rsidRPr="00265C60" w:rsidRDefault="00D6320C" w:rsidP="00FD3308">
            <w:pPr>
              <w:autoSpaceDE w:val="0"/>
              <w:autoSpaceDN w:val="0"/>
              <w:adjustRightInd w:val="0"/>
              <w:spacing w:line="240" w:lineRule="auto"/>
              <w:ind w:firstLine="0"/>
              <w:jc w:val="center"/>
              <w:rPr>
                <w:rFonts w:eastAsia="Calibri"/>
                <w:i/>
                <w:sz w:val="18"/>
                <w:szCs w:val="16"/>
              </w:rPr>
            </w:pPr>
            <w:r w:rsidRPr="00265C60">
              <w:rPr>
                <w:rFonts w:eastAsia="Calibri"/>
                <w:i/>
                <w:sz w:val="18"/>
                <w:szCs w:val="16"/>
              </w:rPr>
              <w:t>2 852,5</w:t>
            </w:r>
          </w:p>
        </w:tc>
        <w:tc>
          <w:tcPr>
            <w:tcW w:w="1124"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autoSpaceDE w:val="0"/>
              <w:autoSpaceDN w:val="0"/>
              <w:adjustRightInd w:val="0"/>
              <w:spacing w:line="240" w:lineRule="auto"/>
              <w:ind w:firstLine="0"/>
              <w:jc w:val="center"/>
              <w:rPr>
                <w:rFonts w:eastAsia="Calibri"/>
                <w:sz w:val="18"/>
                <w:szCs w:val="16"/>
              </w:rPr>
            </w:pPr>
            <w:r w:rsidRPr="00265C60">
              <w:rPr>
                <w:rFonts w:eastAsia="Calibri"/>
                <w:sz w:val="18"/>
                <w:szCs w:val="16"/>
              </w:rPr>
              <w:t>3 437,4</w:t>
            </w:r>
          </w:p>
        </w:tc>
        <w:tc>
          <w:tcPr>
            <w:tcW w:w="1116"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3 658,1</w:t>
            </w:r>
          </w:p>
        </w:tc>
        <w:tc>
          <w:tcPr>
            <w:tcW w:w="1124"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2 062,6</w:t>
            </w:r>
          </w:p>
        </w:tc>
      </w:tr>
      <w:tr w:rsidR="00D6320C" w:rsidRPr="00265C60" w:rsidTr="00FD3308">
        <w:trPr>
          <w:trHeight w:val="227"/>
        </w:trPr>
        <w:tc>
          <w:tcPr>
            <w:tcW w:w="5365" w:type="dxa"/>
            <w:vAlign w:val="center"/>
          </w:tcPr>
          <w:p w:rsidR="00D6320C" w:rsidRPr="00265C60" w:rsidRDefault="00D6320C" w:rsidP="00FD3308">
            <w:pPr>
              <w:autoSpaceDE w:val="0"/>
              <w:autoSpaceDN w:val="0"/>
              <w:adjustRightInd w:val="0"/>
              <w:spacing w:line="240" w:lineRule="auto"/>
              <w:ind w:firstLine="0"/>
              <w:jc w:val="left"/>
              <w:rPr>
                <w:rFonts w:eastAsia="Calibri"/>
                <w:i/>
                <w:iCs/>
                <w:sz w:val="18"/>
                <w:szCs w:val="18"/>
              </w:rPr>
            </w:pPr>
            <w:r w:rsidRPr="00265C60">
              <w:rPr>
                <w:rFonts w:eastAsia="Calibri"/>
                <w:i/>
                <w:iCs/>
                <w:sz w:val="18"/>
                <w:szCs w:val="18"/>
              </w:rPr>
              <w:t>в %</w:t>
            </w:r>
          </w:p>
        </w:tc>
        <w:tc>
          <w:tcPr>
            <w:tcW w:w="1124" w:type="dxa"/>
            <w:vAlign w:val="center"/>
          </w:tcPr>
          <w:p w:rsidR="00D6320C" w:rsidRPr="00265C60" w:rsidRDefault="00D6320C" w:rsidP="00FD3308">
            <w:pPr>
              <w:autoSpaceDE w:val="0"/>
              <w:autoSpaceDN w:val="0"/>
              <w:adjustRightInd w:val="0"/>
              <w:spacing w:line="240" w:lineRule="auto"/>
              <w:ind w:firstLine="0"/>
              <w:jc w:val="center"/>
              <w:rPr>
                <w:rFonts w:eastAsia="Calibri"/>
                <w:i/>
                <w:sz w:val="18"/>
                <w:szCs w:val="16"/>
              </w:rPr>
            </w:pPr>
            <w:r w:rsidRPr="00265C60">
              <w:rPr>
                <w:rFonts w:eastAsia="Calibri"/>
                <w:i/>
                <w:sz w:val="18"/>
                <w:szCs w:val="16"/>
              </w:rPr>
              <w:t>16,0</w:t>
            </w:r>
          </w:p>
        </w:tc>
        <w:tc>
          <w:tcPr>
            <w:tcW w:w="1124"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autoSpaceDE w:val="0"/>
              <w:autoSpaceDN w:val="0"/>
              <w:adjustRightInd w:val="0"/>
              <w:spacing w:line="240" w:lineRule="auto"/>
              <w:ind w:firstLine="0"/>
              <w:jc w:val="center"/>
              <w:rPr>
                <w:rFonts w:eastAsia="Calibri"/>
                <w:i/>
                <w:sz w:val="18"/>
                <w:szCs w:val="16"/>
              </w:rPr>
            </w:pPr>
            <w:r w:rsidRPr="00265C60">
              <w:rPr>
                <w:rFonts w:eastAsia="Calibri"/>
                <w:i/>
                <w:sz w:val="18"/>
                <w:szCs w:val="16"/>
              </w:rPr>
              <w:t>17,0</w:t>
            </w:r>
          </w:p>
        </w:tc>
        <w:tc>
          <w:tcPr>
            <w:tcW w:w="1116"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16,1</w:t>
            </w:r>
          </w:p>
        </w:tc>
        <w:tc>
          <w:tcPr>
            <w:tcW w:w="1124"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7,8</w:t>
            </w:r>
          </w:p>
        </w:tc>
      </w:tr>
      <w:tr w:rsidR="00D6320C" w:rsidRPr="00265C60" w:rsidTr="00FD3308">
        <w:trPr>
          <w:trHeight w:val="283"/>
        </w:trPr>
        <w:tc>
          <w:tcPr>
            <w:tcW w:w="5365" w:type="dxa"/>
            <w:vAlign w:val="center"/>
          </w:tcPr>
          <w:p w:rsidR="00D6320C" w:rsidRPr="00265C60" w:rsidRDefault="00D6320C" w:rsidP="00FD3308">
            <w:pPr>
              <w:autoSpaceDE w:val="0"/>
              <w:autoSpaceDN w:val="0"/>
              <w:adjustRightInd w:val="0"/>
              <w:spacing w:line="240" w:lineRule="auto"/>
              <w:ind w:firstLine="0"/>
              <w:jc w:val="left"/>
              <w:rPr>
                <w:rFonts w:eastAsia="Calibri"/>
                <w:sz w:val="18"/>
                <w:szCs w:val="18"/>
              </w:rPr>
            </w:pPr>
            <w:r w:rsidRPr="00265C60">
              <w:rPr>
                <w:rFonts w:eastAsia="Calibri"/>
                <w:sz w:val="18"/>
                <w:szCs w:val="18"/>
              </w:rPr>
              <w:t>Исполнение** (ожидаемое исполнение)</w:t>
            </w:r>
          </w:p>
        </w:tc>
        <w:tc>
          <w:tcPr>
            <w:tcW w:w="1124" w:type="dxa"/>
            <w:vAlign w:val="center"/>
          </w:tcPr>
          <w:p w:rsidR="00D6320C" w:rsidRPr="00265C60" w:rsidRDefault="00D6320C" w:rsidP="00FD3308">
            <w:pPr>
              <w:autoSpaceDE w:val="0"/>
              <w:autoSpaceDN w:val="0"/>
              <w:adjustRightInd w:val="0"/>
              <w:spacing w:line="240" w:lineRule="auto"/>
              <w:ind w:firstLine="0"/>
              <w:jc w:val="center"/>
              <w:rPr>
                <w:rFonts w:eastAsia="Calibri"/>
                <w:sz w:val="18"/>
                <w:szCs w:val="16"/>
              </w:rPr>
            </w:pPr>
            <w:r w:rsidRPr="00265C60">
              <w:rPr>
                <w:rFonts w:eastAsia="Calibri"/>
                <w:sz w:val="18"/>
                <w:szCs w:val="16"/>
              </w:rPr>
              <w:t>19 626,3</w:t>
            </w:r>
          </w:p>
        </w:tc>
        <w:tc>
          <w:tcPr>
            <w:tcW w:w="1124"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autoSpaceDE w:val="0"/>
              <w:autoSpaceDN w:val="0"/>
              <w:adjustRightInd w:val="0"/>
              <w:spacing w:line="240" w:lineRule="auto"/>
              <w:ind w:firstLine="0"/>
              <w:jc w:val="center"/>
              <w:rPr>
                <w:rFonts w:eastAsia="Calibri"/>
                <w:sz w:val="18"/>
                <w:szCs w:val="16"/>
              </w:rPr>
            </w:pPr>
            <w:r w:rsidRPr="00265C60">
              <w:rPr>
                <w:rFonts w:eastAsia="Calibri"/>
                <w:sz w:val="18"/>
                <w:szCs w:val="16"/>
              </w:rPr>
              <w:t>22 525,1</w:t>
            </w:r>
          </w:p>
        </w:tc>
        <w:tc>
          <w:tcPr>
            <w:tcW w:w="1116"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24 919,3</w:t>
            </w:r>
          </w:p>
        </w:tc>
        <w:tc>
          <w:tcPr>
            <w:tcW w:w="1124"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26 072,1</w:t>
            </w:r>
          </w:p>
        </w:tc>
      </w:tr>
      <w:tr w:rsidR="00D6320C" w:rsidRPr="00265C60" w:rsidTr="00FD3308">
        <w:trPr>
          <w:cantSplit/>
        </w:trPr>
        <w:tc>
          <w:tcPr>
            <w:tcW w:w="5365" w:type="dxa"/>
          </w:tcPr>
          <w:p w:rsidR="00D6320C" w:rsidRPr="00265C60" w:rsidRDefault="00D6320C" w:rsidP="00FD3308">
            <w:pPr>
              <w:autoSpaceDE w:val="0"/>
              <w:autoSpaceDN w:val="0"/>
              <w:adjustRightInd w:val="0"/>
              <w:spacing w:line="240" w:lineRule="auto"/>
              <w:ind w:firstLine="0"/>
              <w:rPr>
                <w:rFonts w:eastAsia="Calibri"/>
                <w:i/>
                <w:sz w:val="18"/>
                <w:szCs w:val="18"/>
              </w:rPr>
            </w:pPr>
            <w:r w:rsidRPr="00265C60">
              <w:rPr>
                <w:rFonts w:eastAsia="Calibri"/>
                <w:i/>
                <w:sz w:val="18"/>
                <w:szCs w:val="18"/>
              </w:rPr>
              <w:t>Отклонение от основных параметров бюджетов субъектов Российской Федерации</w:t>
            </w:r>
          </w:p>
        </w:tc>
        <w:tc>
          <w:tcPr>
            <w:tcW w:w="1124" w:type="dxa"/>
            <w:vAlign w:val="center"/>
          </w:tcPr>
          <w:p w:rsidR="00D6320C" w:rsidRPr="00265C60" w:rsidRDefault="00D6320C" w:rsidP="00FD3308">
            <w:pPr>
              <w:autoSpaceDE w:val="0"/>
              <w:autoSpaceDN w:val="0"/>
              <w:adjustRightInd w:val="0"/>
              <w:spacing w:line="240" w:lineRule="auto"/>
              <w:ind w:firstLine="0"/>
              <w:jc w:val="center"/>
              <w:rPr>
                <w:rFonts w:eastAsia="Calibri"/>
                <w:i/>
                <w:sz w:val="18"/>
                <w:szCs w:val="16"/>
              </w:rPr>
            </w:pPr>
          </w:p>
        </w:tc>
        <w:tc>
          <w:tcPr>
            <w:tcW w:w="1124"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autoSpaceDE w:val="0"/>
              <w:autoSpaceDN w:val="0"/>
              <w:adjustRightInd w:val="0"/>
              <w:spacing w:line="240" w:lineRule="auto"/>
              <w:ind w:firstLine="0"/>
              <w:jc w:val="center"/>
              <w:rPr>
                <w:rFonts w:eastAsia="Calibri"/>
                <w:i/>
                <w:sz w:val="18"/>
                <w:szCs w:val="16"/>
              </w:rPr>
            </w:pPr>
            <w:r w:rsidRPr="00265C60">
              <w:rPr>
                <w:rFonts w:eastAsia="Calibri"/>
                <w:i/>
                <w:sz w:val="18"/>
                <w:szCs w:val="16"/>
              </w:rPr>
              <w:t> </w:t>
            </w:r>
          </w:p>
        </w:tc>
        <w:tc>
          <w:tcPr>
            <w:tcW w:w="1116"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p>
        </w:tc>
        <w:tc>
          <w:tcPr>
            <w:tcW w:w="1124"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p>
        </w:tc>
      </w:tr>
      <w:tr w:rsidR="00D6320C" w:rsidRPr="00265C60" w:rsidTr="00FD3308">
        <w:trPr>
          <w:trHeight w:val="227"/>
        </w:trPr>
        <w:tc>
          <w:tcPr>
            <w:tcW w:w="5365" w:type="dxa"/>
          </w:tcPr>
          <w:p w:rsidR="00D6320C" w:rsidRPr="00265C60" w:rsidRDefault="00D6320C" w:rsidP="00D07A8B">
            <w:pPr>
              <w:autoSpaceDE w:val="0"/>
              <w:autoSpaceDN w:val="0"/>
              <w:adjustRightInd w:val="0"/>
              <w:spacing w:line="240" w:lineRule="auto"/>
              <w:ind w:firstLine="0"/>
              <w:rPr>
                <w:rFonts w:eastAsia="Calibri"/>
                <w:i/>
                <w:sz w:val="18"/>
                <w:szCs w:val="18"/>
              </w:rPr>
            </w:pPr>
            <w:r w:rsidRPr="00265C60">
              <w:rPr>
                <w:rFonts w:eastAsia="Calibri"/>
                <w:i/>
                <w:sz w:val="18"/>
                <w:szCs w:val="18"/>
              </w:rPr>
              <w:t>в млрд рублей</w:t>
            </w:r>
          </w:p>
        </w:tc>
        <w:tc>
          <w:tcPr>
            <w:tcW w:w="1124" w:type="dxa"/>
            <w:vAlign w:val="center"/>
          </w:tcPr>
          <w:p w:rsidR="00D6320C" w:rsidRPr="00265C60" w:rsidRDefault="00D6320C" w:rsidP="00FD3308">
            <w:pPr>
              <w:autoSpaceDE w:val="0"/>
              <w:autoSpaceDN w:val="0"/>
              <w:adjustRightInd w:val="0"/>
              <w:spacing w:line="240" w:lineRule="auto"/>
              <w:ind w:firstLine="0"/>
              <w:jc w:val="center"/>
              <w:rPr>
                <w:rFonts w:eastAsia="Calibri"/>
                <w:i/>
                <w:sz w:val="18"/>
                <w:szCs w:val="16"/>
              </w:rPr>
            </w:pPr>
            <w:r w:rsidRPr="00265C60">
              <w:rPr>
                <w:rFonts w:eastAsia="Calibri"/>
                <w:i/>
                <w:sz w:val="18"/>
                <w:szCs w:val="16"/>
              </w:rPr>
              <w:t>2 810,8</w:t>
            </w:r>
          </w:p>
        </w:tc>
        <w:tc>
          <w:tcPr>
            <w:tcW w:w="1124"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autoSpaceDE w:val="0"/>
              <w:autoSpaceDN w:val="0"/>
              <w:adjustRightInd w:val="0"/>
              <w:spacing w:line="240" w:lineRule="auto"/>
              <w:ind w:firstLine="0"/>
              <w:jc w:val="center"/>
              <w:rPr>
                <w:rFonts w:eastAsia="Calibri"/>
                <w:i/>
                <w:sz w:val="18"/>
                <w:szCs w:val="16"/>
              </w:rPr>
            </w:pPr>
            <w:r w:rsidRPr="00265C60">
              <w:rPr>
                <w:rFonts w:eastAsia="Calibri"/>
                <w:i/>
                <w:sz w:val="18"/>
                <w:szCs w:val="16"/>
              </w:rPr>
              <w:t>3 164,6</w:t>
            </w:r>
          </w:p>
        </w:tc>
        <w:tc>
          <w:tcPr>
            <w:tcW w:w="1116"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2 473,7</w:t>
            </w:r>
          </w:p>
        </w:tc>
        <w:tc>
          <w:tcPr>
            <w:tcW w:w="1124"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675,6</w:t>
            </w:r>
          </w:p>
        </w:tc>
      </w:tr>
      <w:tr w:rsidR="00D6320C" w:rsidRPr="00265C60" w:rsidTr="00FD3308">
        <w:trPr>
          <w:trHeight w:val="170"/>
        </w:trPr>
        <w:tc>
          <w:tcPr>
            <w:tcW w:w="5365" w:type="dxa"/>
          </w:tcPr>
          <w:p w:rsidR="00D6320C" w:rsidRPr="00265C60" w:rsidRDefault="00D6320C" w:rsidP="00FD3308">
            <w:pPr>
              <w:autoSpaceDE w:val="0"/>
              <w:autoSpaceDN w:val="0"/>
              <w:adjustRightInd w:val="0"/>
              <w:spacing w:line="240" w:lineRule="auto"/>
              <w:ind w:firstLine="0"/>
              <w:rPr>
                <w:rFonts w:eastAsia="Calibri"/>
                <w:i/>
                <w:sz w:val="18"/>
                <w:szCs w:val="18"/>
              </w:rPr>
            </w:pPr>
            <w:r w:rsidRPr="00265C60">
              <w:rPr>
                <w:rFonts w:eastAsia="Calibri"/>
                <w:i/>
                <w:sz w:val="18"/>
                <w:szCs w:val="18"/>
              </w:rPr>
              <w:t>в %</w:t>
            </w:r>
          </w:p>
        </w:tc>
        <w:tc>
          <w:tcPr>
            <w:tcW w:w="1124" w:type="dxa"/>
            <w:vAlign w:val="center"/>
          </w:tcPr>
          <w:p w:rsidR="00D6320C" w:rsidRPr="00265C60" w:rsidRDefault="00D6320C" w:rsidP="00FD3308">
            <w:pPr>
              <w:autoSpaceDE w:val="0"/>
              <w:autoSpaceDN w:val="0"/>
              <w:adjustRightInd w:val="0"/>
              <w:spacing w:line="240" w:lineRule="auto"/>
              <w:ind w:firstLine="0"/>
              <w:jc w:val="center"/>
              <w:rPr>
                <w:rFonts w:eastAsia="Calibri"/>
                <w:i/>
                <w:sz w:val="18"/>
                <w:szCs w:val="16"/>
              </w:rPr>
            </w:pPr>
            <w:r w:rsidRPr="00265C60">
              <w:rPr>
                <w:rFonts w:eastAsia="Calibri"/>
                <w:i/>
                <w:sz w:val="18"/>
                <w:szCs w:val="16"/>
              </w:rPr>
              <w:t>16,7</w:t>
            </w:r>
          </w:p>
        </w:tc>
        <w:tc>
          <w:tcPr>
            <w:tcW w:w="1124"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autoSpaceDE w:val="0"/>
              <w:autoSpaceDN w:val="0"/>
              <w:adjustRightInd w:val="0"/>
              <w:spacing w:line="240" w:lineRule="auto"/>
              <w:ind w:firstLine="0"/>
              <w:jc w:val="center"/>
              <w:rPr>
                <w:rFonts w:eastAsia="Calibri"/>
                <w:i/>
                <w:sz w:val="18"/>
                <w:szCs w:val="16"/>
              </w:rPr>
            </w:pPr>
            <w:r w:rsidRPr="00265C60">
              <w:rPr>
                <w:rFonts w:eastAsia="Calibri"/>
                <w:i/>
                <w:sz w:val="18"/>
                <w:szCs w:val="16"/>
              </w:rPr>
              <w:t>16,3</w:t>
            </w:r>
          </w:p>
        </w:tc>
        <w:tc>
          <w:tcPr>
            <w:tcW w:w="1116"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11,0</w:t>
            </w:r>
          </w:p>
        </w:tc>
        <w:tc>
          <w:tcPr>
            <w:tcW w:w="1124"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2,7</w:t>
            </w:r>
          </w:p>
        </w:tc>
      </w:tr>
      <w:tr w:rsidR="00D6320C" w:rsidRPr="00265C60" w:rsidTr="00FD3308">
        <w:trPr>
          <w:trHeight w:val="227"/>
        </w:trPr>
        <w:tc>
          <w:tcPr>
            <w:tcW w:w="5365" w:type="dxa"/>
            <w:vAlign w:val="center"/>
          </w:tcPr>
          <w:p w:rsidR="00D6320C" w:rsidRPr="00265C60" w:rsidRDefault="00D6320C" w:rsidP="00FD3308">
            <w:pPr>
              <w:autoSpaceDE w:val="0"/>
              <w:autoSpaceDN w:val="0"/>
              <w:adjustRightInd w:val="0"/>
              <w:spacing w:line="240" w:lineRule="auto"/>
              <w:ind w:firstLine="0"/>
              <w:jc w:val="left"/>
              <w:rPr>
                <w:rFonts w:eastAsia="Calibri"/>
                <w:i/>
                <w:sz w:val="18"/>
                <w:szCs w:val="18"/>
              </w:rPr>
            </w:pPr>
            <w:r w:rsidRPr="00265C60">
              <w:rPr>
                <w:rFonts w:eastAsia="Calibri"/>
                <w:i/>
                <w:sz w:val="18"/>
                <w:szCs w:val="18"/>
              </w:rPr>
              <w:t>Отклонение от показателей сводной бюджетной росписи (с изменениями)</w:t>
            </w:r>
          </w:p>
        </w:tc>
        <w:tc>
          <w:tcPr>
            <w:tcW w:w="1124" w:type="dxa"/>
            <w:vAlign w:val="center"/>
          </w:tcPr>
          <w:p w:rsidR="00D6320C" w:rsidRPr="00265C60" w:rsidRDefault="00D6320C" w:rsidP="00FD3308">
            <w:pPr>
              <w:autoSpaceDE w:val="0"/>
              <w:autoSpaceDN w:val="0"/>
              <w:adjustRightInd w:val="0"/>
              <w:spacing w:line="240" w:lineRule="auto"/>
              <w:ind w:firstLine="0"/>
              <w:jc w:val="center"/>
              <w:rPr>
                <w:rFonts w:eastAsia="Calibri"/>
                <w:sz w:val="18"/>
                <w:szCs w:val="16"/>
              </w:rPr>
            </w:pPr>
          </w:p>
        </w:tc>
        <w:tc>
          <w:tcPr>
            <w:tcW w:w="1124"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autoSpaceDE w:val="0"/>
              <w:autoSpaceDN w:val="0"/>
              <w:adjustRightInd w:val="0"/>
              <w:spacing w:line="240" w:lineRule="auto"/>
              <w:ind w:firstLine="0"/>
              <w:jc w:val="center"/>
              <w:rPr>
                <w:rFonts w:eastAsia="Calibri"/>
                <w:i/>
                <w:sz w:val="18"/>
                <w:szCs w:val="16"/>
              </w:rPr>
            </w:pPr>
            <w:r w:rsidRPr="00265C60">
              <w:rPr>
                <w:rFonts w:eastAsia="Calibri"/>
                <w:i/>
                <w:sz w:val="18"/>
                <w:szCs w:val="16"/>
              </w:rPr>
              <w:t> </w:t>
            </w:r>
          </w:p>
        </w:tc>
        <w:tc>
          <w:tcPr>
            <w:tcW w:w="1116"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p>
        </w:tc>
        <w:tc>
          <w:tcPr>
            <w:tcW w:w="1124"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p>
        </w:tc>
      </w:tr>
      <w:tr w:rsidR="00D6320C" w:rsidRPr="00265C60" w:rsidTr="00FD3308">
        <w:trPr>
          <w:trHeight w:val="227"/>
        </w:trPr>
        <w:tc>
          <w:tcPr>
            <w:tcW w:w="5365" w:type="dxa"/>
            <w:vAlign w:val="center"/>
          </w:tcPr>
          <w:p w:rsidR="00D6320C" w:rsidRPr="00265C60" w:rsidRDefault="00B24D31" w:rsidP="00B24D31">
            <w:pPr>
              <w:autoSpaceDE w:val="0"/>
              <w:autoSpaceDN w:val="0"/>
              <w:adjustRightInd w:val="0"/>
              <w:spacing w:line="240" w:lineRule="auto"/>
              <w:ind w:firstLine="0"/>
              <w:jc w:val="left"/>
              <w:rPr>
                <w:rFonts w:eastAsia="Calibri"/>
                <w:i/>
                <w:sz w:val="18"/>
                <w:szCs w:val="18"/>
              </w:rPr>
            </w:pPr>
            <w:r>
              <w:rPr>
                <w:rFonts w:eastAsia="Calibri"/>
                <w:i/>
                <w:sz w:val="18"/>
                <w:szCs w:val="18"/>
              </w:rPr>
              <w:t>в млрд</w:t>
            </w:r>
            <w:r w:rsidR="00D6320C" w:rsidRPr="00265C60">
              <w:rPr>
                <w:rFonts w:eastAsia="Calibri"/>
                <w:i/>
                <w:sz w:val="18"/>
                <w:szCs w:val="18"/>
              </w:rPr>
              <w:t xml:space="preserve"> рублей</w:t>
            </w:r>
          </w:p>
        </w:tc>
        <w:tc>
          <w:tcPr>
            <w:tcW w:w="1124" w:type="dxa"/>
            <w:vAlign w:val="center"/>
          </w:tcPr>
          <w:p w:rsidR="00D6320C" w:rsidRPr="00265C60" w:rsidRDefault="00D6320C" w:rsidP="00FD3308">
            <w:pPr>
              <w:autoSpaceDE w:val="0"/>
              <w:autoSpaceDN w:val="0"/>
              <w:adjustRightInd w:val="0"/>
              <w:spacing w:line="240" w:lineRule="auto"/>
              <w:ind w:firstLine="0"/>
              <w:jc w:val="center"/>
              <w:rPr>
                <w:rFonts w:eastAsia="Calibri"/>
                <w:i/>
                <w:sz w:val="18"/>
                <w:szCs w:val="16"/>
              </w:rPr>
            </w:pPr>
            <w:r w:rsidRPr="00265C60">
              <w:rPr>
                <w:rFonts w:eastAsia="Calibri"/>
                <w:i/>
                <w:sz w:val="18"/>
                <w:szCs w:val="16"/>
              </w:rPr>
              <w:t>-1 093,6</w:t>
            </w:r>
          </w:p>
        </w:tc>
        <w:tc>
          <w:tcPr>
            <w:tcW w:w="1124"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autoSpaceDE w:val="0"/>
              <w:autoSpaceDN w:val="0"/>
              <w:adjustRightInd w:val="0"/>
              <w:spacing w:line="240" w:lineRule="auto"/>
              <w:ind w:firstLine="0"/>
              <w:jc w:val="center"/>
              <w:rPr>
                <w:rFonts w:eastAsia="Calibri"/>
                <w:i/>
                <w:sz w:val="18"/>
                <w:szCs w:val="16"/>
              </w:rPr>
            </w:pPr>
            <w:r w:rsidRPr="00265C60">
              <w:rPr>
                <w:rFonts w:eastAsia="Calibri"/>
                <w:i/>
                <w:sz w:val="18"/>
                <w:szCs w:val="16"/>
              </w:rPr>
              <w:t>-1 181,4</w:t>
            </w:r>
          </w:p>
        </w:tc>
        <w:tc>
          <w:tcPr>
            <w:tcW w:w="1116"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-1 411,4</w:t>
            </w:r>
          </w:p>
        </w:tc>
        <w:tc>
          <w:tcPr>
            <w:tcW w:w="1124"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-2 319,5</w:t>
            </w:r>
          </w:p>
        </w:tc>
      </w:tr>
      <w:tr w:rsidR="00D6320C" w:rsidRPr="00265C60" w:rsidTr="00FD3308">
        <w:trPr>
          <w:trHeight w:val="170"/>
        </w:trPr>
        <w:tc>
          <w:tcPr>
            <w:tcW w:w="5365" w:type="dxa"/>
            <w:vAlign w:val="center"/>
          </w:tcPr>
          <w:p w:rsidR="00D6320C" w:rsidRPr="00265C60" w:rsidRDefault="00D6320C" w:rsidP="00FD3308">
            <w:pPr>
              <w:autoSpaceDE w:val="0"/>
              <w:autoSpaceDN w:val="0"/>
              <w:adjustRightInd w:val="0"/>
              <w:spacing w:line="240" w:lineRule="auto"/>
              <w:ind w:firstLine="0"/>
              <w:jc w:val="left"/>
              <w:rPr>
                <w:rFonts w:eastAsia="Calibri"/>
                <w:i/>
                <w:sz w:val="18"/>
                <w:szCs w:val="18"/>
              </w:rPr>
            </w:pPr>
            <w:r w:rsidRPr="00265C60">
              <w:rPr>
                <w:rFonts w:eastAsia="Calibri"/>
                <w:i/>
                <w:sz w:val="18"/>
                <w:szCs w:val="18"/>
              </w:rPr>
              <w:t>в %</w:t>
            </w:r>
          </w:p>
        </w:tc>
        <w:tc>
          <w:tcPr>
            <w:tcW w:w="1124" w:type="dxa"/>
            <w:vAlign w:val="center"/>
          </w:tcPr>
          <w:p w:rsidR="00D6320C" w:rsidRPr="00265C60" w:rsidRDefault="00D6320C" w:rsidP="00FD3308">
            <w:pPr>
              <w:autoSpaceDE w:val="0"/>
              <w:autoSpaceDN w:val="0"/>
              <w:adjustRightInd w:val="0"/>
              <w:spacing w:line="240" w:lineRule="auto"/>
              <w:ind w:firstLine="0"/>
              <w:jc w:val="center"/>
              <w:rPr>
                <w:rFonts w:eastAsia="Calibri"/>
                <w:i/>
                <w:sz w:val="18"/>
                <w:szCs w:val="16"/>
              </w:rPr>
            </w:pPr>
            <w:r w:rsidRPr="00265C60">
              <w:rPr>
                <w:rFonts w:eastAsia="Calibri"/>
                <w:i/>
                <w:sz w:val="18"/>
                <w:szCs w:val="16"/>
              </w:rPr>
              <w:t>-5,3</w:t>
            </w:r>
          </w:p>
        </w:tc>
        <w:tc>
          <w:tcPr>
            <w:tcW w:w="1124"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autoSpaceDE w:val="0"/>
              <w:autoSpaceDN w:val="0"/>
              <w:adjustRightInd w:val="0"/>
              <w:spacing w:line="240" w:lineRule="auto"/>
              <w:ind w:firstLine="0"/>
              <w:jc w:val="center"/>
              <w:rPr>
                <w:rFonts w:eastAsia="Calibri"/>
                <w:i/>
                <w:sz w:val="18"/>
                <w:szCs w:val="16"/>
              </w:rPr>
            </w:pPr>
            <w:r w:rsidRPr="00265C60">
              <w:rPr>
                <w:rFonts w:eastAsia="Calibri"/>
                <w:i/>
                <w:sz w:val="18"/>
                <w:szCs w:val="16"/>
              </w:rPr>
              <w:t>-5,0</w:t>
            </w:r>
          </w:p>
        </w:tc>
        <w:tc>
          <w:tcPr>
            <w:tcW w:w="1116" w:type="dxa"/>
            <w:tcBorders>
              <w:top w:val="nil"/>
              <w:left w:val="single" w:sz="4" w:space="0" w:color="auto"/>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-5,4</w:t>
            </w:r>
          </w:p>
        </w:tc>
        <w:tc>
          <w:tcPr>
            <w:tcW w:w="1124" w:type="dxa"/>
            <w:tcBorders>
              <w:top w:val="nil"/>
              <w:left w:val="nil"/>
              <w:bottom w:val="single" w:sz="4" w:space="0" w:color="auto"/>
              <w:right w:val="single" w:sz="4" w:space="0" w:color="auto"/>
            </w:tcBorders>
            <w:shd w:val="clear" w:color="auto" w:fill="auto"/>
            <w:vAlign w:val="center"/>
          </w:tcPr>
          <w:p w:rsidR="00D6320C" w:rsidRPr="00265C60" w:rsidRDefault="00D6320C" w:rsidP="00FD3308">
            <w:pPr>
              <w:spacing w:line="240" w:lineRule="auto"/>
              <w:ind w:firstLine="0"/>
              <w:jc w:val="center"/>
              <w:rPr>
                <w:sz w:val="18"/>
              </w:rPr>
            </w:pPr>
            <w:r w:rsidRPr="00265C60">
              <w:rPr>
                <w:sz w:val="18"/>
              </w:rPr>
              <w:t>-8,2</w:t>
            </w:r>
          </w:p>
        </w:tc>
      </w:tr>
    </w:tbl>
    <w:p w:rsidR="00D6320C" w:rsidRPr="00265C60" w:rsidRDefault="00D6320C" w:rsidP="00D6320C">
      <w:pPr>
        <w:autoSpaceDE w:val="0"/>
        <w:autoSpaceDN w:val="0"/>
        <w:adjustRightInd w:val="0"/>
        <w:spacing w:before="40" w:line="240" w:lineRule="auto"/>
        <w:rPr>
          <w:sz w:val="16"/>
          <w:szCs w:val="18"/>
        </w:rPr>
      </w:pPr>
      <w:r w:rsidRPr="00265C60">
        <w:rPr>
          <w:sz w:val="16"/>
          <w:szCs w:val="18"/>
        </w:rPr>
        <w:t>* Прогнозы основных параметров консолидированного бюджета Российской Федерации, представленные к законопроекту о федеральном бюджете на соответствующий финансовый год и плановый период.</w:t>
      </w:r>
    </w:p>
    <w:p w:rsidR="00D6320C" w:rsidRPr="00265C60" w:rsidRDefault="00D6320C" w:rsidP="00D6320C">
      <w:pPr>
        <w:autoSpaceDE w:val="0"/>
        <w:autoSpaceDN w:val="0"/>
        <w:adjustRightInd w:val="0"/>
        <w:spacing w:line="240" w:lineRule="auto"/>
        <w:rPr>
          <w:sz w:val="16"/>
          <w:szCs w:val="16"/>
        </w:rPr>
      </w:pPr>
      <w:r w:rsidRPr="00265C60">
        <w:rPr>
          <w:sz w:val="16"/>
          <w:szCs w:val="16"/>
        </w:rPr>
        <w:t>** С учетом исполнения бюджета г. Байконура.</w:t>
      </w:r>
    </w:p>
    <w:p w:rsidR="00D6320C" w:rsidRPr="00265C60" w:rsidRDefault="00D6320C" w:rsidP="00D6320C">
      <w:pPr>
        <w:autoSpaceDE w:val="0"/>
        <w:autoSpaceDN w:val="0"/>
        <w:adjustRightInd w:val="0"/>
        <w:spacing w:before="120" w:line="336" w:lineRule="auto"/>
      </w:pPr>
      <w:r w:rsidRPr="00265C60">
        <w:t>По результатам анализа исполнения консолидированных бюджетов субъектов Российской Федерации в 2022–2025 годах в условиях сложившейся социально-экономической ситуации прослежива</w:t>
      </w:r>
      <w:r w:rsidR="000C7E66">
        <w:t>е</w:t>
      </w:r>
      <w:r w:rsidRPr="00265C60">
        <w:t>тся тенденци</w:t>
      </w:r>
      <w:r w:rsidR="000C7E66">
        <w:t>я</w:t>
      </w:r>
      <w:r w:rsidRPr="00265C60">
        <w:t xml:space="preserve"> сдерживания регионами расходных обязательств.</w:t>
      </w:r>
    </w:p>
    <w:p w:rsidR="00D6320C" w:rsidRPr="00265C60" w:rsidRDefault="00D6320C" w:rsidP="00D6320C">
      <w:pPr>
        <w:widowControl w:val="0"/>
        <w:spacing w:line="336" w:lineRule="auto"/>
      </w:pPr>
      <w:r w:rsidRPr="00265C60">
        <w:t xml:space="preserve">Ежегодно запланированные субъектами Российской Федерации </w:t>
      </w:r>
      <w:r w:rsidRPr="00265C60">
        <w:rPr>
          <w:b/>
        </w:rPr>
        <w:t>показатели уточненной</w:t>
      </w:r>
      <w:r w:rsidRPr="00265C60">
        <w:t xml:space="preserve"> сводной бюджетной росписи значительно </w:t>
      </w:r>
      <w:r w:rsidRPr="00265C60">
        <w:rPr>
          <w:b/>
        </w:rPr>
        <w:t xml:space="preserve">отличаются от утвержденной </w:t>
      </w:r>
      <w:r w:rsidRPr="00265C60">
        <w:t>сводной бюджетной росписи.</w:t>
      </w:r>
      <w:r w:rsidRPr="00265C60">
        <w:rPr>
          <w:b/>
        </w:rPr>
        <w:t xml:space="preserve"> </w:t>
      </w:r>
      <w:r w:rsidRPr="00265C60">
        <w:t xml:space="preserve">Так, в 2022–2025 годах отклонение по расходам составило </w:t>
      </w:r>
      <w:r w:rsidRPr="00265C60">
        <w:br/>
        <w:t xml:space="preserve">8–17 %, </w:t>
      </w:r>
      <w:r w:rsidRPr="00265C60">
        <w:rPr>
          <w:b/>
        </w:rPr>
        <w:t>кассовые (ожидаемые) расходы</w:t>
      </w:r>
      <w:r w:rsidRPr="00265C60">
        <w:t xml:space="preserve"> консолидированных бюджетов субъектов Российской Федерации </w:t>
      </w:r>
      <w:r w:rsidRPr="00265C60">
        <w:rPr>
          <w:b/>
        </w:rPr>
        <w:t>ниже показателей сводной бюджетной росписи</w:t>
      </w:r>
      <w:r w:rsidRPr="00265C60">
        <w:t xml:space="preserve"> с изменениями в</w:t>
      </w:r>
      <w:r w:rsidR="00FC6997">
        <w:t> </w:t>
      </w:r>
      <w:r w:rsidRPr="00265C60">
        <w:t xml:space="preserve">среднем на </w:t>
      </w:r>
      <w:r w:rsidRPr="00265C60">
        <w:rPr>
          <w:b/>
        </w:rPr>
        <w:t>5–8 %</w:t>
      </w:r>
      <w:r w:rsidRPr="00265C60">
        <w:t>.</w:t>
      </w:r>
    </w:p>
    <w:p w:rsidR="00D6320C" w:rsidRPr="00265C60" w:rsidRDefault="00D6320C" w:rsidP="00D6320C">
      <w:pPr>
        <w:autoSpaceDE w:val="0"/>
        <w:autoSpaceDN w:val="0"/>
        <w:adjustRightInd w:val="0"/>
        <w:spacing w:line="336" w:lineRule="auto"/>
      </w:pPr>
      <w:r w:rsidRPr="00265C60">
        <w:t xml:space="preserve">Консолидированные бюджеты субъектов Российской Федерации в 2026–2028 годах прогнозируются </w:t>
      </w:r>
      <w:r w:rsidRPr="00265C60">
        <w:rPr>
          <w:b/>
        </w:rPr>
        <w:t>с дефицитом</w:t>
      </w:r>
      <w:r w:rsidRPr="00265C60">
        <w:t xml:space="preserve">. </w:t>
      </w:r>
    </w:p>
    <w:p w:rsidR="00D6320C" w:rsidRPr="00265C60" w:rsidRDefault="00D6320C" w:rsidP="00D6320C">
      <w:pPr>
        <w:widowControl w:val="0"/>
        <w:spacing w:line="336" w:lineRule="auto"/>
      </w:pPr>
      <w:r w:rsidRPr="00265C60">
        <w:t xml:space="preserve">В </w:t>
      </w:r>
      <w:r w:rsidRPr="00265C60">
        <w:rPr>
          <w:b/>
        </w:rPr>
        <w:t>2024 году</w:t>
      </w:r>
      <w:r w:rsidRPr="00265C60">
        <w:t xml:space="preserve"> консолидированные бюджеты субъектов Российской Федерации исполнены с дефицитом</w:t>
      </w:r>
      <w:r w:rsidR="000C7E66">
        <w:t xml:space="preserve"> в объеме</w:t>
      </w:r>
      <w:r w:rsidRPr="00265C60">
        <w:t xml:space="preserve"> 297,8 млрд рублей (первоначально прогнозировался дефицит в объеме 43,1 млрд рублей). В</w:t>
      </w:r>
      <w:r w:rsidRPr="00265C60">
        <w:rPr>
          <w:bCs/>
        </w:rPr>
        <w:t xml:space="preserve"> </w:t>
      </w:r>
      <w:r w:rsidRPr="00265C60">
        <w:rPr>
          <w:b/>
          <w:bCs/>
        </w:rPr>
        <w:t>2025 году</w:t>
      </w:r>
      <w:r w:rsidRPr="00265C60">
        <w:rPr>
          <w:bCs/>
        </w:rPr>
        <w:t xml:space="preserve"> </w:t>
      </w:r>
      <w:r w:rsidRPr="00265C60">
        <w:rPr>
          <w:b/>
          <w:bCs/>
        </w:rPr>
        <w:t xml:space="preserve">дефицит </w:t>
      </w:r>
      <w:r w:rsidRPr="00265C60">
        <w:rPr>
          <w:bCs/>
        </w:rPr>
        <w:t xml:space="preserve">оценивается в объеме </w:t>
      </w:r>
      <w:r w:rsidRPr="00265C60">
        <w:rPr>
          <w:b/>
          <w:bCs/>
        </w:rPr>
        <w:t xml:space="preserve">312,3 млрд рублей </w:t>
      </w:r>
      <w:r w:rsidRPr="00265C60">
        <w:t xml:space="preserve">(первоначально прогнозировался дефицит в объеме 52,3 млрд рублей). </w:t>
      </w:r>
    </w:p>
    <w:p w:rsidR="00D6320C" w:rsidRPr="00265C60" w:rsidRDefault="00D6320C" w:rsidP="00D6320C">
      <w:pPr>
        <w:widowControl w:val="0"/>
        <w:spacing w:line="336" w:lineRule="auto"/>
      </w:pPr>
      <w:r w:rsidRPr="00265C60">
        <w:t xml:space="preserve">В 2024 году с дефицитом исполнены бюджеты 49 </w:t>
      </w:r>
      <w:r w:rsidR="000C7E66">
        <w:t>субъектов Российской Федерации</w:t>
      </w:r>
      <w:r w:rsidRPr="00265C60">
        <w:t xml:space="preserve"> (из них в 9 </w:t>
      </w:r>
      <w:r w:rsidR="000C7E66">
        <w:t>субъектах Российской Федерации</w:t>
      </w:r>
      <w:r w:rsidRPr="00265C60">
        <w:t xml:space="preserve"> отмечается снижение доли доходов, в 25 </w:t>
      </w:r>
      <w:r w:rsidR="00FC6997">
        <w:t>–</w:t>
      </w:r>
      <w:r w:rsidRPr="00265C60">
        <w:t xml:space="preserve"> темп роста расходов превышал темп роста доходов). По состоянию на 1 сентября 2025 года с</w:t>
      </w:r>
      <w:r w:rsidR="00FC6997">
        <w:t> </w:t>
      </w:r>
      <w:r w:rsidRPr="00265C60">
        <w:t xml:space="preserve">дефицитом исполнены бюджеты 49 субъектов Российской Федерации. </w:t>
      </w:r>
    </w:p>
    <w:p w:rsidR="00D6320C" w:rsidRPr="00265C60" w:rsidRDefault="00D6320C" w:rsidP="00D6320C">
      <w:pPr>
        <w:overflowPunct w:val="0"/>
        <w:autoSpaceDE w:val="0"/>
        <w:autoSpaceDN w:val="0"/>
        <w:adjustRightInd w:val="0"/>
        <w:spacing w:line="336" w:lineRule="auto"/>
        <w:textAlignment w:val="baseline"/>
        <w:rPr>
          <w:rFonts w:eastAsia="Calibri"/>
        </w:rPr>
      </w:pPr>
      <w:r w:rsidRPr="00265C60">
        <w:rPr>
          <w:rFonts w:eastAsia="Calibri"/>
        </w:rPr>
        <w:t xml:space="preserve">Источниками финансирования дефицита </w:t>
      </w:r>
      <w:r w:rsidR="000C7E66">
        <w:rPr>
          <w:rFonts w:eastAsia="Calibri"/>
        </w:rPr>
        <w:t xml:space="preserve">консолидированных </w:t>
      </w:r>
      <w:r w:rsidRPr="00265C60">
        <w:rPr>
          <w:rFonts w:eastAsia="Calibri"/>
        </w:rPr>
        <w:t>бюджетов субъектов Российской Федерации в 2026–2028 годах будут являться казначейские инфраструктурные кредиты, ценные бумаги, кредиты от кредитных организаций, изменение остатков средств на</w:t>
      </w:r>
      <w:r w:rsidR="00FC6997">
        <w:rPr>
          <w:rFonts w:eastAsia="Calibri"/>
        </w:rPr>
        <w:t> </w:t>
      </w:r>
      <w:r w:rsidRPr="00265C60">
        <w:rPr>
          <w:rFonts w:eastAsia="Calibri"/>
        </w:rPr>
        <w:t>счетах по учету средств бюджетов субъектов и прочие источники финансирования.</w:t>
      </w:r>
    </w:p>
    <w:p w:rsidR="00D6320C" w:rsidRPr="00265C60" w:rsidRDefault="00D6320C" w:rsidP="00D6320C">
      <w:pPr>
        <w:spacing w:line="336" w:lineRule="auto"/>
        <w:rPr>
          <w:bCs/>
        </w:rPr>
      </w:pPr>
      <w:r w:rsidRPr="00265C60">
        <w:rPr>
          <w:bCs/>
        </w:rPr>
        <w:t>За январь</w:t>
      </w:r>
      <w:r w:rsidR="00FC6997">
        <w:rPr>
          <w:bCs/>
        </w:rPr>
        <w:t> </w:t>
      </w:r>
      <w:r w:rsidRPr="00265C60">
        <w:rPr>
          <w:szCs w:val="28"/>
        </w:rPr>
        <w:t>–</w:t>
      </w:r>
      <w:r w:rsidR="00FC6997">
        <w:rPr>
          <w:szCs w:val="28"/>
        </w:rPr>
        <w:t> </w:t>
      </w:r>
      <w:r w:rsidRPr="00265C60">
        <w:rPr>
          <w:bCs/>
        </w:rPr>
        <w:t>август 2025 года объем государственного долга субъектов Российской Федерации по сравнению с показателем на начало года увеличился на 2,5 млрд рублей, или на 0,1 %, и составил 3 150,1 млрд рублей. При этом рост гос</w:t>
      </w:r>
      <w:r w:rsidR="0042372A" w:rsidRPr="00265C60">
        <w:rPr>
          <w:bCs/>
        </w:rPr>
        <w:t xml:space="preserve">ударственного </w:t>
      </w:r>
      <w:r w:rsidRPr="00265C60">
        <w:rPr>
          <w:bCs/>
        </w:rPr>
        <w:t>долга произошел в</w:t>
      </w:r>
      <w:r w:rsidR="00FC6997">
        <w:rPr>
          <w:bCs/>
        </w:rPr>
        <w:t> </w:t>
      </w:r>
      <w:r w:rsidRPr="00265C60">
        <w:rPr>
          <w:bCs/>
        </w:rPr>
        <w:t>29 субъектах Российской Федерации.</w:t>
      </w:r>
    </w:p>
    <w:p w:rsidR="003746C4" w:rsidRDefault="00D6320C" w:rsidP="00D6320C">
      <w:pPr>
        <w:spacing w:line="336" w:lineRule="auto"/>
        <w:rPr>
          <w:bCs/>
        </w:rPr>
      </w:pPr>
      <w:r w:rsidRPr="00265C60">
        <w:rPr>
          <w:bCs/>
        </w:rPr>
        <w:t>Увеличение гос</w:t>
      </w:r>
      <w:r w:rsidR="0042372A" w:rsidRPr="00265C60">
        <w:rPr>
          <w:bCs/>
        </w:rPr>
        <w:t xml:space="preserve">ударственного </w:t>
      </w:r>
      <w:r w:rsidRPr="00265C60">
        <w:rPr>
          <w:bCs/>
        </w:rPr>
        <w:t>долга субъектов</w:t>
      </w:r>
      <w:r w:rsidR="0042372A" w:rsidRPr="00265C60">
        <w:rPr>
          <w:bCs/>
        </w:rPr>
        <w:t xml:space="preserve"> Российской Федерации</w:t>
      </w:r>
      <w:r w:rsidRPr="00265C60">
        <w:rPr>
          <w:bCs/>
        </w:rPr>
        <w:t xml:space="preserve"> связано с</w:t>
      </w:r>
      <w:r w:rsidR="00FC6997">
        <w:rPr>
          <w:bCs/>
        </w:rPr>
        <w:t> </w:t>
      </w:r>
      <w:r w:rsidRPr="00265C60">
        <w:rPr>
          <w:bCs/>
        </w:rPr>
        <w:t>увеличением задолженности по бюджетным кредитам на 45,9 млрд рублей, или на 1,9 %, при уменьшении задолженности по государственным ценным бумагам на 41,2 млрд рублей, или на 10,7 %, государственным гарантиям – на 1,9 млрд рублей (на 2,9 %) и по</w:t>
      </w:r>
      <w:r w:rsidR="00FC6997">
        <w:rPr>
          <w:bCs/>
        </w:rPr>
        <w:t> </w:t>
      </w:r>
      <w:r w:rsidRPr="00265C60">
        <w:rPr>
          <w:bCs/>
        </w:rPr>
        <w:t xml:space="preserve">коммерческим кредитам </w:t>
      </w:r>
      <w:r w:rsidRPr="00265C60">
        <w:t xml:space="preserve">– </w:t>
      </w:r>
      <w:r w:rsidRPr="00265C60">
        <w:rPr>
          <w:bCs/>
        </w:rPr>
        <w:t>на 0,3 млрд рублей (0,2 %).</w:t>
      </w:r>
      <w:r w:rsidR="003746C4" w:rsidRPr="003746C4">
        <w:rPr>
          <w:bCs/>
        </w:rPr>
        <w:t xml:space="preserve"> </w:t>
      </w:r>
    </w:p>
    <w:p w:rsidR="003746C4" w:rsidRDefault="003746C4" w:rsidP="003746C4">
      <w:pPr>
        <w:spacing w:line="336" w:lineRule="auto"/>
        <w:rPr>
          <w:bCs/>
        </w:rPr>
      </w:pPr>
      <w:r>
        <w:rPr>
          <w:bCs/>
        </w:rPr>
        <w:t>Законопроектом предусматривается установить право Федерального казначейства</w:t>
      </w:r>
      <w:r w:rsidRPr="00265C60">
        <w:rPr>
          <w:bCs/>
        </w:rPr>
        <w:t xml:space="preserve"> </w:t>
      </w:r>
      <w:r w:rsidRPr="003746C4">
        <w:rPr>
          <w:b/>
          <w:bCs/>
        </w:rPr>
        <w:t>предоставлять</w:t>
      </w:r>
      <w:r w:rsidRPr="00265C60">
        <w:rPr>
          <w:b/>
          <w:bCs/>
        </w:rPr>
        <w:t xml:space="preserve"> бюджетны</w:t>
      </w:r>
      <w:r>
        <w:rPr>
          <w:b/>
          <w:bCs/>
        </w:rPr>
        <w:t>е</w:t>
      </w:r>
      <w:r w:rsidRPr="00265C60">
        <w:rPr>
          <w:b/>
          <w:bCs/>
        </w:rPr>
        <w:t xml:space="preserve"> кредит</w:t>
      </w:r>
      <w:r>
        <w:rPr>
          <w:b/>
          <w:bCs/>
        </w:rPr>
        <w:t>ы</w:t>
      </w:r>
      <w:r w:rsidRPr="00265C60">
        <w:rPr>
          <w:bCs/>
        </w:rPr>
        <w:t xml:space="preserve"> бюджетам субъектов Российской Федерации </w:t>
      </w:r>
      <w:r w:rsidRPr="003746C4">
        <w:rPr>
          <w:bCs/>
        </w:rPr>
        <w:t>за счет временно свободных средств единого счета федерального бюджета в 2026</w:t>
      </w:r>
      <w:r>
        <w:rPr>
          <w:bCs/>
        </w:rPr>
        <w:t>‒</w:t>
      </w:r>
      <w:r w:rsidRPr="003746C4">
        <w:rPr>
          <w:bCs/>
        </w:rPr>
        <w:t>2028 годах в</w:t>
      </w:r>
      <w:r w:rsidR="008C38B3">
        <w:rPr>
          <w:bCs/>
        </w:rPr>
        <w:t> </w:t>
      </w:r>
      <w:r w:rsidRPr="003746C4">
        <w:rPr>
          <w:bCs/>
        </w:rPr>
        <w:t>объеме до 150 млрд рублей ежегодно на финансовое обеспечение реализации инфраструктурных проектов</w:t>
      </w:r>
      <w:r w:rsidRPr="00265C60">
        <w:rPr>
          <w:bCs/>
        </w:rPr>
        <w:t xml:space="preserve">. </w:t>
      </w:r>
    </w:p>
    <w:p w:rsidR="00D6320C" w:rsidRDefault="003746C4" w:rsidP="003746C4">
      <w:pPr>
        <w:spacing w:line="336" w:lineRule="auto"/>
        <w:rPr>
          <w:bCs/>
        </w:rPr>
      </w:pPr>
      <w:r w:rsidRPr="00265C60">
        <w:rPr>
          <w:bCs/>
        </w:rPr>
        <w:t>Возврат бюджетных кредитов, предоставленных из федерального бюджета бюджетам субъектов Российской Федерации, предусмотрен</w:t>
      </w:r>
      <w:r>
        <w:rPr>
          <w:bCs/>
        </w:rPr>
        <w:t>:</w:t>
      </w:r>
      <w:r w:rsidRPr="00265C60">
        <w:rPr>
          <w:bCs/>
        </w:rPr>
        <w:t xml:space="preserve"> в 2026 году в объеме 149,6 млрд рублей, в</w:t>
      </w:r>
      <w:r w:rsidR="008C38B3">
        <w:rPr>
          <w:bCs/>
        </w:rPr>
        <w:t> </w:t>
      </w:r>
      <w:r w:rsidRPr="00265C60">
        <w:rPr>
          <w:bCs/>
        </w:rPr>
        <w:t xml:space="preserve">2027 году </w:t>
      </w:r>
      <w:r>
        <w:rPr>
          <w:bCs/>
        </w:rPr>
        <w:t>в объеме</w:t>
      </w:r>
      <w:r w:rsidRPr="00265C60">
        <w:rPr>
          <w:bCs/>
        </w:rPr>
        <w:t xml:space="preserve"> 151,7 млрд рублей, в 2028 году </w:t>
      </w:r>
      <w:r>
        <w:rPr>
          <w:bCs/>
        </w:rPr>
        <w:t>в объеме</w:t>
      </w:r>
      <w:r w:rsidRPr="00265C60">
        <w:rPr>
          <w:bCs/>
        </w:rPr>
        <w:t xml:space="preserve"> 152,6 млрд рублей.</w:t>
      </w:r>
    </w:p>
    <w:p w:rsidR="003746C4" w:rsidRPr="00265C60" w:rsidRDefault="003746C4" w:rsidP="003746C4">
      <w:pPr>
        <w:spacing w:line="336" w:lineRule="auto"/>
        <w:rPr>
          <w:bCs/>
        </w:rPr>
      </w:pPr>
      <w:r>
        <w:rPr>
          <w:bCs/>
        </w:rPr>
        <w:t>При этом законопроектом № 1026188-8 предлагается установить</w:t>
      </w:r>
      <w:r w:rsidRPr="003746C4">
        <w:rPr>
          <w:bCs/>
        </w:rPr>
        <w:t xml:space="preserve"> право Правительств</w:t>
      </w:r>
      <w:r>
        <w:rPr>
          <w:bCs/>
        </w:rPr>
        <w:t>а</w:t>
      </w:r>
      <w:r w:rsidRPr="003746C4">
        <w:rPr>
          <w:bCs/>
        </w:rPr>
        <w:t xml:space="preserve"> Российской Федерации списать в 2026</w:t>
      </w:r>
      <w:r>
        <w:rPr>
          <w:bCs/>
        </w:rPr>
        <w:t>‒</w:t>
      </w:r>
      <w:r w:rsidRPr="003746C4">
        <w:rPr>
          <w:bCs/>
        </w:rPr>
        <w:t>2030 годах две трети задолженности субъектов Российской Федерации перед Российской Федерацией по бюджетным кредитам, сложившейся по состоянию на 1 марта 2024 года, за исключением задолженности по</w:t>
      </w:r>
      <w:r w:rsidR="001F7FB3">
        <w:rPr>
          <w:bCs/>
        </w:rPr>
        <w:t> </w:t>
      </w:r>
      <w:r>
        <w:rPr>
          <w:bCs/>
        </w:rPr>
        <w:t xml:space="preserve">отдельным </w:t>
      </w:r>
      <w:r w:rsidRPr="003746C4">
        <w:rPr>
          <w:bCs/>
        </w:rPr>
        <w:t>бюджетным кредитам</w:t>
      </w:r>
      <w:r>
        <w:rPr>
          <w:bCs/>
        </w:rPr>
        <w:t>,</w:t>
      </w:r>
      <w:r w:rsidRPr="003746C4">
        <w:rPr>
          <w:bCs/>
        </w:rPr>
        <w:t xml:space="preserve"> при условии целевого направления субъектом Российской Федерации средств, высвобождаемых в результате списания указанных двух третей задолженности по бюджетным кредитам, на поддержку инвестиций и на</w:t>
      </w:r>
      <w:r w:rsidR="001F7FB3">
        <w:rPr>
          <w:bCs/>
        </w:rPr>
        <w:t> </w:t>
      </w:r>
      <w:r w:rsidRPr="003746C4">
        <w:rPr>
          <w:bCs/>
        </w:rPr>
        <w:t>инфраструктурные проекты</w:t>
      </w:r>
      <w:r>
        <w:rPr>
          <w:bCs/>
        </w:rPr>
        <w:t>.</w:t>
      </w:r>
    </w:p>
    <w:p w:rsidR="00E70DF9" w:rsidRPr="00265C60" w:rsidRDefault="00E70DF9" w:rsidP="00AB4ADB">
      <w:pPr>
        <w:widowControl w:val="0"/>
        <w:spacing w:line="336" w:lineRule="auto"/>
        <w:rPr>
          <w:spacing w:val="-4"/>
        </w:rPr>
      </w:pPr>
      <w:r w:rsidRPr="00265C60">
        <w:rPr>
          <w:b/>
          <w:bCs/>
        </w:rPr>
        <w:t>3.4. </w:t>
      </w:r>
      <w:r w:rsidRPr="00265C60">
        <w:rPr>
          <w:b/>
          <w:spacing w:val="-4"/>
        </w:rPr>
        <w:t xml:space="preserve"> Основные параметры бюджетов государственных внебюджетных фондов</w:t>
      </w:r>
      <w:r w:rsidR="004F627B">
        <w:rPr>
          <w:spacing w:val="-4"/>
        </w:rPr>
        <w:t xml:space="preserve"> </w:t>
      </w:r>
      <w:r w:rsidR="004F627B">
        <w:rPr>
          <w:spacing w:val="-4"/>
        </w:rPr>
        <w:br/>
        <w:t>на</w:t>
      </w:r>
      <w:r w:rsidRPr="00265C60">
        <w:rPr>
          <w:spacing w:val="-4"/>
        </w:rPr>
        <w:t xml:space="preserve"> 202</w:t>
      </w:r>
      <w:r w:rsidR="00B00935" w:rsidRPr="00265C60">
        <w:rPr>
          <w:spacing w:val="-4"/>
        </w:rPr>
        <w:t>4</w:t>
      </w:r>
      <w:r w:rsidRPr="00265C60">
        <w:rPr>
          <w:spacing w:val="-4"/>
        </w:rPr>
        <w:t>–202</w:t>
      </w:r>
      <w:r w:rsidR="00B00935" w:rsidRPr="00265C60">
        <w:rPr>
          <w:spacing w:val="-4"/>
        </w:rPr>
        <w:t>8</w:t>
      </w:r>
      <w:r w:rsidRPr="00265C60">
        <w:rPr>
          <w:spacing w:val="-4"/>
        </w:rPr>
        <w:t xml:space="preserve"> годы представлены в следующей таблице.</w:t>
      </w:r>
    </w:p>
    <w:p w:rsidR="00B00935" w:rsidRPr="00265C60" w:rsidRDefault="00B00935" w:rsidP="001F7FB3">
      <w:pPr>
        <w:autoSpaceDE w:val="0"/>
        <w:autoSpaceDN w:val="0"/>
        <w:adjustRightInd w:val="0"/>
        <w:spacing w:line="240" w:lineRule="auto"/>
        <w:jc w:val="right"/>
        <w:rPr>
          <w:spacing w:val="-4"/>
          <w:sz w:val="20"/>
          <w:szCs w:val="20"/>
        </w:rPr>
      </w:pPr>
      <w:r w:rsidRPr="00265C60">
        <w:rPr>
          <w:spacing w:val="-4"/>
          <w:sz w:val="20"/>
          <w:szCs w:val="20"/>
        </w:rPr>
        <w:t>(млрд рублей)</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1171"/>
        <w:gridCol w:w="1171"/>
        <w:gridCol w:w="1171"/>
        <w:gridCol w:w="1171"/>
        <w:gridCol w:w="1171"/>
      </w:tblGrid>
      <w:tr w:rsidR="00B00935" w:rsidRPr="00265C60" w:rsidTr="009D32A7">
        <w:trPr>
          <w:trHeight w:val="227"/>
          <w:tblHeader/>
        </w:trPr>
        <w:tc>
          <w:tcPr>
            <w:tcW w:w="4068" w:type="dxa"/>
            <w:shd w:val="clear" w:color="auto" w:fill="auto"/>
            <w:noWrap/>
            <w:vAlign w:val="center"/>
            <w:hideMark/>
          </w:tcPr>
          <w:p w:rsidR="00B00935" w:rsidRPr="00265C60" w:rsidRDefault="00B00935" w:rsidP="00B00935">
            <w:pPr>
              <w:spacing w:line="240" w:lineRule="auto"/>
              <w:ind w:firstLine="0"/>
              <w:jc w:val="center"/>
              <w:rPr>
                <w:b/>
                <w:bCs/>
                <w:sz w:val="18"/>
                <w:szCs w:val="18"/>
              </w:rPr>
            </w:pPr>
            <w:r w:rsidRPr="00265C60">
              <w:rPr>
                <w:b/>
                <w:bCs/>
                <w:sz w:val="18"/>
                <w:szCs w:val="18"/>
              </w:rPr>
              <w:t>Наименование</w:t>
            </w:r>
          </w:p>
        </w:tc>
        <w:tc>
          <w:tcPr>
            <w:tcW w:w="1171" w:type="dxa"/>
            <w:shd w:val="clear" w:color="auto" w:fill="auto"/>
            <w:noWrap/>
            <w:vAlign w:val="center"/>
            <w:hideMark/>
          </w:tcPr>
          <w:p w:rsidR="00B00935" w:rsidRPr="00265C60" w:rsidRDefault="00B00935" w:rsidP="00B00935">
            <w:pPr>
              <w:spacing w:line="240" w:lineRule="auto"/>
              <w:ind w:firstLine="0"/>
              <w:jc w:val="center"/>
              <w:rPr>
                <w:b/>
                <w:bCs/>
                <w:sz w:val="18"/>
                <w:szCs w:val="18"/>
              </w:rPr>
            </w:pPr>
            <w:r w:rsidRPr="00265C60">
              <w:rPr>
                <w:b/>
                <w:bCs/>
                <w:sz w:val="18"/>
                <w:szCs w:val="18"/>
              </w:rPr>
              <w:t>2024 год отчет*</w:t>
            </w:r>
          </w:p>
        </w:tc>
        <w:tc>
          <w:tcPr>
            <w:tcW w:w="1171" w:type="dxa"/>
            <w:shd w:val="clear" w:color="auto" w:fill="auto"/>
            <w:noWrap/>
            <w:vAlign w:val="center"/>
            <w:hideMark/>
          </w:tcPr>
          <w:p w:rsidR="00B00935" w:rsidRPr="00265C60" w:rsidRDefault="00B00935" w:rsidP="00B00935">
            <w:pPr>
              <w:spacing w:line="240" w:lineRule="auto"/>
              <w:ind w:firstLine="0"/>
              <w:jc w:val="center"/>
              <w:rPr>
                <w:b/>
                <w:bCs/>
                <w:sz w:val="18"/>
                <w:szCs w:val="18"/>
              </w:rPr>
            </w:pPr>
            <w:r w:rsidRPr="00265C60">
              <w:rPr>
                <w:b/>
                <w:bCs/>
                <w:sz w:val="18"/>
                <w:szCs w:val="18"/>
              </w:rPr>
              <w:t>2025 год</w:t>
            </w:r>
          </w:p>
          <w:p w:rsidR="00B00935" w:rsidRPr="00265C60" w:rsidRDefault="00B00935" w:rsidP="00B00935">
            <w:pPr>
              <w:spacing w:line="240" w:lineRule="auto"/>
              <w:ind w:firstLine="0"/>
              <w:jc w:val="center"/>
              <w:rPr>
                <w:b/>
                <w:bCs/>
                <w:sz w:val="18"/>
                <w:szCs w:val="18"/>
              </w:rPr>
            </w:pPr>
            <w:r w:rsidRPr="00265C60">
              <w:rPr>
                <w:b/>
                <w:bCs/>
                <w:sz w:val="18"/>
                <w:szCs w:val="18"/>
              </w:rPr>
              <w:t>оценка*</w:t>
            </w:r>
          </w:p>
        </w:tc>
        <w:tc>
          <w:tcPr>
            <w:tcW w:w="1171" w:type="dxa"/>
            <w:shd w:val="clear" w:color="auto" w:fill="auto"/>
            <w:noWrap/>
            <w:vAlign w:val="center"/>
            <w:hideMark/>
          </w:tcPr>
          <w:p w:rsidR="00B00935" w:rsidRPr="00265C60" w:rsidRDefault="00B00935" w:rsidP="00B00935">
            <w:pPr>
              <w:spacing w:line="240" w:lineRule="auto"/>
              <w:ind w:firstLine="0"/>
              <w:jc w:val="center"/>
              <w:rPr>
                <w:b/>
                <w:bCs/>
                <w:sz w:val="18"/>
                <w:szCs w:val="18"/>
              </w:rPr>
            </w:pPr>
            <w:r w:rsidRPr="00265C60">
              <w:rPr>
                <w:b/>
                <w:bCs/>
                <w:sz w:val="18"/>
                <w:szCs w:val="18"/>
              </w:rPr>
              <w:t>2026 год</w:t>
            </w:r>
          </w:p>
          <w:p w:rsidR="00B00935" w:rsidRPr="00265C60" w:rsidRDefault="00B00935" w:rsidP="00B00935">
            <w:pPr>
              <w:spacing w:line="240" w:lineRule="auto"/>
              <w:ind w:firstLine="0"/>
              <w:jc w:val="center"/>
              <w:rPr>
                <w:b/>
                <w:bCs/>
                <w:sz w:val="18"/>
                <w:szCs w:val="18"/>
              </w:rPr>
            </w:pPr>
            <w:r w:rsidRPr="00265C60">
              <w:rPr>
                <w:b/>
                <w:bCs/>
                <w:sz w:val="18"/>
                <w:szCs w:val="18"/>
              </w:rPr>
              <w:t>прогноз*</w:t>
            </w:r>
          </w:p>
        </w:tc>
        <w:tc>
          <w:tcPr>
            <w:tcW w:w="1171" w:type="dxa"/>
            <w:shd w:val="clear" w:color="auto" w:fill="auto"/>
            <w:noWrap/>
            <w:vAlign w:val="center"/>
            <w:hideMark/>
          </w:tcPr>
          <w:p w:rsidR="00B00935" w:rsidRPr="00265C60" w:rsidRDefault="00B00935" w:rsidP="00B00935">
            <w:pPr>
              <w:spacing w:line="240" w:lineRule="auto"/>
              <w:ind w:firstLine="0"/>
              <w:jc w:val="center"/>
              <w:rPr>
                <w:b/>
                <w:bCs/>
                <w:sz w:val="18"/>
                <w:szCs w:val="18"/>
              </w:rPr>
            </w:pPr>
            <w:r w:rsidRPr="00265C60">
              <w:rPr>
                <w:b/>
                <w:bCs/>
                <w:sz w:val="18"/>
                <w:szCs w:val="18"/>
              </w:rPr>
              <w:t>2027 год</w:t>
            </w:r>
          </w:p>
          <w:p w:rsidR="00B00935" w:rsidRPr="00265C60" w:rsidRDefault="00B00935" w:rsidP="00B00935">
            <w:pPr>
              <w:spacing w:line="240" w:lineRule="auto"/>
              <w:ind w:firstLine="0"/>
              <w:jc w:val="center"/>
              <w:rPr>
                <w:b/>
                <w:bCs/>
                <w:sz w:val="18"/>
                <w:szCs w:val="18"/>
              </w:rPr>
            </w:pPr>
            <w:r w:rsidRPr="00265C60">
              <w:rPr>
                <w:b/>
                <w:bCs/>
                <w:sz w:val="18"/>
                <w:szCs w:val="18"/>
              </w:rPr>
              <w:t>прогноз*</w:t>
            </w:r>
          </w:p>
        </w:tc>
        <w:tc>
          <w:tcPr>
            <w:tcW w:w="1171" w:type="dxa"/>
            <w:shd w:val="clear" w:color="auto" w:fill="auto"/>
            <w:vAlign w:val="center"/>
            <w:hideMark/>
          </w:tcPr>
          <w:p w:rsidR="00B00935" w:rsidRPr="00265C60" w:rsidRDefault="00B00935" w:rsidP="00B00935">
            <w:pPr>
              <w:spacing w:line="240" w:lineRule="auto"/>
              <w:ind w:firstLine="0"/>
              <w:jc w:val="center"/>
              <w:rPr>
                <w:b/>
                <w:bCs/>
                <w:sz w:val="18"/>
                <w:szCs w:val="18"/>
              </w:rPr>
            </w:pPr>
            <w:r w:rsidRPr="00265C60">
              <w:rPr>
                <w:b/>
                <w:bCs/>
                <w:sz w:val="18"/>
                <w:szCs w:val="18"/>
              </w:rPr>
              <w:t>2028 год</w:t>
            </w:r>
          </w:p>
          <w:p w:rsidR="00B00935" w:rsidRPr="00265C60" w:rsidRDefault="00B00935" w:rsidP="00B00935">
            <w:pPr>
              <w:spacing w:line="240" w:lineRule="auto"/>
              <w:ind w:firstLine="0"/>
              <w:jc w:val="center"/>
              <w:rPr>
                <w:b/>
                <w:bCs/>
                <w:sz w:val="18"/>
                <w:szCs w:val="18"/>
              </w:rPr>
            </w:pPr>
            <w:r w:rsidRPr="00265C60">
              <w:rPr>
                <w:b/>
                <w:bCs/>
                <w:sz w:val="18"/>
                <w:szCs w:val="18"/>
              </w:rPr>
              <w:t>прогноз*</w:t>
            </w:r>
          </w:p>
        </w:tc>
      </w:tr>
      <w:tr w:rsidR="00B00935" w:rsidRPr="00265C60" w:rsidTr="009D32A7">
        <w:trPr>
          <w:trHeight w:val="283"/>
        </w:trPr>
        <w:tc>
          <w:tcPr>
            <w:tcW w:w="4068" w:type="dxa"/>
            <w:shd w:val="clear" w:color="auto" w:fill="auto"/>
            <w:noWrap/>
            <w:vAlign w:val="center"/>
            <w:hideMark/>
          </w:tcPr>
          <w:p w:rsidR="00B00935" w:rsidRPr="00265C60" w:rsidRDefault="00B00935" w:rsidP="00B00935">
            <w:pPr>
              <w:spacing w:line="240" w:lineRule="auto"/>
              <w:ind w:firstLine="0"/>
              <w:jc w:val="left"/>
              <w:rPr>
                <w:b/>
                <w:bCs/>
                <w:sz w:val="18"/>
                <w:szCs w:val="18"/>
              </w:rPr>
            </w:pPr>
            <w:r w:rsidRPr="00265C60">
              <w:rPr>
                <w:b/>
                <w:bCs/>
                <w:sz w:val="18"/>
                <w:szCs w:val="18"/>
              </w:rPr>
              <w:t>Доходы всего**</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b/>
                <w:bCs/>
                <w:sz w:val="16"/>
                <w:szCs w:val="16"/>
              </w:rPr>
            </w:pPr>
            <w:r w:rsidRPr="00265C60">
              <w:rPr>
                <w:b/>
                <w:bCs/>
                <w:sz w:val="16"/>
                <w:szCs w:val="16"/>
              </w:rPr>
              <w:t>20 453,4</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b/>
                <w:bCs/>
                <w:sz w:val="16"/>
                <w:szCs w:val="16"/>
              </w:rPr>
            </w:pPr>
            <w:r w:rsidRPr="00265C60">
              <w:rPr>
                <w:b/>
                <w:bCs/>
                <w:sz w:val="16"/>
                <w:szCs w:val="16"/>
              </w:rPr>
              <w:t>20 386,2</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b/>
                <w:bCs/>
                <w:sz w:val="16"/>
                <w:szCs w:val="16"/>
              </w:rPr>
            </w:pPr>
            <w:r w:rsidRPr="00265C60">
              <w:rPr>
                <w:b/>
                <w:bCs/>
                <w:sz w:val="16"/>
                <w:szCs w:val="16"/>
              </w:rPr>
              <w:t>23 481,0</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b/>
                <w:bCs/>
                <w:sz w:val="16"/>
                <w:szCs w:val="16"/>
              </w:rPr>
            </w:pPr>
            <w:r w:rsidRPr="00265C60">
              <w:rPr>
                <w:b/>
                <w:bCs/>
                <w:sz w:val="16"/>
                <w:szCs w:val="16"/>
              </w:rPr>
              <w:t>24 707,4</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b/>
                <w:bCs/>
                <w:sz w:val="16"/>
                <w:szCs w:val="16"/>
              </w:rPr>
            </w:pPr>
            <w:r w:rsidRPr="00265C60">
              <w:rPr>
                <w:b/>
                <w:bCs/>
                <w:sz w:val="16"/>
                <w:szCs w:val="16"/>
              </w:rPr>
              <w:t>26 264,9</w:t>
            </w:r>
          </w:p>
        </w:tc>
      </w:tr>
      <w:tr w:rsidR="00B00935" w:rsidRPr="00265C60" w:rsidTr="009D32A7">
        <w:trPr>
          <w:trHeight w:val="227"/>
        </w:trPr>
        <w:tc>
          <w:tcPr>
            <w:tcW w:w="4068" w:type="dxa"/>
            <w:shd w:val="clear" w:color="auto" w:fill="auto"/>
            <w:noWrap/>
            <w:vAlign w:val="bottom"/>
            <w:hideMark/>
          </w:tcPr>
          <w:p w:rsidR="00B00935" w:rsidRPr="00265C60" w:rsidRDefault="00B00935" w:rsidP="00B00935">
            <w:pPr>
              <w:spacing w:line="240" w:lineRule="auto"/>
              <w:ind w:firstLine="0"/>
              <w:jc w:val="left"/>
              <w:rPr>
                <w:i/>
                <w:iCs/>
                <w:sz w:val="18"/>
                <w:szCs w:val="18"/>
              </w:rPr>
            </w:pPr>
            <w:r w:rsidRPr="00265C60">
              <w:rPr>
                <w:i/>
                <w:iCs/>
                <w:sz w:val="18"/>
                <w:szCs w:val="18"/>
              </w:rPr>
              <w:t>% к ВВП</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10,2</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9,4</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10,0</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9,7</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9,5</w:t>
            </w:r>
          </w:p>
        </w:tc>
      </w:tr>
      <w:tr w:rsidR="00B00935" w:rsidRPr="00265C60" w:rsidTr="009D32A7">
        <w:trPr>
          <w:trHeight w:val="227"/>
        </w:trPr>
        <w:tc>
          <w:tcPr>
            <w:tcW w:w="4068" w:type="dxa"/>
            <w:shd w:val="clear" w:color="auto" w:fill="auto"/>
            <w:noWrap/>
            <w:vAlign w:val="bottom"/>
            <w:hideMark/>
          </w:tcPr>
          <w:p w:rsidR="00B00935" w:rsidRPr="00265C60" w:rsidRDefault="00B00935" w:rsidP="00B00935">
            <w:pPr>
              <w:spacing w:line="240" w:lineRule="auto"/>
              <w:ind w:firstLine="0"/>
              <w:jc w:val="left"/>
              <w:rPr>
                <w:sz w:val="18"/>
                <w:szCs w:val="18"/>
              </w:rPr>
            </w:pPr>
            <w:r w:rsidRPr="00265C60">
              <w:rPr>
                <w:sz w:val="18"/>
                <w:szCs w:val="18"/>
              </w:rPr>
              <w:t>в том числе:</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 </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 </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 </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 </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 </w:t>
            </w:r>
          </w:p>
        </w:tc>
      </w:tr>
      <w:tr w:rsidR="00B00935" w:rsidRPr="00265C60" w:rsidTr="009D32A7">
        <w:trPr>
          <w:trHeight w:val="283"/>
        </w:trPr>
        <w:tc>
          <w:tcPr>
            <w:tcW w:w="4068" w:type="dxa"/>
            <w:shd w:val="clear" w:color="auto" w:fill="auto"/>
            <w:vAlign w:val="center"/>
            <w:hideMark/>
          </w:tcPr>
          <w:p w:rsidR="00B00935" w:rsidRPr="00265C60" w:rsidRDefault="00B00935" w:rsidP="00B00935">
            <w:pPr>
              <w:spacing w:line="240" w:lineRule="auto"/>
              <w:ind w:firstLine="0"/>
              <w:jc w:val="left"/>
              <w:rPr>
                <w:sz w:val="18"/>
                <w:szCs w:val="18"/>
              </w:rPr>
            </w:pPr>
            <w:r w:rsidRPr="00265C60">
              <w:rPr>
                <w:sz w:val="18"/>
                <w:szCs w:val="18"/>
              </w:rPr>
              <w:t>собственные доходы</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14 140,2</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15 855,1</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17 903,7</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19 375,5</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20 826,9</w:t>
            </w:r>
          </w:p>
        </w:tc>
      </w:tr>
      <w:tr w:rsidR="00B00935" w:rsidRPr="00265C60" w:rsidTr="009D32A7">
        <w:trPr>
          <w:trHeight w:val="283"/>
        </w:trPr>
        <w:tc>
          <w:tcPr>
            <w:tcW w:w="4068" w:type="dxa"/>
            <w:shd w:val="clear" w:color="auto" w:fill="auto"/>
            <w:noWrap/>
            <w:vAlign w:val="center"/>
            <w:hideMark/>
          </w:tcPr>
          <w:p w:rsidR="00B00935" w:rsidRPr="00265C60" w:rsidRDefault="00B00935" w:rsidP="00B00935">
            <w:pPr>
              <w:spacing w:line="240" w:lineRule="auto"/>
              <w:ind w:firstLine="0"/>
              <w:jc w:val="left"/>
              <w:rPr>
                <w:sz w:val="18"/>
                <w:szCs w:val="18"/>
              </w:rPr>
            </w:pPr>
            <w:r w:rsidRPr="00265C60">
              <w:rPr>
                <w:sz w:val="18"/>
                <w:szCs w:val="18"/>
              </w:rPr>
              <w:t>межбюджетные трансферты</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6 480,1</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4 753,6</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5 799,7</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5 554,2</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5 660,3</w:t>
            </w:r>
          </w:p>
        </w:tc>
      </w:tr>
      <w:tr w:rsidR="00B00935" w:rsidRPr="00265C60" w:rsidTr="009D32A7">
        <w:trPr>
          <w:trHeight w:val="283"/>
        </w:trPr>
        <w:tc>
          <w:tcPr>
            <w:tcW w:w="4068" w:type="dxa"/>
            <w:shd w:val="clear" w:color="auto" w:fill="auto"/>
            <w:noWrap/>
            <w:vAlign w:val="center"/>
          </w:tcPr>
          <w:p w:rsidR="00B00935" w:rsidRPr="00265C60" w:rsidRDefault="00B00935" w:rsidP="00B00935">
            <w:pPr>
              <w:spacing w:line="240" w:lineRule="auto"/>
              <w:ind w:firstLine="0"/>
              <w:jc w:val="left"/>
              <w:rPr>
                <w:i/>
                <w:sz w:val="18"/>
                <w:szCs w:val="18"/>
              </w:rPr>
            </w:pPr>
            <w:r w:rsidRPr="00265C60">
              <w:rPr>
                <w:i/>
                <w:iCs/>
                <w:sz w:val="18"/>
                <w:szCs w:val="18"/>
              </w:rPr>
              <w:t>в  % к доходам  государственных внебюджетных фондов Российской Федерации</w:t>
            </w:r>
          </w:p>
        </w:tc>
        <w:tc>
          <w:tcPr>
            <w:tcW w:w="1171" w:type="dxa"/>
            <w:tcBorders>
              <w:top w:val="nil"/>
              <w:left w:val="single" w:sz="4" w:space="0" w:color="auto"/>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31,7</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23,3</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24,7</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22,5</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21,6</w:t>
            </w:r>
          </w:p>
        </w:tc>
      </w:tr>
      <w:tr w:rsidR="00B00935" w:rsidRPr="00265C60" w:rsidTr="009D32A7">
        <w:trPr>
          <w:trHeight w:val="227"/>
        </w:trPr>
        <w:tc>
          <w:tcPr>
            <w:tcW w:w="4068" w:type="dxa"/>
            <w:shd w:val="clear" w:color="auto" w:fill="auto"/>
            <w:vAlign w:val="bottom"/>
            <w:hideMark/>
          </w:tcPr>
          <w:p w:rsidR="00B00935" w:rsidRPr="00265C60" w:rsidRDefault="00B00935" w:rsidP="00B00935">
            <w:pPr>
              <w:spacing w:line="240" w:lineRule="auto"/>
              <w:ind w:right="-57" w:firstLine="0"/>
              <w:jc w:val="left"/>
              <w:rPr>
                <w:b/>
                <w:bCs/>
                <w:sz w:val="18"/>
                <w:szCs w:val="18"/>
              </w:rPr>
            </w:pPr>
            <w:r w:rsidRPr="00265C60">
              <w:rPr>
                <w:b/>
                <w:bCs/>
                <w:sz w:val="18"/>
                <w:szCs w:val="18"/>
              </w:rPr>
              <w:t>Доходы Фонда пенсионного и социального страхования Российской Федерации (СФР)**</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b/>
                <w:bCs/>
                <w:sz w:val="16"/>
                <w:szCs w:val="16"/>
              </w:rPr>
            </w:pPr>
            <w:r w:rsidRPr="00265C60">
              <w:rPr>
                <w:b/>
                <w:bCs/>
                <w:sz w:val="16"/>
                <w:szCs w:val="16"/>
              </w:rPr>
              <w:t>16 749,9</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b/>
                <w:bCs/>
                <w:sz w:val="16"/>
                <w:szCs w:val="16"/>
              </w:rPr>
            </w:pPr>
            <w:r w:rsidRPr="00265C60">
              <w:rPr>
                <w:b/>
                <w:bCs/>
                <w:sz w:val="16"/>
                <w:szCs w:val="16"/>
              </w:rPr>
              <w:t>16 221,6</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b/>
                <w:bCs/>
                <w:sz w:val="16"/>
                <w:szCs w:val="16"/>
              </w:rPr>
            </w:pPr>
            <w:r w:rsidRPr="00265C60">
              <w:rPr>
                <w:b/>
                <w:bCs/>
                <w:sz w:val="16"/>
                <w:szCs w:val="16"/>
              </w:rPr>
              <w:t>18 990,8</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b/>
                <w:bCs/>
                <w:sz w:val="16"/>
                <w:szCs w:val="16"/>
              </w:rPr>
            </w:pPr>
            <w:r w:rsidRPr="00265C60">
              <w:rPr>
                <w:b/>
                <w:bCs/>
                <w:sz w:val="16"/>
                <w:szCs w:val="16"/>
              </w:rPr>
              <w:t>19 868,2</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b/>
                <w:bCs/>
                <w:sz w:val="16"/>
                <w:szCs w:val="16"/>
              </w:rPr>
            </w:pPr>
            <w:r w:rsidRPr="00265C60">
              <w:rPr>
                <w:b/>
                <w:bCs/>
                <w:sz w:val="16"/>
                <w:szCs w:val="16"/>
              </w:rPr>
              <w:t>21 067,9</w:t>
            </w:r>
          </w:p>
        </w:tc>
      </w:tr>
      <w:tr w:rsidR="00B00935" w:rsidRPr="00265C60" w:rsidTr="009D32A7">
        <w:trPr>
          <w:trHeight w:val="227"/>
        </w:trPr>
        <w:tc>
          <w:tcPr>
            <w:tcW w:w="4068" w:type="dxa"/>
            <w:shd w:val="clear" w:color="auto" w:fill="auto"/>
            <w:vAlign w:val="bottom"/>
          </w:tcPr>
          <w:p w:rsidR="00B00935" w:rsidRPr="00265C60" w:rsidRDefault="00B00935" w:rsidP="00B00935">
            <w:pPr>
              <w:spacing w:line="240" w:lineRule="auto"/>
              <w:ind w:firstLine="0"/>
              <w:jc w:val="left"/>
              <w:rPr>
                <w:bCs/>
                <w:sz w:val="18"/>
                <w:szCs w:val="18"/>
              </w:rPr>
            </w:pPr>
            <w:r w:rsidRPr="00265C60">
              <w:rPr>
                <w:bCs/>
                <w:sz w:val="18"/>
                <w:szCs w:val="18"/>
              </w:rPr>
              <w:t>в том числе:</w:t>
            </w:r>
          </w:p>
        </w:tc>
        <w:tc>
          <w:tcPr>
            <w:tcW w:w="1171" w:type="dxa"/>
            <w:tcBorders>
              <w:top w:val="nil"/>
              <w:left w:val="single" w:sz="4" w:space="0" w:color="auto"/>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 </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 </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 </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 </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 </w:t>
            </w:r>
          </w:p>
        </w:tc>
      </w:tr>
      <w:tr w:rsidR="00B00935" w:rsidRPr="00265C60" w:rsidTr="009D32A7">
        <w:trPr>
          <w:trHeight w:val="283"/>
        </w:trPr>
        <w:tc>
          <w:tcPr>
            <w:tcW w:w="4068" w:type="dxa"/>
            <w:shd w:val="clear" w:color="auto" w:fill="auto"/>
            <w:vAlign w:val="center"/>
            <w:hideMark/>
          </w:tcPr>
          <w:p w:rsidR="00B00935" w:rsidRPr="00265C60" w:rsidRDefault="00B00935" w:rsidP="00B00935">
            <w:pPr>
              <w:spacing w:line="240" w:lineRule="auto"/>
              <w:ind w:firstLine="0"/>
              <w:jc w:val="left"/>
              <w:rPr>
                <w:sz w:val="18"/>
                <w:szCs w:val="18"/>
              </w:rPr>
            </w:pPr>
            <w:r w:rsidRPr="00265C60">
              <w:rPr>
                <w:sz w:val="18"/>
                <w:szCs w:val="18"/>
              </w:rPr>
              <w:t>собственные доходы</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10 756,4</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12 005,2</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13 672,5</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14 812,0</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15 927,5</w:t>
            </w:r>
          </w:p>
        </w:tc>
      </w:tr>
      <w:tr w:rsidR="00B00935" w:rsidRPr="00265C60" w:rsidTr="009D32A7">
        <w:trPr>
          <w:trHeight w:val="283"/>
        </w:trPr>
        <w:tc>
          <w:tcPr>
            <w:tcW w:w="4068" w:type="dxa"/>
            <w:shd w:val="clear" w:color="auto" w:fill="auto"/>
            <w:noWrap/>
            <w:vAlign w:val="center"/>
            <w:hideMark/>
          </w:tcPr>
          <w:p w:rsidR="00B00935" w:rsidRPr="00265C60" w:rsidRDefault="00B00935" w:rsidP="00B00935">
            <w:pPr>
              <w:spacing w:line="240" w:lineRule="auto"/>
              <w:ind w:firstLine="0"/>
              <w:jc w:val="left"/>
              <w:rPr>
                <w:sz w:val="18"/>
                <w:szCs w:val="18"/>
              </w:rPr>
            </w:pPr>
            <w:r w:rsidRPr="00265C60">
              <w:rPr>
                <w:sz w:val="18"/>
                <w:szCs w:val="18"/>
              </w:rPr>
              <w:t xml:space="preserve">межбюджетные трансферты </w:t>
            </w:r>
          </w:p>
        </w:tc>
        <w:tc>
          <w:tcPr>
            <w:tcW w:w="1171" w:type="dxa"/>
            <w:tcBorders>
              <w:top w:val="nil"/>
              <w:left w:val="single" w:sz="4" w:space="0" w:color="auto"/>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5 993,5</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4 216,3</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5 318,3</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5 056,2</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5 140,4</w:t>
            </w:r>
          </w:p>
        </w:tc>
      </w:tr>
      <w:tr w:rsidR="00B00935" w:rsidRPr="00265C60" w:rsidTr="009D32A7">
        <w:trPr>
          <w:trHeight w:val="227"/>
        </w:trPr>
        <w:tc>
          <w:tcPr>
            <w:tcW w:w="4068" w:type="dxa"/>
            <w:shd w:val="clear" w:color="auto" w:fill="auto"/>
            <w:noWrap/>
            <w:vAlign w:val="bottom"/>
            <w:hideMark/>
          </w:tcPr>
          <w:p w:rsidR="00B00935" w:rsidRPr="00265C60" w:rsidRDefault="00B00935" w:rsidP="00B00935">
            <w:pPr>
              <w:spacing w:line="240" w:lineRule="auto"/>
              <w:ind w:firstLine="0"/>
              <w:jc w:val="left"/>
              <w:rPr>
                <w:i/>
                <w:iCs/>
                <w:sz w:val="18"/>
                <w:szCs w:val="18"/>
              </w:rPr>
            </w:pPr>
            <w:r w:rsidRPr="00265C60">
              <w:rPr>
                <w:i/>
                <w:iCs/>
                <w:sz w:val="18"/>
                <w:szCs w:val="18"/>
              </w:rPr>
              <w:t>в % к доходам СФР</w:t>
            </w:r>
          </w:p>
        </w:tc>
        <w:tc>
          <w:tcPr>
            <w:tcW w:w="1171" w:type="dxa"/>
            <w:tcBorders>
              <w:top w:val="nil"/>
              <w:left w:val="single" w:sz="4" w:space="0" w:color="auto"/>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35,8</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26,0</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28,0</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25,4</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24,4</w:t>
            </w:r>
          </w:p>
        </w:tc>
      </w:tr>
      <w:tr w:rsidR="00B00935" w:rsidRPr="00265C60" w:rsidTr="009D32A7">
        <w:trPr>
          <w:trHeight w:val="227"/>
        </w:trPr>
        <w:tc>
          <w:tcPr>
            <w:tcW w:w="4068" w:type="dxa"/>
            <w:shd w:val="clear" w:color="auto" w:fill="auto"/>
            <w:vAlign w:val="bottom"/>
            <w:hideMark/>
          </w:tcPr>
          <w:p w:rsidR="00B00935" w:rsidRPr="00265C60" w:rsidRDefault="00B00935" w:rsidP="00B00935">
            <w:pPr>
              <w:spacing w:line="240" w:lineRule="auto"/>
              <w:ind w:firstLine="0"/>
              <w:jc w:val="left"/>
              <w:rPr>
                <w:b/>
                <w:bCs/>
                <w:sz w:val="18"/>
                <w:szCs w:val="18"/>
              </w:rPr>
            </w:pPr>
            <w:r w:rsidRPr="00265C60">
              <w:rPr>
                <w:b/>
                <w:bCs/>
                <w:sz w:val="18"/>
                <w:szCs w:val="18"/>
              </w:rPr>
              <w:t>Доходы Федерального фонда обязательного медицинского страхования (ФОМС)</w:t>
            </w:r>
          </w:p>
        </w:tc>
        <w:tc>
          <w:tcPr>
            <w:tcW w:w="1171" w:type="dxa"/>
            <w:tcBorders>
              <w:top w:val="nil"/>
              <w:left w:val="single" w:sz="4" w:space="0" w:color="auto"/>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b/>
                <w:bCs/>
                <w:sz w:val="16"/>
                <w:szCs w:val="16"/>
              </w:rPr>
            </w:pPr>
            <w:r w:rsidRPr="00265C60">
              <w:rPr>
                <w:b/>
                <w:bCs/>
                <w:sz w:val="16"/>
                <w:szCs w:val="16"/>
              </w:rPr>
              <w:t>3 870,4</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b/>
                <w:bCs/>
                <w:sz w:val="16"/>
                <w:szCs w:val="16"/>
              </w:rPr>
            </w:pPr>
            <w:r w:rsidRPr="00265C60">
              <w:rPr>
                <w:b/>
                <w:bCs/>
                <w:sz w:val="16"/>
                <w:szCs w:val="16"/>
              </w:rPr>
              <w:t>4 387,2</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b/>
                <w:bCs/>
                <w:sz w:val="16"/>
                <w:szCs w:val="16"/>
              </w:rPr>
            </w:pPr>
            <w:r w:rsidRPr="00265C60">
              <w:rPr>
                <w:b/>
                <w:bCs/>
                <w:sz w:val="16"/>
                <w:szCs w:val="16"/>
              </w:rPr>
              <w:t>4 712,6</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b/>
                <w:bCs/>
                <w:sz w:val="16"/>
                <w:szCs w:val="16"/>
              </w:rPr>
            </w:pPr>
            <w:r w:rsidRPr="00265C60">
              <w:rPr>
                <w:b/>
                <w:bCs/>
                <w:sz w:val="16"/>
                <w:szCs w:val="16"/>
              </w:rPr>
              <w:t>5 061,5</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b/>
                <w:bCs/>
                <w:sz w:val="16"/>
                <w:szCs w:val="16"/>
              </w:rPr>
            </w:pPr>
            <w:r w:rsidRPr="00265C60">
              <w:rPr>
                <w:b/>
                <w:bCs/>
                <w:sz w:val="16"/>
                <w:szCs w:val="16"/>
              </w:rPr>
              <w:t>5 419,3</w:t>
            </w:r>
          </w:p>
        </w:tc>
      </w:tr>
      <w:tr w:rsidR="00B00935" w:rsidRPr="00265C60" w:rsidTr="009D32A7">
        <w:trPr>
          <w:trHeight w:val="227"/>
        </w:trPr>
        <w:tc>
          <w:tcPr>
            <w:tcW w:w="4068" w:type="dxa"/>
            <w:shd w:val="clear" w:color="auto" w:fill="auto"/>
            <w:vAlign w:val="bottom"/>
          </w:tcPr>
          <w:p w:rsidR="00B00935" w:rsidRPr="00265C60" w:rsidRDefault="00B00935" w:rsidP="00B00935">
            <w:pPr>
              <w:spacing w:line="240" w:lineRule="auto"/>
              <w:ind w:firstLine="0"/>
              <w:jc w:val="left"/>
              <w:rPr>
                <w:bCs/>
                <w:sz w:val="18"/>
                <w:szCs w:val="18"/>
              </w:rPr>
            </w:pPr>
            <w:r w:rsidRPr="00265C60">
              <w:rPr>
                <w:bCs/>
                <w:sz w:val="18"/>
                <w:szCs w:val="18"/>
              </w:rPr>
              <w:t>в том числе:</w:t>
            </w:r>
          </w:p>
        </w:tc>
        <w:tc>
          <w:tcPr>
            <w:tcW w:w="1171" w:type="dxa"/>
            <w:tcBorders>
              <w:top w:val="nil"/>
              <w:left w:val="single" w:sz="4" w:space="0" w:color="auto"/>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 </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 </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 </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 </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 </w:t>
            </w:r>
          </w:p>
        </w:tc>
      </w:tr>
      <w:tr w:rsidR="00B00935" w:rsidRPr="00265C60" w:rsidTr="009D32A7">
        <w:trPr>
          <w:trHeight w:val="283"/>
        </w:trPr>
        <w:tc>
          <w:tcPr>
            <w:tcW w:w="4068" w:type="dxa"/>
            <w:shd w:val="clear" w:color="auto" w:fill="auto"/>
            <w:vAlign w:val="center"/>
            <w:hideMark/>
          </w:tcPr>
          <w:p w:rsidR="00B00935" w:rsidRPr="00265C60" w:rsidRDefault="00B00935" w:rsidP="00B00935">
            <w:pPr>
              <w:spacing w:line="240" w:lineRule="auto"/>
              <w:ind w:firstLine="0"/>
              <w:jc w:val="left"/>
              <w:rPr>
                <w:sz w:val="18"/>
                <w:szCs w:val="18"/>
              </w:rPr>
            </w:pPr>
            <w:r w:rsidRPr="00265C60">
              <w:rPr>
                <w:sz w:val="18"/>
                <w:szCs w:val="18"/>
              </w:rPr>
              <w:t>собственные доходы</w:t>
            </w:r>
          </w:p>
        </w:tc>
        <w:tc>
          <w:tcPr>
            <w:tcW w:w="1171" w:type="dxa"/>
            <w:tcBorders>
              <w:top w:val="nil"/>
              <w:left w:val="single" w:sz="4" w:space="0" w:color="auto"/>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3 383,8</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3 849,9</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4 231,2</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4 563,5</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4 899,4</w:t>
            </w:r>
          </w:p>
        </w:tc>
      </w:tr>
      <w:tr w:rsidR="00B00935" w:rsidRPr="00265C60" w:rsidTr="009D32A7">
        <w:trPr>
          <w:trHeight w:val="227"/>
        </w:trPr>
        <w:tc>
          <w:tcPr>
            <w:tcW w:w="4068" w:type="dxa"/>
            <w:shd w:val="clear" w:color="auto" w:fill="auto"/>
            <w:vAlign w:val="bottom"/>
            <w:hideMark/>
          </w:tcPr>
          <w:p w:rsidR="00B00935" w:rsidRPr="00265C60" w:rsidRDefault="00B00935" w:rsidP="00B00935">
            <w:pPr>
              <w:spacing w:line="240" w:lineRule="auto"/>
              <w:ind w:firstLine="0"/>
              <w:jc w:val="left"/>
              <w:rPr>
                <w:sz w:val="18"/>
                <w:szCs w:val="18"/>
              </w:rPr>
            </w:pPr>
            <w:r w:rsidRPr="00265C60">
              <w:rPr>
                <w:sz w:val="18"/>
                <w:szCs w:val="18"/>
              </w:rPr>
              <w:t>межбюджетные трансферты из федерального бюджета</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486,6</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537,3</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481,4</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498,0</w:t>
            </w:r>
          </w:p>
        </w:tc>
        <w:tc>
          <w:tcPr>
            <w:tcW w:w="1171" w:type="dxa"/>
            <w:tcBorders>
              <w:top w:val="nil"/>
              <w:left w:val="nil"/>
              <w:bottom w:val="single" w:sz="4" w:space="0" w:color="auto"/>
              <w:right w:val="single" w:sz="4" w:space="0" w:color="auto"/>
            </w:tcBorders>
            <w:shd w:val="clear" w:color="auto" w:fill="auto"/>
            <w:noWrap/>
            <w:vAlign w:val="center"/>
            <w:hideMark/>
          </w:tcPr>
          <w:p w:rsidR="00B00935" w:rsidRPr="00265C60" w:rsidRDefault="00B00935" w:rsidP="00B00935">
            <w:pPr>
              <w:spacing w:line="240" w:lineRule="auto"/>
              <w:ind w:firstLine="0"/>
              <w:jc w:val="center"/>
              <w:rPr>
                <w:sz w:val="16"/>
                <w:szCs w:val="16"/>
              </w:rPr>
            </w:pPr>
            <w:r w:rsidRPr="00265C60">
              <w:rPr>
                <w:sz w:val="16"/>
                <w:szCs w:val="16"/>
              </w:rPr>
              <w:t>519,9</w:t>
            </w:r>
          </w:p>
        </w:tc>
      </w:tr>
      <w:tr w:rsidR="00B00935" w:rsidRPr="00265C60" w:rsidTr="009D32A7">
        <w:trPr>
          <w:trHeight w:val="227"/>
        </w:trPr>
        <w:tc>
          <w:tcPr>
            <w:tcW w:w="4068" w:type="dxa"/>
            <w:shd w:val="clear" w:color="auto" w:fill="auto"/>
            <w:noWrap/>
            <w:vAlign w:val="bottom"/>
            <w:hideMark/>
          </w:tcPr>
          <w:p w:rsidR="00B00935" w:rsidRPr="00265C60" w:rsidRDefault="00B00935" w:rsidP="00B00935">
            <w:pPr>
              <w:spacing w:line="240" w:lineRule="auto"/>
              <w:ind w:firstLine="0"/>
              <w:jc w:val="left"/>
              <w:rPr>
                <w:i/>
                <w:iCs/>
                <w:sz w:val="18"/>
                <w:szCs w:val="18"/>
              </w:rPr>
            </w:pPr>
            <w:r w:rsidRPr="00265C60">
              <w:rPr>
                <w:i/>
                <w:iCs/>
                <w:sz w:val="18"/>
                <w:szCs w:val="18"/>
              </w:rPr>
              <w:t>в % к доходам ФОМС</w:t>
            </w:r>
          </w:p>
        </w:tc>
        <w:tc>
          <w:tcPr>
            <w:tcW w:w="1171" w:type="dxa"/>
            <w:tcBorders>
              <w:top w:val="nil"/>
              <w:left w:val="single" w:sz="4" w:space="0" w:color="auto"/>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12,6</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12,2</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10,2</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9,8</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9,6</w:t>
            </w:r>
          </w:p>
        </w:tc>
      </w:tr>
      <w:tr w:rsidR="00B00935" w:rsidRPr="00265C60" w:rsidTr="009D32A7">
        <w:trPr>
          <w:trHeight w:val="283"/>
        </w:trPr>
        <w:tc>
          <w:tcPr>
            <w:tcW w:w="4068" w:type="dxa"/>
            <w:shd w:val="clear" w:color="auto" w:fill="auto"/>
            <w:vAlign w:val="center"/>
            <w:hideMark/>
          </w:tcPr>
          <w:p w:rsidR="00B00935" w:rsidRPr="00265C60" w:rsidRDefault="00B00935" w:rsidP="00B00935">
            <w:pPr>
              <w:spacing w:line="240" w:lineRule="auto"/>
              <w:ind w:firstLine="0"/>
              <w:jc w:val="left"/>
              <w:rPr>
                <w:b/>
                <w:bCs/>
                <w:sz w:val="18"/>
                <w:szCs w:val="18"/>
              </w:rPr>
            </w:pPr>
            <w:r w:rsidRPr="00265C60">
              <w:rPr>
                <w:b/>
                <w:bCs/>
                <w:sz w:val="18"/>
                <w:szCs w:val="18"/>
              </w:rPr>
              <w:t>Расходы всего**</w:t>
            </w:r>
          </w:p>
        </w:tc>
        <w:tc>
          <w:tcPr>
            <w:tcW w:w="1171" w:type="dxa"/>
            <w:tcBorders>
              <w:top w:val="nil"/>
              <w:left w:val="single" w:sz="4" w:space="0" w:color="auto"/>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b/>
                <w:bCs/>
                <w:sz w:val="16"/>
                <w:szCs w:val="16"/>
              </w:rPr>
            </w:pPr>
            <w:r w:rsidRPr="00265C60">
              <w:rPr>
                <w:b/>
                <w:bCs/>
                <w:sz w:val="16"/>
                <w:szCs w:val="16"/>
              </w:rPr>
              <w:t>19 946,4</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b/>
                <w:bCs/>
                <w:sz w:val="16"/>
                <w:szCs w:val="16"/>
              </w:rPr>
            </w:pPr>
            <w:r w:rsidRPr="00265C60">
              <w:rPr>
                <w:b/>
                <w:bCs/>
                <w:sz w:val="16"/>
                <w:szCs w:val="16"/>
              </w:rPr>
              <w:t>21 254,9</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b/>
                <w:bCs/>
                <w:sz w:val="16"/>
                <w:szCs w:val="16"/>
              </w:rPr>
            </w:pPr>
            <w:r w:rsidRPr="00265C60">
              <w:rPr>
                <w:b/>
                <w:bCs/>
                <w:sz w:val="16"/>
                <w:szCs w:val="16"/>
              </w:rPr>
              <w:t>23 239,8</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b/>
                <w:bCs/>
                <w:sz w:val="16"/>
                <w:szCs w:val="16"/>
              </w:rPr>
            </w:pPr>
            <w:r w:rsidRPr="00265C60">
              <w:rPr>
                <w:b/>
                <w:bCs/>
                <w:sz w:val="16"/>
                <w:szCs w:val="16"/>
              </w:rPr>
              <w:t>24 554,1</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b/>
                <w:bCs/>
                <w:sz w:val="16"/>
                <w:szCs w:val="16"/>
              </w:rPr>
            </w:pPr>
            <w:r w:rsidRPr="00265C60">
              <w:rPr>
                <w:b/>
                <w:bCs/>
                <w:sz w:val="16"/>
                <w:szCs w:val="16"/>
              </w:rPr>
              <w:t>26 035,9</w:t>
            </w:r>
          </w:p>
        </w:tc>
      </w:tr>
      <w:tr w:rsidR="00B00935" w:rsidRPr="00265C60" w:rsidTr="009D32A7">
        <w:trPr>
          <w:trHeight w:val="227"/>
        </w:trPr>
        <w:tc>
          <w:tcPr>
            <w:tcW w:w="4068" w:type="dxa"/>
            <w:shd w:val="clear" w:color="auto" w:fill="auto"/>
            <w:noWrap/>
            <w:vAlign w:val="bottom"/>
            <w:hideMark/>
          </w:tcPr>
          <w:p w:rsidR="00B00935" w:rsidRPr="00265C60" w:rsidRDefault="00B00935" w:rsidP="00B00935">
            <w:pPr>
              <w:spacing w:line="240" w:lineRule="auto"/>
              <w:ind w:firstLine="0"/>
              <w:jc w:val="left"/>
              <w:rPr>
                <w:i/>
                <w:iCs/>
                <w:sz w:val="18"/>
                <w:szCs w:val="18"/>
              </w:rPr>
            </w:pPr>
            <w:r w:rsidRPr="00265C60">
              <w:rPr>
                <w:i/>
                <w:iCs/>
                <w:sz w:val="18"/>
                <w:szCs w:val="18"/>
              </w:rPr>
              <w:t>% к ВВП</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9,9</w:t>
            </w:r>
          </w:p>
        </w:tc>
        <w:tc>
          <w:tcPr>
            <w:tcW w:w="1171" w:type="dxa"/>
            <w:tcBorders>
              <w:top w:val="single" w:sz="4" w:space="0" w:color="auto"/>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9,8</w:t>
            </w:r>
          </w:p>
        </w:tc>
        <w:tc>
          <w:tcPr>
            <w:tcW w:w="1171" w:type="dxa"/>
            <w:tcBorders>
              <w:top w:val="single" w:sz="4" w:space="0" w:color="auto"/>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9,9</w:t>
            </w:r>
          </w:p>
        </w:tc>
        <w:tc>
          <w:tcPr>
            <w:tcW w:w="1171" w:type="dxa"/>
            <w:tcBorders>
              <w:top w:val="single" w:sz="4" w:space="0" w:color="auto"/>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9,6</w:t>
            </w:r>
          </w:p>
        </w:tc>
        <w:tc>
          <w:tcPr>
            <w:tcW w:w="1171" w:type="dxa"/>
            <w:tcBorders>
              <w:top w:val="single" w:sz="4" w:space="0" w:color="auto"/>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9,4</w:t>
            </w:r>
          </w:p>
        </w:tc>
      </w:tr>
      <w:tr w:rsidR="00B00935" w:rsidRPr="00265C60" w:rsidTr="009D32A7">
        <w:trPr>
          <w:trHeight w:val="227"/>
        </w:trPr>
        <w:tc>
          <w:tcPr>
            <w:tcW w:w="4068" w:type="dxa"/>
            <w:shd w:val="clear" w:color="auto" w:fill="auto"/>
            <w:vAlign w:val="bottom"/>
            <w:hideMark/>
          </w:tcPr>
          <w:p w:rsidR="00B00935" w:rsidRPr="00265C60" w:rsidRDefault="00B00935" w:rsidP="00B00935">
            <w:pPr>
              <w:spacing w:line="240" w:lineRule="auto"/>
              <w:ind w:firstLine="0"/>
              <w:jc w:val="left"/>
              <w:rPr>
                <w:sz w:val="18"/>
                <w:szCs w:val="18"/>
              </w:rPr>
            </w:pPr>
            <w:r w:rsidRPr="00265C60">
              <w:rPr>
                <w:sz w:val="18"/>
                <w:szCs w:val="18"/>
              </w:rPr>
              <w:t>Расходы Фонда пенсионного и социального страхования Российской Федерации</w:t>
            </w:r>
          </w:p>
        </w:tc>
        <w:tc>
          <w:tcPr>
            <w:tcW w:w="1171" w:type="dxa"/>
            <w:tcBorders>
              <w:top w:val="nil"/>
              <w:left w:val="single" w:sz="4" w:space="0" w:color="auto"/>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16 223,9</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17 001,3</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18 667,6</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19 635,2</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20 753,6</w:t>
            </w:r>
          </w:p>
        </w:tc>
      </w:tr>
      <w:tr w:rsidR="00B00935" w:rsidRPr="00265C60" w:rsidTr="009D32A7">
        <w:trPr>
          <w:trHeight w:val="227"/>
        </w:trPr>
        <w:tc>
          <w:tcPr>
            <w:tcW w:w="4068" w:type="dxa"/>
            <w:shd w:val="clear" w:color="auto" w:fill="auto"/>
            <w:vAlign w:val="bottom"/>
            <w:hideMark/>
          </w:tcPr>
          <w:p w:rsidR="00B00935" w:rsidRPr="00265C60" w:rsidRDefault="00B00935" w:rsidP="00B00935">
            <w:pPr>
              <w:spacing w:line="240" w:lineRule="auto"/>
              <w:ind w:firstLine="0"/>
              <w:jc w:val="left"/>
              <w:rPr>
                <w:sz w:val="18"/>
                <w:szCs w:val="18"/>
              </w:rPr>
            </w:pPr>
            <w:r w:rsidRPr="00265C60">
              <w:rPr>
                <w:sz w:val="18"/>
                <w:szCs w:val="18"/>
              </w:rPr>
              <w:t xml:space="preserve">Расходы Федерального фонда обязательного медицинского страхования </w:t>
            </w:r>
          </w:p>
        </w:tc>
        <w:tc>
          <w:tcPr>
            <w:tcW w:w="1171" w:type="dxa"/>
            <w:tcBorders>
              <w:top w:val="nil"/>
              <w:left w:val="single" w:sz="4" w:space="0" w:color="auto"/>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3 889,4</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4 476,2</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4 794,6</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5 141,2</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5 504,6</w:t>
            </w:r>
          </w:p>
        </w:tc>
      </w:tr>
      <w:tr w:rsidR="00B00935" w:rsidRPr="00265C60" w:rsidTr="009D32A7">
        <w:trPr>
          <w:trHeight w:val="283"/>
        </w:trPr>
        <w:tc>
          <w:tcPr>
            <w:tcW w:w="4068" w:type="dxa"/>
            <w:shd w:val="clear" w:color="auto" w:fill="auto"/>
            <w:vAlign w:val="center"/>
            <w:hideMark/>
          </w:tcPr>
          <w:p w:rsidR="00B00935" w:rsidRPr="00265C60" w:rsidRDefault="00B00935" w:rsidP="00B00935">
            <w:pPr>
              <w:spacing w:line="240" w:lineRule="auto"/>
              <w:ind w:firstLine="0"/>
              <w:jc w:val="left"/>
              <w:rPr>
                <w:b/>
                <w:bCs/>
                <w:sz w:val="18"/>
                <w:szCs w:val="18"/>
              </w:rPr>
            </w:pPr>
            <w:r w:rsidRPr="00265C60">
              <w:rPr>
                <w:b/>
                <w:bCs/>
                <w:sz w:val="18"/>
                <w:szCs w:val="18"/>
              </w:rPr>
              <w:t>Дефицит (-) / профицит (+)</w:t>
            </w:r>
          </w:p>
        </w:tc>
        <w:tc>
          <w:tcPr>
            <w:tcW w:w="1171" w:type="dxa"/>
            <w:tcBorders>
              <w:top w:val="nil"/>
              <w:left w:val="single" w:sz="4" w:space="0" w:color="auto"/>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b/>
                <w:bCs/>
                <w:sz w:val="16"/>
                <w:szCs w:val="16"/>
              </w:rPr>
            </w:pPr>
            <w:r w:rsidRPr="00265C60">
              <w:rPr>
                <w:b/>
                <w:bCs/>
                <w:sz w:val="16"/>
                <w:szCs w:val="16"/>
              </w:rPr>
              <w:t>507,0</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b/>
                <w:bCs/>
                <w:sz w:val="16"/>
                <w:szCs w:val="16"/>
              </w:rPr>
            </w:pPr>
            <w:r w:rsidRPr="00265C60">
              <w:rPr>
                <w:b/>
                <w:bCs/>
                <w:sz w:val="16"/>
                <w:szCs w:val="16"/>
              </w:rPr>
              <w:t>-868,8</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b/>
                <w:bCs/>
                <w:sz w:val="16"/>
                <w:szCs w:val="16"/>
              </w:rPr>
            </w:pPr>
            <w:r w:rsidRPr="00265C60">
              <w:rPr>
                <w:b/>
                <w:bCs/>
                <w:sz w:val="16"/>
                <w:szCs w:val="16"/>
              </w:rPr>
              <w:t>241,2</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b/>
                <w:bCs/>
                <w:sz w:val="16"/>
                <w:szCs w:val="16"/>
              </w:rPr>
            </w:pPr>
            <w:r w:rsidRPr="00265C60">
              <w:rPr>
                <w:b/>
                <w:bCs/>
                <w:sz w:val="16"/>
                <w:szCs w:val="16"/>
              </w:rPr>
              <w:t>153,3</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b/>
                <w:bCs/>
                <w:sz w:val="16"/>
                <w:szCs w:val="16"/>
              </w:rPr>
            </w:pPr>
            <w:r w:rsidRPr="00265C60">
              <w:rPr>
                <w:b/>
                <w:bCs/>
                <w:sz w:val="16"/>
                <w:szCs w:val="16"/>
              </w:rPr>
              <w:t>229,1</w:t>
            </w:r>
          </w:p>
        </w:tc>
      </w:tr>
      <w:tr w:rsidR="00B00935" w:rsidRPr="00265C60" w:rsidTr="009D32A7">
        <w:trPr>
          <w:trHeight w:val="283"/>
        </w:trPr>
        <w:tc>
          <w:tcPr>
            <w:tcW w:w="4068" w:type="dxa"/>
            <w:shd w:val="clear" w:color="auto" w:fill="auto"/>
            <w:vAlign w:val="center"/>
          </w:tcPr>
          <w:p w:rsidR="00B00935" w:rsidRPr="00265C60" w:rsidRDefault="00B00935" w:rsidP="00B00935">
            <w:pPr>
              <w:spacing w:line="240" w:lineRule="auto"/>
              <w:ind w:firstLine="0"/>
              <w:jc w:val="left"/>
              <w:rPr>
                <w:bCs/>
                <w:i/>
                <w:sz w:val="18"/>
                <w:szCs w:val="18"/>
              </w:rPr>
            </w:pPr>
            <w:r w:rsidRPr="00265C60">
              <w:rPr>
                <w:bCs/>
                <w:i/>
                <w:sz w:val="18"/>
                <w:szCs w:val="18"/>
              </w:rPr>
              <w:t>в % ВВП</w:t>
            </w:r>
          </w:p>
        </w:tc>
        <w:tc>
          <w:tcPr>
            <w:tcW w:w="1171" w:type="dxa"/>
            <w:tcBorders>
              <w:top w:val="nil"/>
              <w:left w:val="single" w:sz="4" w:space="0" w:color="auto"/>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0,3</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-0,4</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0,1</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0,1</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0,1</w:t>
            </w:r>
          </w:p>
        </w:tc>
      </w:tr>
      <w:tr w:rsidR="00B00935" w:rsidRPr="00265C60" w:rsidTr="009D32A7">
        <w:trPr>
          <w:trHeight w:val="227"/>
        </w:trPr>
        <w:tc>
          <w:tcPr>
            <w:tcW w:w="4068" w:type="dxa"/>
            <w:tcBorders>
              <w:bottom w:val="single" w:sz="4" w:space="0" w:color="auto"/>
            </w:tcBorders>
            <w:shd w:val="clear" w:color="auto" w:fill="auto"/>
            <w:vAlign w:val="bottom"/>
            <w:hideMark/>
          </w:tcPr>
          <w:p w:rsidR="00B00935" w:rsidRPr="00265C60" w:rsidRDefault="00B00935" w:rsidP="00B00935">
            <w:pPr>
              <w:spacing w:line="240" w:lineRule="auto"/>
              <w:ind w:firstLine="0"/>
              <w:jc w:val="left"/>
              <w:rPr>
                <w:sz w:val="18"/>
                <w:szCs w:val="18"/>
              </w:rPr>
            </w:pPr>
            <w:r w:rsidRPr="00265C60">
              <w:rPr>
                <w:sz w:val="18"/>
                <w:szCs w:val="18"/>
              </w:rPr>
              <w:t xml:space="preserve">Дефицит (-) / профицит (+) </w:t>
            </w:r>
          </w:p>
          <w:p w:rsidR="00B00935" w:rsidRPr="00265C60" w:rsidRDefault="00B00935" w:rsidP="00B00935">
            <w:pPr>
              <w:spacing w:line="240" w:lineRule="auto"/>
              <w:ind w:firstLine="0"/>
              <w:jc w:val="left"/>
              <w:rPr>
                <w:sz w:val="18"/>
                <w:szCs w:val="18"/>
              </w:rPr>
            </w:pPr>
            <w:r w:rsidRPr="00265C60">
              <w:rPr>
                <w:sz w:val="18"/>
                <w:szCs w:val="18"/>
              </w:rPr>
              <w:t>Фонда пенсионного и социального страхования Российской Федерации</w:t>
            </w:r>
          </w:p>
        </w:tc>
        <w:tc>
          <w:tcPr>
            <w:tcW w:w="1171" w:type="dxa"/>
            <w:tcBorders>
              <w:top w:val="nil"/>
              <w:left w:val="single" w:sz="4" w:space="0" w:color="auto"/>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526,0</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-779,8</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323,2</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233,0</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314,3</w:t>
            </w:r>
          </w:p>
        </w:tc>
      </w:tr>
      <w:tr w:rsidR="00B00935" w:rsidRPr="00265C60" w:rsidTr="009D32A7">
        <w:trPr>
          <w:trHeight w:val="227"/>
        </w:trPr>
        <w:tc>
          <w:tcPr>
            <w:tcW w:w="40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935" w:rsidRPr="00265C60" w:rsidRDefault="00B00935" w:rsidP="00B00935">
            <w:pPr>
              <w:spacing w:line="240" w:lineRule="auto"/>
              <w:ind w:firstLine="0"/>
              <w:jc w:val="left"/>
              <w:rPr>
                <w:sz w:val="18"/>
                <w:szCs w:val="18"/>
              </w:rPr>
            </w:pPr>
            <w:r w:rsidRPr="00265C60">
              <w:rPr>
                <w:sz w:val="18"/>
                <w:szCs w:val="18"/>
              </w:rPr>
              <w:t xml:space="preserve">Дефицит (-) / профицит (+) Федерального фонда обязательного медицинского страхования </w:t>
            </w:r>
          </w:p>
        </w:tc>
        <w:tc>
          <w:tcPr>
            <w:tcW w:w="1171" w:type="dxa"/>
            <w:tcBorders>
              <w:top w:val="nil"/>
              <w:left w:val="single" w:sz="4" w:space="0" w:color="auto"/>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-19,0</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-89,0</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-82,0</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-79,7</w:t>
            </w:r>
          </w:p>
        </w:tc>
        <w:tc>
          <w:tcPr>
            <w:tcW w:w="1171" w:type="dxa"/>
            <w:tcBorders>
              <w:top w:val="nil"/>
              <w:left w:val="nil"/>
              <w:bottom w:val="single" w:sz="4" w:space="0" w:color="auto"/>
              <w:right w:val="single" w:sz="4" w:space="0" w:color="auto"/>
            </w:tcBorders>
            <w:shd w:val="clear" w:color="auto" w:fill="auto"/>
            <w:noWrap/>
            <w:vAlign w:val="center"/>
          </w:tcPr>
          <w:p w:rsidR="00B00935" w:rsidRPr="00265C60" w:rsidRDefault="00B00935" w:rsidP="00B00935">
            <w:pPr>
              <w:spacing w:line="240" w:lineRule="auto"/>
              <w:ind w:firstLine="0"/>
              <w:jc w:val="center"/>
              <w:rPr>
                <w:sz w:val="16"/>
                <w:szCs w:val="16"/>
              </w:rPr>
            </w:pPr>
            <w:r w:rsidRPr="00265C60">
              <w:rPr>
                <w:sz w:val="16"/>
                <w:szCs w:val="16"/>
              </w:rPr>
              <w:t>-85,2</w:t>
            </w:r>
          </w:p>
        </w:tc>
      </w:tr>
    </w:tbl>
    <w:p w:rsidR="00B00935" w:rsidRPr="00265C60" w:rsidRDefault="00B00935" w:rsidP="00B00935">
      <w:pPr>
        <w:tabs>
          <w:tab w:val="left" w:pos="9355"/>
        </w:tabs>
        <w:spacing w:line="240" w:lineRule="auto"/>
        <w:ind w:firstLine="426"/>
        <w:rPr>
          <w:sz w:val="16"/>
        </w:rPr>
      </w:pPr>
      <w:r w:rsidRPr="00265C60">
        <w:rPr>
          <w:sz w:val="14"/>
          <w:szCs w:val="16"/>
        </w:rPr>
        <w:t xml:space="preserve">* </w:t>
      </w:r>
      <w:r w:rsidRPr="00265C60">
        <w:rPr>
          <w:sz w:val="16"/>
          <w:szCs w:val="16"/>
        </w:rPr>
        <w:t>В соответствии с материалами, представленными одновременно с проектом федерального закона «О федеральном бюджете на 2025 год и на плановый период 2026 и 2027 годов».</w:t>
      </w:r>
      <w:r w:rsidRPr="00265C60">
        <w:rPr>
          <w:sz w:val="16"/>
        </w:rPr>
        <w:t xml:space="preserve">  </w:t>
      </w:r>
    </w:p>
    <w:p w:rsidR="00B00935" w:rsidRPr="00265C60" w:rsidRDefault="00B00935" w:rsidP="00B00935">
      <w:pPr>
        <w:tabs>
          <w:tab w:val="left" w:pos="9355"/>
        </w:tabs>
        <w:spacing w:line="240" w:lineRule="auto"/>
        <w:ind w:firstLine="426"/>
        <w:rPr>
          <w:sz w:val="14"/>
          <w:szCs w:val="16"/>
        </w:rPr>
      </w:pPr>
      <w:r w:rsidRPr="00265C60">
        <w:rPr>
          <w:sz w:val="16"/>
        </w:rPr>
        <w:t>** Без учета накопительной составляющей пенсионной системы.</w:t>
      </w:r>
    </w:p>
    <w:p w:rsidR="003746C4" w:rsidRDefault="00563741" w:rsidP="00563741">
      <w:pPr>
        <w:tabs>
          <w:tab w:val="left" w:pos="9355"/>
        </w:tabs>
        <w:spacing w:before="120"/>
      </w:pPr>
      <w:r w:rsidRPr="00265C60">
        <w:t xml:space="preserve">Анализ основных показателей бюджетов государственных внебюджетных фондов </w:t>
      </w:r>
      <w:r w:rsidRPr="00265C60">
        <w:rPr>
          <w:b/>
        </w:rPr>
        <w:t>свидетельствует о</w:t>
      </w:r>
      <w:r w:rsidRPr="00265C60">
        <w:t xml:space="preserve"> </w:t>
      </w:r>
      <w:r w:rsidRPr="00265C60">
        <w:rPr>
          <w:b/>
        </w:rPr>
        <w:t>росте</w:t>
      </w:r>
      <w:r w:rsidRPr="00265C60">
        <w:t xml:space="preserve"> </w:t>
      </w:r>
      <w:r w:rsidRPr="00265C60">
        <w:rPr>
          <w:b/>
        </w:rPr>
        <w:t>в прогнозируемом периоде доходов и расходов в номинальном выражении.</w:t>
      </w:r>
      <w:r w:rsidRPr="00265C60">
        <w:t xml:space="preserve"> </w:t>
      </w:r>
    </w:p>
    <w:p w:rsidR="00563741" w:rsidRPr="00265C60" w:rsidRDefault="00563741" w:rsidP="00563741">
      <w:pPr>
        <w:tabs>
          <w:tab w:val="left" w:pos="9355"/>
        </w:tabs>
        <w:spacing w:before="120"/>
      </w:pPr>
      <w:r w:rsidRPr="00265C60">
        <w:t xml:space="preserve">В 2026 году </w:t>
      </w:r>
      <w:r w:rsidRPr="00F036CB">
        <w:rPr>
          <w:b/>
        </w:rPr>
        <w:t>доля доходов</w:t>
      </w:r>
      <w:r w:rsidRPr="00265C60">
        <w:t xml:space="preserve"> государственных внебюджетных фондов в ВВП увеличивается по сравнению с оценкой 2025 года </w:t>
      </w:r>
      <w:r w:rsidR="003746C4">
        <w:t>(</w:t>
      </w:r>
      <w:r w:rsidRPr="00265C60">
        <w:t xml:space="preserve">с 9,4 % ВВП </w:t>
      </w:r>
      <w:r w:rsidR="003746C4">
        <w:t xml:space="preserve">в 2025 году </w:t>
      </w:r>
      <w:r w:rsidRPr="00265C60">
        <w:t>до 10 % ВВП</w:t>
      </w:r>
      <w:r w:rsidR="003746C4">
        <w:t xml:space="preserve"> в</w:t>
      </w:r>
      <w:r w:rsidR="001F7FB3">
        <w:t> </w:t>
      </w:r>
      <w:r w:rsidR="003746C4">
        <w:t>2026 году)</w:t>
      </w:r>
      <w:r w:rsidRPr="00265C60">
        <w:t xml:space="preserve">, </w:t>
      </w:r>
      <w:r w:rsidR="00F036CB">
        <w:t xml:space="preserve">в 2027‒2028 годах планируется снижение показателя до 9,7 % ВВП и </w:t>
      </w:r>
      <w:r w:rsidRPr="00265C60">
        <w:t>9,5 %</w:t>
      </w:r>
      <w:r w:rsidR="00F036CB">
        <w:t xml:space="preserve"> ВВП соответственно.</w:t>
      </w:r>
      <w:r w:rsidRPr="00265C60">
        <w:t xml:space="preserve"> </w:t>
      </w:r>
      <w:r w:rsidR="00F036CB" w:rsidRPr="00F036CB">
        <w:rPr>
          <w:b/>
        </w:rPr>
        <w:t>Д</w:t>
      </w:r>
      <w:r w:rsidRPr="00F036CB">
        <w:rPr>
          <w:b/>
        </w:rPr>
        <w:t>оля расходов</w:t>
      </w:r>
      <w:r w:rsidR="00F036CB">
        <w:t xml:space="preserve"> в ВВП </w:t>
      </w:r>
      <w:r w:rsidRPr="00265C60">
        <w:t>незначительно увеличивается в 2026 году по</w:t>
      </w:r>
      <w:r w:rsidR="001F7FB3">
        <w:t> </w:t>
      </w:r>
      <w:r w:rsidRPr="00265C60">
        <w:t>сравнению с оценкой 2025 года с 9,8 % ВВП до 9,9 % ВВП с последующим снижением до</w:t>
      </w:r>
      <w:r w:rsidR="001F7FB3">
        <w:t> </w:t>
      </w:r>
      <w:r w:rsidRPr="00265C60">
        <w:t xml:space="preserve">9,4 % ВВП в 2028 году. </w:t>
      </w:r>
    </w:p>
    <w:p w:rsidR="00563741" w:rsidRPr="00265C60" w:rsidRDefault="00563741" w:rsidP="00563741">
      <w:pPr>
        <w:tabs>
          <w:tab w:val="left" w:pos="426"/>
        </w:tabs>
        <w:overflowPunct w:val="0"/>
        <w:autoSpaceDE w:val="0"/>
        <w:autoSpaceDN w:val="0"/>
        <w:adjustRightInd w:val="0"/>
        <w:textAlignment w:val="baseline"/>
      </w:pPr>
      <w:r w:rsidRPr="00265C60">
        <w:rPr>
          <w:b/>
        </w:rPr>
        <w:t xml:space="preserve">Доля межбюджетных трансфертов </w:t>
      </w:r>
      <w:r w:rsidRPr="00265C60">
        <w:t>в доходах бюджетов государственных внебюджетных фондов в 2026 году увеличивается по сравнению с оценкой 2025 года, при</w:t>
      </w:r>
      <w:r w:rsidR="001F7FB3">
        <w:t> </w:t>
      </w:r>
      <w:r w:rsidRPr="00265C60">
        <w:t>этом в 2027 и 2028 годах снижается по сравнению с предыдущим годом.</w:t>
      </w:r>
    </w:p>
    <w:p w:rsidR="00E70DF9" w:rsidRPr="00265C60" w:rsidRDefault="00563741" w:rsidP="00E70DF9">
      <w:pPr>
        <w:autoSpaceDE w:val="0"/>
        <w:autoSpaceDN w:val="0"/>
        <w:adjustRightInd w:val="0"/>
        <w:rPr>
          <w:b/>
        </w:rPr>
      </w:pPr>
      <w:r w:rsidRPr="00265C60">
        <w:t>Бюджет СФР на 2026–2028 годы сформирован с профицитом, бюджет ФОМС – с</w:t>
      </w:r>
      <w:r w:rsidR="001F7FB3">
        <w:t> </w:t>
      </w:r>
      <w:r w:rsidRPr="00265C60">
        <w:t xml:space="preserve">дефицитом. </w:t>
      </w:r>
      <w:r w:rsidR="00E70DF9" w:rsidRPr="00265C60">
        <w:rPr>
          <w:b/>
        </w:rPr>
        <w:t>Источниками финансирования дефицита бюджета ФОМС</w:t>
      </w:r>
      <w:r w:rsidR="001F7FB3">
        <w:rPr>
          <w:b/>
        </w:rPr>
        <w:br/>
      </w:r>
      <w:r w:rsidR="00E70DF9" w:rsidRPr="00265C60">
        <w:t>на 202</w:t>
      </w:r>
      <w:r w:rsidR="003255E5" w:rsidRPr="00265C60">
        <w:t>6</w:t>
      </w:r>
      <w:r w:rsidR="00E70DF9" w:rsidRPr="00265C60">
        <w:t>–202</w:t>
      </w:r>
      <w:r w:rsidR="003255E5" w:rsidRPr="00265C60">
        <w:t>8</w:t>
      </w:r>
      <w:r w:rsidR="001F7FB3">
        <w:t> </w:t>
      </w:r>
      <w:r w:rsidR="00E70DF9" w:rsidRPr="00265C60">
        <w:t xml:space="preserve">годы будут являться переходящие остатки средств </w:t>
      </w:r>
      <w:r w:rsidR="003255E5" w:rsidRPr="00265C60">
        <w:t>бюджета</w:t>
      </w:r>
      <w:r w:rsidR="00E70DF9" w:rsidRPr="00265C60">
        <w:t>.</w:t>
      </w:r>
      <w:r w:rsidR="00E70DF9" w:rsidRPr="00265C60">
        <w:rPr>
          <w:b/>
        </w:rPr>
        <w:t xml:space="preserve"> </w:t>
      </w:r>
    </w:p>
    <w:p w:rsidR="00E70DF9" w:rsidRPr="00265C60" w:rsidRDefault="00E70DF9" w:rsidP="00E70DF9">
      <w:pPr>
        <w:autoSpaceDE w:val="0"/>
        <w:autoSpaceDN w:val="0"/>
        <w:adjustRightInd w:val="0"/>
      </w:pPr>
      <w:r w:rsidRPr="00265C60">
        <w:rPr>
          <w:szCs w:val="28"/>
        </w:rPr>
        <w:t>Трансферт из федерального бюджета</w:t>
      </w:r>
      <w:r w:rsidRPr="00265C60">
        <w:rPr>
          <w:b/>
          <w:szCs w:val="28"/>
        </w:rPr>
        <w:t xml:space="preserve"> на </w:t>
      </w:r>
      <w:r w:rsidRPr="00265C60">
        <w:rPr>
          <w:b/>
        </w:rPr>
        <w:t>компенсацию выпадающих доходов бюджета ФОМС</w:t>
      </w:r>
      <w:r w:rsidRPr="00265C60">
        <w:t xml:space="preserve"> в связи с установлением пониженных тарифов страховых взносов в</w:t>
      </w:r>
      <w:r w:rsidR="001F7FB3">
        <w:t> </w:t>
      </w:r>
      <w:r w:rsidRPr="00265C60">
        <w:t>202</w:t>
      </w:r>
      <w:r w:rsidR="00B7165E" w:rsidRPr="00265C60">
        <w:t>6</w:t>
      </w:r>
      <w:r w:rsidR="001F7FB3">
        <w:t> </w:t>
      </w:r>
      <w:r w:rsidRPr="00265C60">
        <w:t xml:space="preserve">году составит </w:t>
      </w:r>
      <w:r w:rsidR="00B7165E" w:rsidRPr="00265C60">
        <w:t>175,4</w:t>
      </w:r>
      <w:r w:rsidRPr="00265C60">
        <w:t xml:space="preserve"> млрд рублей, в 202</w:t>
      </w:r>
      <w:r w:rsidR="00B7165E" w:rsidRPr="00265C60">
        <w:t>7</w:t>
      </w:r>
      <w:r w:rsidRPr="00265C60">
        <w:t xml:space="preserve"> году – </w:t>
      </w:r>
      <w:r w:rsidR="00B7165E" w:rsidRPr="00265C60">
        <w:t>183,7</w:t>
      </w:r>
      <w:r w:rsidRPr="00265C60">
        <w:t xml:space="preserve"> млрд рублей, в 202</w:t>
      </w:r>
      <w:r w:rsidR="00B7165E" w:rsidRPr="00265C60">
        <w:t>8</w:t>
      </w:r>
      <w:r w:rsidRPr="00265C60">
        <w:t xml:space="preserve"> году – </w:t>
      </w:r>
      <w:r w:rsidR="00B7165E" w:rsidRPr="00265C60">
        <w:t>197,6</w:t>
      </w:r>
      <w:r w:rsidRPr="00265C60">
        <w:t> млрд рублей.</w:t>
      </w:r>
    </w:p>
    <w:p w:rsidR="00E70DF9" w:rsidRDefault="00E70DF9" w:rsidP="00E70DF9">
      <w:pPr>
        <w:tabs>
          <w:tab w:val="left" w:pos="9355"/>
        </w:tabs>
      </w:pPr>
      <w:r w:rsidRPr="00265C60">
        <w:t>Информация о межбюджетных трансфертах из бюджетов государственных внебюджетных фондов другим бюджетам бюджетной системы Российской Федерации приведена в следующей таблице.</w:t>
      </w:r>
    </w:p>
    <w:p w:rsidR="00E70DF9" w:rsidRPr="00265C60" w:rsidRDefault="00E70DF9" w:rsidP="00E70DF9">
      <w:pPr>
        <w:widowControl w:val="0"/>
        <w:overflowPunct w:val="0"/>
        <w:autoSpaceDE w:val="0"/>
        <w:autoSpaceDN w:val="0"/>
        <w:adjustRightInd w:val="0"/>
        <w:spacing w:line="240" w:lineRule="auto"/>
        <w:jc w:val="right"/>
        <w:textAlignment w:val="baseline"/>
        <w:rPr>
          <w:sz w:val="18"/>
          <w:szCs w:val="18"/>
        </w:rPr>
      </w:pPr>
      <w:r w:rsidRPr="00265C60">
        <w:rPr>
          <w:sz w:val="18"/>
          <w:szCs w:val="18"/>
        </w:rPr>
        <w:t>(млрд рублей)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992"/>
        <w:gridCol w:w="1134"/>
        <w:gridCol w:w="1134"/>
      </w:tblGrid>
      <w:tr w:rsidR="00684E9C" w:rsidRPr="00265C60" w:rsidTr="00E70DF9">
        <w:trPr>
          <w:trHeight w:val="283"/>
          <w:tblHeader/>
        </w:trPr>
        <w:tc>
          <w:tcPr>
            <w:tcW w:w="6487" w:type="dxa"/>
            <w:noWrap/>
            <w:vAlign w:val="center"/>
            <w:hideMark/>
          </w:tcPr>
          <w:p w:rsidR="00E70DF9" w:rsidRPr="00265C60" w:rsidRDefault="00E70DF9" w:rsidP="001D0E38">
            <w:pPr>
              <w:spacing w:line="240" w:lineRule="auto"/>
              <w:ind w:firstLine="0"/>
              <w:jc w:val="center"/>
              <w:rPr>
                <w:b/>
                <w:bCs/>
                <w:sz w:val="16"/>
                <w:szCs w:val="18"/>
              </w:rPr>
            </w:pPr>
            <w:r w:rsidRPr="00265C60">
              <w:rPr>
                <w:b/>
                <w:bCs/>
                <w:sz w:val="16"/>
                <w:szCs w:val="18"/>
              </w:rPr>
              <w:t>Показатель</w:t>
            </w:r>
          </w:p>
        </w:tc>
        <w:tc>
          <w:tcPr>
            <w:tcW w:w="992" w:type="dxa"/>
            <w:vAlign w:val="center"/>
            <w:hideMark/>
          </w:tcPr>
          <w:p w:rsidR="00E70DF9" w:rsidRPr="00265C60" w:rsidRDefault="00E70DF9" w:rsidP="00B7165E">
            <w:pPr>
              <w:spacing w:line="240" w:lineRule="auto"/>
              <w:ind w:firstLine="0"/>
              <w:jc w:val="center"/>
              <w:rPr>
                <w:b/>
                <w:bCs/>
                <w:sz w:val="18"/>
                <w:szCs w:val="18"/>
              </w:rPr>
            </w:pPr>
            <w:r w:rsidRPr="00265C60">
              <w:rPr>
                <w:b/>
                <w:bCs/>
                <w:sz w:val="18"/>
                <w:szCs w:val="18"/>
              </w:rPr>
              <w:t>202</w:t>
            </w:r>
            <w:r w:rsidR="00B7165E" w:rsidRPr="00265C60">
              <w:rPr>
                <w:b/>
                <w:bCs/>
                <w:sz w:val="18"/>
                <w:szCs w:val="18"/>
              </w:rPr>
              <w:t>6</w:t>
            </w:r>
            <w:r w:rsidRPr="00265C60">
              <w:rPr>
                <w:b/>
                <w:bCs/>
                <w:sz w:val="18"/>
                <w:szCs w:val="18"/>
              </w:rPr>
              <w:t xml:space="preserve"> год</w:t>
            </w:r>
          </w:p>
        </w:tc>
        <w:tc>
          <w:tcPr>
            <w:tcW w:w="1134" w:type="dxa"/>
            <w:vAlign w:val="center"/>
          </w:tcPr>
          <w:p w:rsidR="00E70DF9" w:rsidRPr="00265C60" w:rsidRDefault="00E70DF9" w:rsidP="00B7165E">
            <w:pPr>
              <w:spacing w:line="240" w:lineRule="auto"/>
              <w:ind w:firstLine="0"/>
              <w:jc w:val="center"/>
              <w:rPr>
                <w:b/>
                <w:bCs/>
                <w:sz w:val="18"/>
                <w:szCs w:val="18"/>
              </w:rPr>
            </w:pPr>
            <w:r w:rsidRPr="00265C60">
              <w:rPr>
                <w:b/>
                <w:bCs/>
                <w:sz w:val="18"/>
                <w:szCs w:val="18"/>
              </w:rPr>
              <w:t>202</w:t>
            </w:r>
            <w:r w:rsidR="00B7165E" w:rsidRPr="00265C60">
              <w:rPr>
                <w:b/>
                <w:bCs/>
                <w:sz w:val="18"/>
                <w:szCs w:val="18"/>
              </w:rPr>
              <w:t>7</w:t>
            </w:r>
            <w:r w:rsidRPr="00265C60">
              <w:rPr>
                <w:b/>
                <w:bCs/>
                <w:sz w:val="18"/>
                <w:szCs w:val="18"/>
              </w:rPr>
              <w:t xml:space="preserve"> год</w:t>
            </w:r>
          </w:p>
        </w:tc>
        <w:tc>
          <w:tcPr>
            <w:tcW w:w="1134" w:type="dxa"/>
            <w:vAlign w:val="center"/>
          </w:tcPr>
          <w:p w:rsidR="00E70DF9" w:rsidRPr="00265C60" w:rsidRDefault="00E70DF9" w:rsidP="00B7165E">
            <w:pPr>
              <w:spacing w:line="240" w:lineRule="auto"/>
              <w:ind w:firstLine="0"/>
              <w:jc w:val="center"/>
              <w:rPr>
                <w:b/>
                <w:bCs/>
                <w:sz w:val="18"/>
                <w:szCs w:val="18"/>
              </w:rPr>
            </w:pPr>
            <w:r w:rsidRPr="00265C60">
              <w:rPr>
                <w:b/>
                <w:bCs/>
                <w:sz w:val="18"/>
                <w:szCs w:val="18"/>
              </w:rPr>
              <w:t>202</w:t>
            </w:r>
            <w:r w:rsidR="00B7165E" w:rsidRPr="00265C60">
              <w:rPr>
                <w:b/>
                <w:bCs/>
                <w:sz w:val="18"/>
                <w:szCs w:val="18"/>
              </w:rPr>
              <w:t>8</w:t>
            </w:r>
            <w:r w:rsidRPr="00265C60">
              <w:rPr>
                <w:b/>
                <w:bCs/>
                <w:sz w:val="18"/>
                <w:szCs w:val="18"/>
              </w:rPr>
              <w:t xml:space="preserve"> год</w:t>
            </w:r>
          </w:p>
        </w:tc>
      </w:tr>
      <w:tr w:rsidR="00684E9C" w:rsidRPr="00265C60" w:rsidTr="00E70DF9">
        <w:trPr>
          <w:trHeight w:val="20"/>
        </w:trPr>
        <w:tc>
          <w:tcPr>
            <w:tcW w:w="6487" w:type="dxa"/>
            <w:vAlign w:val="center"/>
            <w:hideMark/>
          </w:tcPr>
          <w:p w:rsidR="00E70DF9" w:rsidRPr="00265C60" w:rsidRDefault="00E70DF9" w:rsidP="001D0E38">
            <w:pPr>
              <w:spacing w:before="60" w:after="60" w:line="240" w:lineRule="auto"/>
              <w:ind w:firstLine="0"/>
              <w:rPr>
                <w:b/>
                <w:bCs/>
                <w:sz w:val="18"/>
                <w:szCs w:val="18"/>
              </w:rPr>
            </w:pPr>
            <w:r w:rsidRPr="00265C60">
              <w:rPr>
                <w:b/>
                <w:bCs/>
                <w:sz w:val="18"/>
                <w:szCs w:val="18"/>
              </w:rPr>
              <w:t>Межбюджетные трансферты из бюджета ФОМС</w:t>
            </w:r>
            <w:r w:rsidR="00A31D27" w:rsidRPr="00265C60">
              <w:rPr>
                <w:b/>
                <w:bCs/>
                <w:sz w:val="18"/>
                <w:szCs w:val="18"/>
              </w:rPr>
              <w:t>*</w:t>
            </w:r>
            <w:r w:rsidRPr="00265C60">
              <w:rPr>
                <w:b/>
                <w:bCs/>
                <w:sz w:val="18"/>
                <w:szCs w:val="18"/>
              </w:rPr>
              <w:t>, всего</w:t>
            </w:r>
          </w:p>
        </w:tc>
        <w:tc>
          <w:tcPr>
            <w:tcW w:w="992" w:type="dxa"/>
            <w:noWrap/>
            <w:vAlign w:val="center"/>
          </w:tcPr>
          <w:p w:rsidR="00E70DF9" w:rsidRPr="00265C60" w:rsidRDefault="000505CA" w:rsidP="001D0E38">
            <w:pPr>
              <w:spacing w:line="240" w:lineRule="auto"/>
              <w:ind w:firstLine="0"/>
              <w:jc w:val="center"/>
              <w:rPr>
                <w:b/>
                <w:sz w:val="18"/>
                <w:szCs w:val="18"/>
              </w:rPr>
            </w:pPr>
            <w:r w:rsidRPr="00265C60">
              <w:rPr>
                <w:b/>
                <w:sz w:val="18"/>
                <w:szCs w:val="18"/>
              </w:rPr>
              <w:t>4 004,8</w:t>
            </w:r>
          </w:p>
        </w:tc>
        <w:tc>
          <w:tcPr>
            <w:tcW w:w="1134" w:type="dxa"/>
            <w:vAlign w:val="center"/>
          </w:tcPr>
          <w:p w:rsidR="00E70DF9" w:rsidRPr="00265C60" w:rsidRDefault="000505CA" w:rsidP="001D0E38">
            <w:pPr>
              <w:spacing w:line="240" w:lineRule="auto"/>
              <w:ind w:firstLine="0"/>
              <w:jc w:val="center"/>
              <w:rPr>
                <w:b/>
                <w:sz w:val="18"/>
                <w:szCs w:val="18"/>
              </w:rPr>
            </w:pPr>
            <w:r w:rsidRPr="00265C60">
              <w:rPr>
                <w:b/>
                <w:sz w:val="18"/>
                <w:szCs w:val="18"/>
              </w:rPr>
              <w:t>4 324,6</w:t>
            </w:r>
          </w:p>
        </w:tc>
        <w:tc>
          <w:tcPr>
            <w:tcW w:w="1134" w:type="dxa"/>
            <w:vAlign w:val="center"/>
          </w:tcPr>
          <w:p w:rsidR="00E70DF9" w:rsidRPr="00265C60" w:rsidRDefault="000505CA" w:rsidP="001D0E38">
            <w:pPr>
              <w:spacing w:line="240" w:lineRule="auto"/>
              <w:ind w:firstLine="0"/>
              <w:jc w:val="center"/>
              <w:rPr>
                <w:b/>
                <w:sz w:val="18"/>
                <w:szCs w:val="18"/>
              </w:rPr>
            </w:pPr>
            <w:r w:rsidRPr="00265C60">
              <w:rPr>
                <w:b/>
                <w:sz w:val="18"/>
                <w:szCs w:val="18"/>
              </w:rPr>
              <w:t>4 641,3</w:t>
            </w:r>
          </w:p>
        </w:tc>
      </w:tr>
      <w:tr w:rsidR="00684E9C" w:rsidRPr="00265C60" w:rsidTr="00E70DF9">
        <w:trPr>
          <w:trHeight w:val="20"/>
        </w:trPr>
        <w:tc>
          <w:tcPr>
            <w:tcW w:w="6487" w:type="dxa"/>
            <w:vAlign w:val="center"/>
            <w:hideMark/>
          </w:tcPr>
          <w:p w:rsidR="00E70DF9" w:rsidRPr="00265C60" w:rsidRDefault="00E70DF9" w:rsidP="00E70DF9">
            <w:pPr>
              <w:spacing w:line="276" w:lineRule="auto"/>
              <w:ind w:firstLine="0"/>
              <w:rPr>
                <w:bCs/>
                <w:sz w:val="16"/>
                <w:szCs w:val="18"/>
              </w:rPr>
            </w:pPr>
            <w:r w:rsidRPr="00265C60">
              <w:rPr>
                <w:bCs/>
                <w:sz w:val="16"/>
                <w:szCs w:val="18"/>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992" w:type="dxa"/>
            <w:noWrap/>
            <w:vAlign w:val="center"/>
          </w:tcPr>
          <w:p w:rsidR="00E70DF9" w:rsidRPr="00265C60" w:rsidRDefault="000505CA" w:rsidP="001D0E38">
            <w:pPr>
              <w:spacing w:line="240" w:lineRule="auto"/>
              <w:ind w:firstLine="0"/>
              <w:jc w:val="center"/>
              <w:rPr>
                <w:bCs/>
                <w:sz w:val="18"/>
                <w:szCs w:val="18"/>
              </w:rPr>
            </w:pPr>
            <w:r w:rsidRPr="00265C60">
              <w:rPr>
                <w:bCs/>
                <w:sz w:val="18"/>
                <w:szCs w:val="18"/>
              </w:rPr>
              <w:t>3 992,4</w:t>
            </w:r>
          </w:p>
        </w:tc>
        <w:tc>
          <w:tcPr>
            <w:tcW w:w="1134" w:type="dxa"/>
            <w:vAlign w:val="center"/>
          </w:tcPr>
          <w:p w:rsidR="00E70DF9" w:rsidRPr="00265C60" w:rsidRDefault="000505CA" w:rsidP="001D0E38">
            <w:pPr>
              <w:spacing w:line="240" w:lineRule="auto"/>
              <w:ind w:firstLine="0"/>
              <w:jc w:val="center"/>
              <w:rPr>
                <w:bCs/>
                <w:sz w:val="18"/>
                <w:szCs w:val="18"/>
              </w:rPr>
            </w:pPr>
            <w:r w:rsidRPr="00265C60">
              <w:rPr>
                <w:bCs/>
                <w:sz w:val="18"/>
                <w:szCs w:val="18"/>
              </w:rPr>
              <w:t>4 312,3</w:t>
            </w:r>
          </w:p>
        </w:tc>
        <w:tc>
          <w:tcPr>
            <w:tcW w:w="1134" w:type="dxa"/>
            <w:vAlign w:val="center"/>
          </w:tcPr>
          <w:p w:rsidR="00E70DF9" w:rsidRPr="00265C60" w:rsidRDefault="000505CA" w:rsidP="000505CA">
            <w:pPr>
              <w:spacing w:line="240" w:lineRule="auto"/>
              <w:ind w:firstLine="0"/>
              <w:jc w:val="center"/>
              <w:rPr>
                <w:bCs/>
                <w:sz w:val="18"/>
                <w:szCs w:val="18"/>
              </w:rPr>
            </w:pPr>
            <w:r w:rsidRPr="00265C60">
              <w:rPr>
                <w:bCs/>
                <w:sz w:val="18"/>
                <w:szCs w:val="18"/>
              </w:rPr>
              <w:t>4 629,0</w:t>
            </w:r>
          </w:p>
        </w:tc>
      </w:tr>
      <w:tr w:rsidR="00684E9C" w:rsidRPr="00265C60" w:rsidTr="00E70DF9">
        <w:trPr>
          <w:trHeight w:val="20"/>
        </w:trPr>
        <w:tc>
          <w:tcPr>
            <w:tcW w:w="6487" w:type="dxa"/>
            <w:vAlign w:val="center"/>
            <w:hideMark/>
          </w:tcPr>
          <w:p w:rsidR="00E70DF9" w:rsidRPr="00265C60" w:rsidRDefault="00E70DF9" w:rsidP="00E70DF9">
            <w:pPr>
              <w:spacing w:line="276" w:lineRule="auto"/>
              <w:ind w:firstLine="0"/>
              <w:rPr>
                <w:bCs/>
                <w:sz w:val="16"/>
                <w:szCs w:val="18"/>
              </w:rPr>
            </w:pPr>
            <w:r w:rsidRPr="00265C60">
              <w:rPr>
                <w:bCs/>
                <w:sz w:val="16"/>
                <w:szCs w:val="18"/>
              </w:rPr>
              <w:t>межбюджетный трансферт</w:t>
            </w:r>
            <w:r w:rsidR="008B55D8" w:rsidRPr="00265C60">
              <w:rPr>
                <w:bCs/>
                <w:sz w:val="16"/>
                <w:szCs w:val="18"/>
              </w:rPr>
              <w:t xml:space="preserve"> бюджету СФР</w:t>
            </w:r>
            <w:r w:rsidRPr="00265C60">
              <w:rPr>
                <w:bCs/>
                <w:sz w:val="16"/>
                <w:szCs w:val="18"/>
              </w:rPr>
              <w:t xml:space="preserve"> на оплату медицинской помощи женщинам в период беременности, родов и в послеродовой период, а также профилактического медицинского осмотра ребенка в течение первого года жизни</w:t>
            </w:r>
          </w:p>
        </w:tc>
        <w:tc>
          <w:tcPr>
            <w:tcW w:w="992" w:type="dxa"/>
            <w:noWrap/>
            <w:vAlign w:val="center"/>
          </w:tcPr>
          <w:p w:rsidR="00E70DF9" w:rsidRPr="00265C60" w:rsidRDefault="000505CA" w:rsidP="001D0E38">
            <w:pPr>
              <w:spacing w:line="240" w:lineRule="auto"/>
              <w:ind w:firstLine="0"/>
              <w:jc w:val="center"/>
              <w:rPr>
                <w:bCs/>
                <w:sz w:val="18"/>
                <w:szCs w:val="18"/>
              </w:rPr>
            </w:pPr>
            <w:r w:rsidRPr="00265C60">
              <w:rPr>
                <w:bCs/>
                <w:sz w:val="18"/>
                <w:szCs w:val="18"/>
              </w:rPr>
              <w:t>12,4</w:t>
            </w:r>
          </w:p>
        </w:tc>
        <w:tc>
          <w:tcPr>
            <w:tcW w:w="1134" w:type="dxa"/>
            <w:vAlign w:val="center"/>
          </w:tcPr>
          <w:p w:rsidR="00E70DF9" w:rsidRPr="00265C60" w:rsidRDefault="000505CA" w:rsidP="001D0E38">
            <w:pPr>
              <w:spacing w:line="240" w:lineRule="auto"/>
              <w:ind w:firstLine="0"/>
              <w:jc w:val="center"/>
              <w:rPr>
                <w:bCs/>
                <w:sz w:val="18"/>
                <w:szCs w:val="18"/>
              </w:rPr>
            </w:pPr>
            <w:r w:rsidRPr="00265C60">
              <w:rPr>
                <w:bCs/>
                <w:sz w:val="18"/>
                <w:szCs w:val="18"/>
              </w:rPr>
              <w:t>12,3</w:t>
            </w:r>
          </w:p>
        </w:tc>
        <w:tc>
          <w:tcPr>
            <w:tcW w:w="1134" w:type="dxa"/>
            <w:vAlign w:val="center"/>
          </w:tcPr>
          <w:p w:rsidR="00E70DF9" w:rsidRPr="00265C60" w:rsidRDefault="000505CA" w:rsidP="001D0E38">
            <w:pPr>
              <w:spacing w:line="240" w:lineRule="auto"/>
              <w:ind w:firstLine="0"/>
              <w:jc w:val="center"/>
              <w:rPr>
                <w:bCs/>
                <w:sz w:val="18"/>
                <w:szCs w:val="18"/>
              </w:rPr>
            </w:pPr>
            <w:r w:rsidRPr="00265C60">
              <w:rPr>
                <w:bCs/>
                <w:sz w:val="18"/>
                <w:szCs w:val="18"/>
              </w:rPr>
              <w:t>12,3</w:t>
            </w:r>
          </w:p>
        </w:tc>
      </w:tr>
      <w:tr w:rsidR="00684E9C" w:rsidRPr="00265C60" w:rsidTr="00E70DF9">
        <w:trPr>
          <w:trHeight w:val="340"/>
        </w:trPr>
        <w:tc>
          <w:tcPr>
            <w:tcW w:w="6487" w:type="dxa"/>
            <w:tcBorders>
              <w:top w:val="single" w:sz="4" w:space="0" w:color="auto"/>
              <w:left w:val="single" w:sz="4" w:space="0" w:color="auto"/>
              <w:bottom w:val="single" w:sz="4" w:space="0" w:color="auto"/>
              <w:right w:val="single" w:sz="4" w:space="0" w:color="auto"/>
            </w:tcBorders>
            <w:noWrap/>
            <w:vAlign w:val="center"/>
          </w:tcPr>
          <w:p w:rsidR="00E70DF9" w:rsidRPr="00265C60" w:rsidRDefault="00E70DF9" w:rsidP="001D0E38">
            <w:pPr>
              <w:spacing w:line="240" w:lineRule="auto"/>
              <w:ind w:firstLine="0"/>
              <w:rPr>
                <w:bCs/>
                <w:sz w:val="18"/>
                <w:szCs w:val="18"/>
              </w:rPr>
            </w:pPr>
            <w:r w:rsidRPr="00265C60">
              <w:rPr>
                <w:b/>
                <w:bCs/>
                <w:sz w:val="18"/>
                <w:szCs w:val="18"/>
              </w:rPr>
              <w:t>Межбюджетные трансферты из бюджета СФР</w:t>
            </w:r>
            <w:r w:rsidR="00A31D27" w:rsidRPr="00265C60">
              <w:rPr>
                <w:b/>
                <w:bCs/>
                <w:sz w:val="18"/>
                <w:szCs w:val="18"/>
              </w:rPr>
              <w:t>*</w:t>
            </w:r>
            <w:r w:rsidRPr="00265C60">
              <w:rPr>
                <w:b/>
                <w:bCs/>
                <w:sz w:val="18"/>
                <w:szCs w:val="18"/>
              </w:rPr>
              <w:t>, всего</w:t>
            </w:r>
          </w:p>
        </w:tc>
        <w:tc>
          <w:tcPr>
            <w:tcW w:w="992" w:type="dxa"/>
            <w:tcBorders>
              <w:top w:val="single" w:sz="4" w:space="0" w:color="auto"/>
              <w:left w:val="single" w:sz="4" w:space="0" w:color="auto"/>
              <w:bottom w:val="single" w:sz="4" w:space="0" w:color="auto"/>
              <w:right w:val="single" w:sz="4" w:space="0" w:color="auto"/>
            </w:tcBorders>
            <w:vAlign w:val="center"/>
          </w:tcPr>
          <w:p w:rsidR="00E70DF9" w:rsidRPr="00265C60" w:rsidRDefault="00E70DF9" w:rsidP="001D0E38">
            <w:pPr>
              <w:spacing w:line="240" w:lineRule="auto"/>
              <w:ind w:firstLine="0"/>
              <w:jc w:val="center"/>
              <w:rPr>
                <w:b/>
                <w:bCs/>
                <w:sz w:val="18"/>
                <w:szCs w:val="18"/>
              </w:rPr>
            </w:pPr>
            <w:r w:rsidRPr="00265C60">
              <w:rPr>
                <w:b/>
                <w:bCs/>
                <w:sz w:val="18"/>
                <w:szCs w:val="18"/>
              </w:rPr>
              <w:t>0,3</w:t>
            </w:r>
          </w:p>
        </w:tc>
        <w:tc>
          <w:tcPr>
            <w:tcW w:w="1134" w:type="dxa"/>
            <w:tcBorders>
              <w:top w:val="single" w:sz="4" w:space="0" w:color="auto"/>
              <w:left w:val="single" w:sz="4" w:space="0" w:color="auto"/>
              <w:bottom w:val="single" w:sz="4" w:space="0" w:color="auto"/>
              <w:right w:val="single" w:sz="4" w:space="0" w:color="auto"/>
            </w:tcBorders>
            <w:vAlign w:val="center"/>
          </w:tcPr>
          <w:p w:rsidR="00E70DF9" w:rsidRPr="00265C60" w:rsidRDefault="00E70DF9" w:rsidP="001D0E38">
            <w:pPr>
              <w:spacing w:line="240" w:lineRule="auto"/>
              <w:ind w:firstLine="0"/>
              <w:jc w:val="center"/>
              <w:rPr>
                <w:b/>
                <w:bCs/>
                <w:sz w:val="18"/>
                <w:szCs w:val="18"/>
              </w:rPr>
            </w:pPr>
            <w:r w:rsidRPr="00265C60">
              <w:rPr>
                <w:b/>
                <w:bCs/>
                <w:sz w:val="18"/>
                <w:szCs w:val="18"/>
              </w:rPr>
              <w:t>0,3</w:t>
            </w:r>
          </w:p>
        </w:tc>
        <w:tc>
          <w:tcPr>
            <w:tcW w:w="1134" w:type="dxa"/>
            <w:tcBorders>
              <w:top w:val="single" w:sz="4" w:space="0" w:color="auto"/>
              <w:left w:val="single" w:sz="4" w:space="0" w:color="auto"/>
              <w:bottom w:val="single" w:sz="4" w:space="0" w:color="auto"/>
              <w:right w:val="single" w:sz="4" w:space="0" w:color="auto"/>
            </w:tcBorders>
            <w:vAlign w:val="center"/>
          </w:tcPr>
          <w:p w:rsidR="00E70DF9" w:rsidRPr="00265C60" w:rsidRDefault="00E70DF9" w:rsidP="001D0E38">
            <w:pPr>
              <w:spacing w:line="240" w:lineRule="auto"/>
              <w:ind w:firstLine="0"/>
              <w:jc w:val="center"/>
              <w:rPr>
                <w:b/>
                <w:bCs/>
                <w:sz w:val="18"/>
                <w:szCs w:val="18"/>
              </w:rPr>
            </w:pPr>
            <w:r w:rsidRPr="00265C60">
              <w:rPr>
                <w:b/>
                <w:bCs/>
                <w:sz w:val="18"/>
                <w:szCs w:val="18"/>
              </w:rPr>
              <w:t>0,3</w:t>
            </w:r>
          </w:p>
        </w:tc>
      </w:tr>
      <w:tr w:rsidR="00684E9C" w:rsidRPr="00265C60" w:rsidTr="00E70DF9">
        <w:trPr>
          <w:trHeight w:val="20"/>
        </w:trPr>
        <w:tc>
          <w:tcPr>
            <w:tcW w:w="6487" w:type="dxa"/>
            <w:tcBorders>
              <w:top w:val="single" w:sz="4" w:space="0" w:color="auto"/>
              <w:left w:val="single" w:sz="4" w:space="0" w:color="auto"/>
              <w:bottom w:val="single" w:sz="4" w:space="0" w:color="auto"/>
              <w:right w:val="single" w:sz="4" w:space="0" w:color="auto"/>
            </w:tcBorders>
            <w:noWrap/>
            <w:vAlign w:val="center"/>
          </w:tcPr>
          <w:p w:rsidR="00E70DF9" w:rsidRPr="00265C60" w:rsidRDefault="00E70DF9" w:rsidP="00E70DF9">
            <w:pPr>
              <w:spacing w:line="276" w:lineRule="auto"/>
              <w:ind w:firstLine="0"/>
              <w:rPr>
                <w:bCs/>
                <w:sz w:val="16"/>
                <w:szCs w:val="18"/>
              </w:rPr>
            </w:pPr>
            <w:r w:rsidRPr="00265C60">
              <w:rPr>
                <w:bCs/>
                <w:sz w:val="16"/>
                <w:szCs w:val="18"/>
              </w:rPr>
              <w:t>межбюджетные трансферты на социальную поддержку Героев Социалистического Труда, Героев Труда Российской Федерации и полных кавалеров ордена Трудовой Славы, Героев Советского Союза, Героев Российской Федерации и полных кавалеров ордена Славы</w:t>
            </w:r>
          </w:p>
        </w:tc>
        <w:tc>
          <w:tcPr>
            <w:tcW w:w="992" w:type="dxa"/>
            <w:tcBorders>
              <w:top w:val="single" w:sz="4" w:space="0" w:color="auto"/>
              <w:left w:val="single" w:sz="4" w:space="0" w:color="auto"/>
              <w:bottom w:val="single" w:sz="4" w:space="0" w:color="auto"/>
              <w:right w:val="single" w:sz="4" w:space="0" w:color="auto"/>
            </w:tcBorders>
            <w:vAlign w:val="center"/>
          </w:tcPr>
          <w:p w:rsidR="00E70DF9" w:rsidRPr="00265C60" w:rsidRDefault="00E70DF9" w:rsidP="001D0E38">
            <w:pPr>
              <w:spacing w:line="240" w:lineRule="auto"/>
              <w:ind w:firstLine="0"/>
              <w:jc w:val="center"/>
              <w:rPr>
                <w:bCs/>
                <w:sz w:val="18"/>
                <w:szCs w:val="18"/>
              </w:rPr>
            </w:pPr>
            <w:r w:rsidRPr="00265C60">
              <w:rPr>
                <w:bCs/>
                <w:sz w:val="18"/>
                <w:szCs w:val="18"/>
              </w:rPr>
              <w:t>0,3</w:t>
            </w:r>
          </w:p>
        </w:tc>
        <w:tc>
          <w:tcPr>
            <w:tcW w:w="1134" w:type="dxa"/>
            <w:tcBorders>
              <w:top w:val="single" w:sz="4" w:space="0" w:color="auto"/>
              <w:left w:val="single" w:sz="4" w:space="0" w:color="auto"/>
              <w:bottom w:val="single" w:sz="4" w:space="0" w:color="auto"/>
              <w:right w:val="single" w:sz="4" w:space="0" w:color="auto"/>
            </w:tcBorders>
            <w:vAlign w:val="center"/>
          </w:tcPr>
          <w:p w:rsidR="00E70DF9" w:rsidRPr="00265C60" w:rsidRDefault="00E70DF9" w:rsidP="001D0E38">
            <w:pPr>
              <w:spacing w:line="240" w:lineRule="auto"/>
              <w:ind w:firstLine="0"/>
              <w:jc w:val="center"/>
              <w:rPr>
                <w:bCs/>
                <w:sz w:val="18"/>
                <w:szCs w:val="18"/>
              </w:rPr>
            </w:pPr>
            <w:r w:rsidRPr="00265C60">
              <w:rPr>
                <w:bCs/>
                <w:sz w:val="18"/>
                <w:szCs w:val="18"/>
              </w:rPr>
              <w:t>0,3</w:t>
            </w:r>
          </w:p>
        </w:tc>
        <w:tc>
          <w:tcPr>
            <w:tcW w:w="1134" w:type="dxa"/>
            <w:tcBorders>
              <w:top w:val="single" w:sz="4" w:space="0" w:color="auto"/>
              <w:left w:val="single" w:sz="4" w:space="0" w:color="auto"/>
              <w:bottom w:val="single" w:sz="4" w:space="0" w:color="auto"/>
              <w:right w:val="single" w:sz="4" w:space="0" w:color="auto"/>
            </w:tcBorders>
            <w:vAlign w:val="center"/>
          </w:tcPr>
          <w:p w:rsidR="00E70DF9" w:rsidRPr="00265C60" w:rsidRDefault="00E70DF9" w:rsidP="001D0E38">
            <w:pPr>
              <w:spacing w:line="240" w:lineRule="auto"/>
              <w:ind w:firstLine="0"/>
              <w:jc w:val="center"/>
              <w:rPr>
                <w:bCs/>
                <w:sz w:val="18"/>
                <w:szCs w:val="18"/>
              </w:rPr>
            </w:pPr>
            <w:r w:rsidRPr="00265C60">
              <w:rPr>
                <w:bCs/>
                <w:sz w:val="18"/>
                <w:szCs w:val="18"/>
              </w:rPr>
              <w:t>0,3</w:t>
            </w:r>
          </w:p>
        </w:tc>
      </w:tr>
    </w:tbl>
    <w:p w:rsidR="002C36BA" w:rsidRPr="00265C60" w:rsidRDefault="003B2160" w:rsidP="00E70DF9">
      <w:pPr>
        <w:spacing w:line="240" w:lineRule="auto"/>
        <w:rPr>
          <w:sz w:val="16"/>
        </w:rPr>
      </w:pPr>
      <w:r w:rsidRPr="00265C60">
        <w:rPr>
          <w:sz w:val="16"/>
        </w:rPr>
        <w:t xml:space="preserve">* </w:t>
      </w:r>
      <w:r w:rsidR="00E70DF9" w:rsidRPr="00265C60">
        <w:rPr>
          <w:sz w:val="16"/>
        </w:rPr>
        <w:t>В соответствии с проектами федеральных законов «О бюджете Фонда пенсионного и социального страхования на 202</w:t>
      </w:r>
      <w:r w:rsidR="00B7165E" w:rsidRPr="00265C60">
        <w:rPr>
          <w:sz w:val="16"/>
        </w:rPr>
        <w:t>6</w:t>
      </w:r>
      <w:r w:rsidR="00E70DF9" w:rsidRPr="00265C60">
        <w:rPr>
          <w:sz w:val="16"/>
        </w:rPr>
        <w:t xml:space="preserve"> год и на плановый период 202</w:t>
      </w:r>
      <w:r w:rsidR="00B7165E" w:rsidRPr="00265C60">
        <w:rPr>
          <w:sz w:val="16"/>
        </w:rPr>
        <w:t>7</w:t>
      </w:r>
      <w:r w:rsidR="00E70DF9" w:rsidRPr="00265C60">
        <w:rPr>
          <w:sz w:val="16"/>
        </w:rPr>
        <w:t xml:space="preserve"> и 202</w:t>
      </w:r>
      <w:r w:rsidR="00B7165E" w:rsidRPr="00265C60">
        <w:rPr>
          <w:sz w:val="16"/>
        </w:rPr>
        <w:t xml:space="preserve">8 </w:t>
      </w:r>
      <w:r w:rsidR="00E70DF9" w:rsidRPr="00265C60">
        <w:rPr>
          <w:sz w:val="16"/>
        </w:rPr>
        <w:t>годов» и «О бюджете Федерального фонда обязательного медицинского страхования на 202</w:t>
      </w:r>
      <w:r w:rsidR="00B7165E" w:rsidRPr="00265C60">
        <w:rPr>
          <w:sz w:val="16"/>
        </w:rPr>
        <w:t>6</w:t>
      </w:r>
      <w:r w:rsidR="00E70DF9" w:rsidRPr="00265C60">
        <w:rPr>
          <w:sz w:val="16"/>
        </w:rPr>
        <w:t xml:space="preserve"> год и на плановый период 202</w:t>
      </w:r>
      <w:r w:rsidR="00B7165E" w:rsidRPr="00265C60">
        <w:rPr>
          <w:sz w:val="16"/>
        </w:rPr>
        <w:t>7</w:t>
      </w:r>
      <w:r w:rsidR="00E70DF9" w:rsidRPr="00265C60">
        <w:rPr>
          <w:sz w:val="16"/>
        </w:rPr>
        <w:t xml:space="preserve"> и 202</w:t>
      </w:r>
      <w:r w:rsidR="00B7165E" w:rsidRPr="00265C60">
        <w:rPr>
          <w:sz w:val="16"/>
        </w:rPr>
        <w:t>8</w:t>
      </w:r>
      <w:r w:rsidR="00E70DF9" w:rsidRPr="00265C60">
        <w:rPr>
          <w:sz w:val="16"/>
        </w:rPr>
        <w:t xml:space="preserve"> годов».</w:t>
      </w:r>
    </w:p>
    <w:p w:rsidR="00E70DF9" w:rsidRPr="00265C60" w:rsidRDefault="00E70DF9" w:rsidP="00FD1665">
      <w:pPr>
        <w:spacing w:line="348" w:lineRule="auto"/>
        <w:rPr>
          <w:b/>
        </w:rPr>
      </w:pPr>
    </w:p>
    <w:p w:rsidR="002C36BA" w:rsidRDefault="007C61D5" w:rsidP="00FD1665">
      <w:pPr>
        <w:spacing w:line="348" w:lineRule="auto"/>
        <w:rPr>
          <w:spacing w:val="-2"/>
        </w:rPr>
      </w:pPr>
      <w:r w:rsidRPr="00265C60">
        <w:rPr>
          <w:b/>
        </w:rPr>
        <w:t>3.5.</w:t>
      </w:r>
      <w:r w:rsidR="001F7FB3">
        <w:rPr>
          <w:b/>
        </w:rPr>
        <w:t> </w:t>
      </w:r>
      <w:r w:rsidR="00C41EE9" w:rsidRPr="00265C60">
        <w:rPr>
          <w:spacing w:val="-2"/>
        </w:rPr>
        <w:t xml:space="preserve">Одновременно с законопроектом представлены </w:t>
      </w:r>
      <w:r w:rsidR="002C36BA" w:rsidRPr="00265C60">
        <w:rPr>
          <w:b/>
          <w:spacing w:val="-2"/>
        </w:rPr>
        <w:t>Основны</w:t>
      </w:r>
      <w:r w:rsidR="00C41EE9" w:rsidRPr="00265C60">
        <w:rPr>
          <w:b/>
          <w:spacing w:val="-2"/>
        </w:rPr>
        <w:t>е</w:t>
      </w:r>
      <w:r w:rsidR="002C36BA" w:rsidRPr="00265C60">
        <w:rPr>
          <w:b/>
          <w:spacing w:val="-2"/>
        </w:rPr>
        <w:t xml:space="preserve"> направлени</w:t>
      </w:r>
      <w:r w:rsidR="00C41EE9" w:rsidRPr="00265C60">
        <w:rPr>
          <w:b/>
          <w:spacing w:val="-2"/>
        </w:rPr>
        <w:t>я</w:t>
      </w:r>
      <w:r w:rsidR="002C36BA" w:rsidRPr="00265C60">
        <w:rPr>
          <w:b/>
          <w:spacing w:val="-2"/>
        </w:rPr>
        <w:t xml:space="preserve"> бюджетной, налоговой и таможенно-тарифной политики на 202</w:t>
      </w:r>
      <w:r w:rsidR="00645115" w:rsidRPr="00265C60">
        <w:rPr>
          <w:b/>
          <w:spacing w:val="-2"/>
        </w:rPr>
        <w:t>6</w:t>
      </w:r>
      <w:r w:rsidR="002C36BA" w:rsidRPr="00265C60">
        <w:rPr>
          <w:b/>
          <w:spacing w:val="-2"/>
        </w:rPr>
        <w:t xml:space="preserve"> год и плановый период 202</w:t>
      </w:r>
      <w:r w:rsidR="00645115" w:rsidRPr="00265C60">
        <w:rPr>
          <w:b/>
          <w:spacing w:val="-2"/>
        </w:rPr>
        <w:t>7</w:t>
      </w:r>
      <w:r w:rsidR="002C36BA" w:rsidRPr="00265C60">
        <w:rPr>
          <w:b/>
          <w:spacing w:val="-2"/>
        </w:rPr>
        <w:t xml:space="preserve"> и 202</w:t>
      </w:r>
      <w:r w:rsidR="00645115" w:rsidRPr="00265C60">
        <w:rPr>
          <w:b/>
          <w:spacing w:val="-2"/>
        </w:rPr>
        <w:t>8</w:t>
      </w:r>
      <w:r w:rsidR="002C36BA" w:rsidRPr="00265C60">
        <w:rPr>
          <w:b/>
          <w:spacing w:val="-2"/>
        </w:rPr>
        <w:t xml:space="preserve"> годов</w:t>
      </w:r>
      <w:r w:rsidR="002C36BA" w:rsidRPr="00265C60">
        <w:rPr>
          <w:spacing w:val="-2"/>
        </w:rPr>
        <w:t xml:space="preserve"> (далее – Основные направления).</w:t>
      </w:r>
    </w:p>
    <w:p w:rsidR="006F2CC0" w:rsidRPr="00265C60" w:rsidRDefault="006F2CC0" w:rsidP="006F2CC0">
      <w:pPr>
        <w:spacing w:line="348" w:lineRule="auto"/>
        <w:rPr>
          <w:spacing w:val="-2"/>
        </w:rPr>
      </w:pPr>
      <w:r>
        <w:rPr>
          <w:spacing w:val="-2"/>
        </w:rPr>
        <w:t>В</w:t>
      </w:r>
      <w:r w:rsidRPr="00265C60">
        <w:rPr>
          <w:spacing w:val="-2"/>
        </w:rPr>
        <w:t xml:space="preserve"> соответствии со статьей 11 Федерального закона</w:t>
      </w:r>
      <w:r>
        <w:rPr>
          <w:spacing w:val="-2"/>
        </w:rPr>
        <w:t xml:space="preserve"> от 7 мая 2013 г. №</w:t>
      </w:r>
      <w:r w:rsidR="001F7FB3">
        <w:rPr>
          <w:spacing w:val="-2"/>
        </w:rPr>
        <w:t> </w:t>
      </w:r>
      <w:r>
        <w:rPr>
          <w:spacing w:val="-2"/>
        </w:rPr>
        <w:t>77-ФЗ</w:t>
      </w:r>
      <w:r w:rsidRPr="00265C60">
        <w:rPr>
          <w:spacing w:val="-2"/>
        </w:rPr>
        <w:t xml:space="preserve"> «О</w:t>
      </w:r>
      <w:r w:rsidR="001F7FB3">
        <w:rPr>
          <w:spacing w:val="-2"/>
        </w:rPr>
        <w:t> </w:t>
      </w:r>
      <w:r w:rsidRPr="00265C60">
        <w:rPr>
          <w:spacing w:val="-2"/>
        </w:rPr>
        <w:t>парламентском контроле» обсуждение проекта основных направлений бюджетной, налоговой и таможенно-тарифной политики Россий</w:t>
      </w:r>
      <w:r w:rsidR="001F7FB3">
        <w:rPr>
          <w:spacing w:val="-2"/>
        </w:rPr>
        <w:t xml:space="preserve">ской Федерации осуществляется в </w:t>
      </w:r>
      <w:r w:rsidRPr="00265C60">
        <w:rPr>
          <w:spacing w:val="-2"/>
        </w:rPr>
        <w:t>рамках</w:t>
      </w:r>
      <w:r w:rsidRPr="00265C60">
        <w:rPr>
          <w:b/>
          <w:spacing w:val="-2"/>
        </w:rPr>
        <w:t xml:space="preserve"> предварительного</w:t>
      </w:r>
      <w:r w:rsidRPr="00265C60">
        <w:rPr>
          <w:b/>
        </w:rPr>
        <w:t xml:space="preserve"> </w:t>
      </w:r>
      <w:r w:rsidRPr="00265C60">
        <w:rPr>
          <w:b/>
          <w:spacing w:val="-2"/>
        </w:rPr>
        <w:t>парламентского контроля</w:t>
      </w:r>
      <w:r w:rsidRPr="00265C60">
        <w:rPr>
          <w:spacing w:val="-2"/>
        </w:rPr>
        <w:t>.</w:t>
      </w:r>
    </w:p>
    <w:p w:rsidR="002C36BA" w:rsidRPr="00265C60" w:rsidRDefault="002C36BA" w:rsidP="00FD1665">
      <w:pPr>
        <w:spacing w:line="348" w:lineRule="auto"/>
        <w:rPr>
          <w:spacing w:val="-2"/>
        </w:rPr>
      </w:pPr>
      <w:r w:rsidRPr="00265C60">
        <w:rPr>
          <w:spacing w:val="-2"/>
        </w:rPr>
        <w:t xml:space="preserve">Счетная палата неоднократно отмечала, что разработка и рассмотрение Основных направлений, являющихся инструментом создания условий для достижения национальных целей развития Российской Федерации, поддержки экономического роста, предпринимательской активности, </w:t>
      </w:r>
      <w:r w:rsidRPr="00265C60">
        <w:rPr>
          <w:b/>
          <w:spacing w:val="-2"/>
        </w:rPr>
        <w:t>должны предшествовать подготовке проекта федерального бюджета и способствовать определенности в формировании федерального и региональных бюджетов</w:t>
      </w:r>
      <w:r w:rsidRPr="00265C60">
        <w:rPr>
          <w:spacing w:val="-2"/>
        </w:rPr>
        <w:t>.</w:t>
      </w:r>
    </w:p>
    <w:p w:rsidR="00265C60" w:rsidRPr="00265C60" w:rsidRDefault="00265C60" w:rsidP="00265C60">
      <w:r w:rsidRPr="00265C60">
        <w:rPr>
          <w:spacing w:val="-2"/>
        </w:rPr>
        <w:t>Указанный вопрос является актуальным для формирования проекта федерального бюджета на 2026</w:t>
      </w:r>
      <w:r w:rsidR="001F7FB3">
        <w:rPr>
          <w:spacing w:val="-2"/>
        </w:rPr>
        <w:t>–</w:t>
      </w:r>
      <w:r w:rsidRPr="00265C60">
        <w:rPr>
          <w:spacing w:val="-2"/>
        </w:rPr>
        <w:t xml:space="preserve">2028 годы </w:t>
      </w:r>
      <w:r w:rsidRPr="00265C60">
        <w:rPr>
          <w:b/>
          <w:spacing w:val="-2"/>
        </w:rPr>
        <w:t>в условиях</w:t>
      </w:r>
      <w:r w:rsidR="004F627B">
        <w:rPr>
          <w:b/>
          <w:spacing w:val="-2"/>
        </w:rPr>
        <w:t>,</w:t>
      </w:r>
      <w:r w:rsidRPr="00265C60">
        <w:rPr>
          <w:b/>
          <w:spacing w:val="-2"/>
        </w:rPr>
        <w:t xml:space="preserve"> проводим</w:t>
      </w:r>
      <w:r w:rsidR="006F2CC0">
        <w:rPr>
          <w:b/>
          <w:spacing w:val="-2"/>
        </w:rPr>
        <w:t>ых</w:t>
      </w:r>
      <w:r w:rsidRPr="00265C60">
        <w:rPr>
          <w:b/>
          <w:spacing w:val="-2"/>
        </w:rPr>
        <w:t xml:space="preserve"> Правительством Российской Федерации </w:t>
      </w:r>
      <w:r w:rsidRPr="00265C60">
        <w:rPr>
          <w:b/>
        </w:rPr>
        <w:t xml:space="preserve">мероприятий по </w:t>
      </w:r>
      <w:r w:rsidR="00F036CB">
        <w:rPr>
          <w:b/>
        </w:rPr>
        <w:t xml:space="preserve">оптимизации и </w:t>
      </w:r>
      <w:r w:rsidRPr="00265C60">
        <w:rPr>
          <w:b/>
        </w:rPr>
        <w:t>приоритизации расходов</w:t>
      </w:r>
      <w:r w:rsidRPr="00265C60">
        <w:t>,</w:t>
      </w:r>
      <w:r w:rsidRPr="00265C60">
        <w:rPr>
          <w:b/>
          <w:spacing w:val="-2"/>
        </w:rPr>
        <w:t xml:space="preserve"> </w:t>
      </w:r>
      <w:r w:rsidRPr="00265C60">
        <w:rPr>
          <w:b/>
        </w:rPr>
        <w:t xml:space="preserve">изысканию </w:t>
      </w:r>
      <w:r w:rsidR="006F2CC0" w:rsidRPr="00265C60">
        <w:rPr>
          <w:b/>
        </w:rPr>
        <w:t>дополнительны</w:t>
      </w:r>
      <w:r w:rsidR="006F2CC0">
        <w:rPr>
          <w:b/>
        </w:rPr>
        <w:t>х</w:t>
      </w:r>
      <w:r w:rsidR="006F2CC0" w:rsidRPr="00265C60">
        <w:rPr>
          <w:b/>
        </w:rPr>
        <w:t xml:space="preserve"> источник</w:t>
      </w:r>
      <w:r w:rsidR="006F2CC0">
        <w:rPr>
          <w:b/>
        </w:rPr>
        <w:t>ов</w:t>
      </w:r>
      <w:r w:rsidR="006F2CC0" w:rsidRPr="00265C60">
        <w:rPr>
          <w:b/>
        </w:rPr>
        <w:t xml:space="preserve"> доходов </w:t>
      </w:r>
      <w:r w:rsidR="006F2CC0" w:rsidRPr="00265C60">
        <w:t xml:space="preserve">федерального бюджета </w:t>
      </w:r>
      <w:r w:rsidRPr="00265C60">
        <w:t>для финансирования приоритетов.</w:t>
      </w:r>
    </w:p>
    <w:p w:rsidR="00265C60" w:rsidRPr="00265C60" w:rsidRDefault="00265C60" w:rsidP="00265C60">
      <w:r w:rsidRPr="00265C60">
        <w:t xml:space="preserve">Кроме того, </w:t>
      </w:r>
      <w:r w:rsidRPr="00265C60">
        <w:rPr>
          <w:b/>
        </w:rPr>
        <w:t>на протяжении ряда лет</w:t>
      </w:r>
      <w:r w:rsidRPr="00265C60">
        <w:t xml:space="preserve"> Счетная палата в заключениях отмечает, что </w:t>
      </w:r>
      <w:r w:rsidRPr="00265C60">
        <w:rPr>
          <w:b/>
        </w:rPr>
        <w:t xml:space="preserve">значительный перечень мероприятий, запланированных в </w:t>
      </w:r>
      <w:r w:rsidR="006F2CC0">
        <w:rPr>
          <w:b/>
        </w:rPr>
        <w:t>О</w:t>
      </w:r>
      <w:r w:rsidRPr="00265C60">
        <w:rPr>
          <w:b/>
        </w:rPr>
        <w:t>сновных направлениях</w:t>
      </w:r>
      <w:r w:rsidR="00C5382A">
        <w:rPr>
          <w:b/>
        </w:rPr>
        <w:t>,</w:t>
      </w:r>
      <w:r w:rsidRPr="00265C60">
        <w:rPr>
          <w:b/>
        </w:rPr>
        <w:t xml:space="preserve"> перенос</w:t>
      </w:r>
      <w:r w:rsidR="00C5382A">
        <w:rPr>
          <w:b/>
        </w:rPr>
        <w:t>и</w:t>
      </w:r>
      <w:r w:rsidRPr="00265C60">
        <w:rPr>
          <w:b/>
        </w:rPr>
        <w:t>тся на более поздние сроки или не реализу</w:t>
      </w:r>
      <w:r w:rsidR="00C5382A">
        <w:rPr>
          <w:b/>
        </w:rPr>
        <w:t>е</w:t>
      </w:r>
      <w:r w:rsidRPr="00265C60">
        <w:rPr>
          <w:b/>
        </w:rPr>
        <w:t>тся</w:t>
      </w:r>
      <w:r w:rsidRPr="00265C60">
        <w:t>, что также требует соответствующего внимания со стороны палат Федерального Собрания Российской Федерации.</w:t>
      </w:r>
    </w:p>
    <w:p w:rsidR="00265C60" w:rsidRDefault="00265C60" w:rsidP="00265C60">
      <w:r w:rsidRPr="00265C60">
        <w:t xml:space="preserve">Так, например, в отношении обзоров бюджетных расходов и оценки налоговых расходов на протяжении последних 5 лет </w:t>
      </w:r>
      <w:r w:rsidR="006F2CC0">
        <w:t>в Основных направлениях ежегодно декларируется задача</w:t>
      </w:r>
      <w:r w:rsidRPr="00265C60">
        <w:rPr>
          <w:b/>
        </w:rPr>
        <w:t xml:space="preserve"> более глубоко</w:t>
      </w:r>
      <w:r w:rsidR="006F2CC0">
        <w:rPr>
          <w:b/>
        </w:rPr>
        <w:t>го</w:t>
      </w:r>
      <w:r w:rsidRPr="00265C60">
        <w:rPr>
          <w:b/>
        </w:rPr>
        <w:t xml:space="preserve"> их внедрени</w:t>
      </w:r>
      <w:r w:rsidR="006F2CC0">
        <w:rPr>
          <w:b/>
        </w:rPr>
        <w:t>я</w:t>
      </w:r>
      <w:r w:rsidRPr="00265C60">
        <w:rPr>
          <w:b/>
        </w:rPr>
        <w:t xml:space="preserve"> в бюджетный процесс</w:t>
      </w:r>
      <w:r w:rsidRPr="00265C60">
        <w:t xml:space="preserve">. При этом Счетная палата </w:t>
      </w:r>
      <w:r w:rsidRPr="00265C60">
        <w:rPr>
          <w:b/>
        </w:rPr>
        <w:t>фиксирует отсутствие учета их результатов</w:t>
      </w:r>
      <w:r w:rsidRPr="00265C60">
        <w:t xml:space="preserve"> при расчете базовых бюджетных ассигнований, отсутствие отмен</w:t>
      </w:r>
      <w:r w:rsidR="006F2CC0">
        <w:t>ы</w:t>
      </w:r>
      <w:r w:rsidRPr="00265C60">
        <w:t xml:space="preserve"> неэффективных налоговых расходов, которые могли являться источником финансирования дополнительных расходов федерального бюджета.</w:t>
      </w:r>
    </w:p>
    <w:p w:rsidR="006F2CC0" w:rsidRPr="00265C60" w:rsidRDefault="006F2CC0" w:rsidP="00265C60">
      <w:r>
        <w:t>По результатам анализа Основных направлений отмечается следующее.</w:t>
      </w:r>
    </w:p>
    <w:p w:rsidR="002C36BA" w:rsidRPr="00265C60" w:rsidRDefault="002C36BA" w:rsidP="00FD1665">
      <w:pPr>
        <w:pStyle w:val="rvps698610"/>
        <w:widowControl w:val="0"/>
        <w:tabs>
          <w:tab w:val="left" w:pos="9355"/>
        </w:tabs>
        <w:spacing w:after="0" w:line="348" w:lineRule="auto"/>
        <w:ind w:right="0"/>
        <w:rPr>
          <w:b/>
        </w:rPr>
      </w:pPr>
      <w:r w:rsidRPr="00265C60">
        <w:rPr>
          <w:b/>
        </w:rPr>
        <w:t xml:space="preserve">1. </w:t>
      </w:r>
      <w:r w:rsidR="00E44324" w:rsidRPr="00265C60">
        <w:rPr>
          <w:b/>
        </w:rPr>
        <w:t>В</w:t>
      </w:r>
      <w:r w:rsidRPr="00265C60">
        <w:rPr>
          <w:b/>
        </w:rPr>
        <w:t xml:space="preserve"> части бюджетной политики:</w:t>
      </w:r>
    </w:p>
    <w:p w:rsidR="00265C60" w:rsidRPr="00265C60" w:rsidRDefault="00265C60" w:rsidP="00265C60">
      <w:pPr>
        <w:pStyle w:val="rvps698610"/>
        <w:widowControl w:val="0"/>
        <w:tabs>
          <w:tab w:val="left" w:pos="9355"/>
        </w:tabs>
        <w:spacing w:after="0"/>
        <w:ind w:right="0"/>
        <w:rPr>
          <w:rFonts w:eastAsia="Calibri"/>
          <w:lang w:eastAsia="en-US"/>
        </w:rPr>
      </w:pPr>
      <w:r w:rsidRPr="00265C60">
        <w:t xml:space="preserve">1) </w:t>
      </w:r>
      <w:r w:rsidRPr="00265C60">
        <w:rPr>
          <w:rFonts w:eastAsia="Calibri"/>
          <w:lang w:eastAsia="en-US"/>
        </w:rPr>
        <w:t xml:space="preserve">Счетная палата </w:t>
      </w:r>
      <w:r w:rsidRPr="00265C60">
        <w:rPr>
          <w:rFonts w:eastAsia="Calibri"/>
          <w:b/>
          <w:lang w:eastAsia="en-US"/>
        </w:rPr>
        <w:t xml:space="preserve">на протяжении ряда лет отмечала отсутствие </w:t>
      </w:r>
      <w:r w:rsidR="006F2CC0">
        <w:rPr>
          <w:rFonts w:eastAsia="Calibri"/>
          <w:b/>
          <w:lang w:eastAsia="en-US"/>
        </w:rPr>
        <w:t>о</w:t>
      </w:r>
      <w:r w:rsidRPr="00265C60">
        <w:rPr>
          <w:rFonts w:eastAsia="Calibri"/>
          <w:b/>
          <w:lang w:eastAsia="en-US"/>
        </w:rPr>
        <w:t xml:space="preserve">сновных направлений </w:t>
      </w:r>
      <w:r w:rsidRPr="00265C60">
        <w:rPr>
          <w:rFonts w:eastAsia="Calibri"/>
          <w:lang w:eastAsia="en-US"/>
        </w:rPr>
        <w:t xml:space="preserve">государственной </w:t>
      </w:r>
      <w:r w:rsidRPr="00265C60">
        <w:rPr>
          <w:rFonts w:eastAsia="Calibri"/>
          <w:b/>
          <w:lang w:eastAsia="en-US"/>
        </w:rPr>
        <w:t>долговой политики</w:t>
      </w:r>
      <w:r w:rsidRPr="00265C60">
        <w:rPr>
          <w:rFonts w:eastAsia="Calibri"/>
          <w:lang w:eastAsia="en-US"/>
        </w:rPr>
        <w:t xml:space="preserve"> Российской Федерации. </w:t>
      </w:r>
    </w:p>
    <w:p w:rsidR="00265C60" w:rsidRPr="00265C60" w:rsidRDefault="00265C60" w:rsidP="00265C60">
      <w:pPr>
        <w:pStyle w:val="rvps698610"/>
        <w:widowControl w:val="0"/>
        <w:tabs>
          <w:tab w:val="left" w:pos="9355"/>
        </w:tabs>
        <w:spacing w:after="0"/>
        <w:ind w:right="0"/>
        <w:rPr>
          <w:rFonts w:eastAsia="Calibri"/>
          <w:lang w:eastAsia="en-US"/>
        </w:rPr>
      </w:pPr>
      <w:r w:rsidRPr="00265C60">
        <w:rPr>
          <w:rFonts w:eastAsia="Calibri"/>
          <w:lang w:eastAsia="en-US"/>
        </w:rPr>
        <w:t xml:space="preserve">В Основных направлениях содержится информация </w:t>
      </w:r>
      <w:r w:rsidRPr="00265C60">
        <w:rPr>
          <w:rFonts w:eastAsia="Calibri"/>
          <w:b/>
          <w:lang w:eastAsia="en-US"/>
        </w:rPr>
        <w:t>о планируемых мероприятиях по минимизации рисков, связанных с обслуживанием и рефинансированием госдолга</w:t>
      </w:r>
      <w:r w:rsidRPr="00265C60">
        <w:rPr>
          <w:rFonts w:eastAsia="Calibri"/>
          <w:lang w:eastAsia="en-US"/>
        </w:rPr>
        <w:t>, согласно которым долговая политика, как и ранее, будет нацелена на привлечение необходимого объема заемных ресурсов с приоритизацией предложения средне- и долгосрочных облигаций с постоянным доходом. Во избежание давления на рынок и</w:t>
      </w:r>
      <w:r w:rsidR="00C13D28">
        <w:rPr>
          <w:rFonts w:eastAsia="Calibri"/>
          <w:lang w:eastAsia="en-US"/>
        </w:rPr>
        <w:t> </w:t>
      </w:r>
      <w:r w:rsidRPr="00265C60">
        <w:rPr>
          <w:rFonts w:eastAsia="Calibri"/>
          <w:lang w:eastAsia="en-US"/>
        </w:rPr>
        <w:t>нивелирования воздействия рыночной волатильности будет обеспечиваться равномерное предложение долговых инструментов на протяжении всего предстоящего периода. С учетом рыночной конъюнктуры планируется поддерживать комфортную дюрацию долгового портфеля и минимизировать стоимость заемных средств. При этом будет продолжена практика диверсификации предложения долговых инструментов по типам и срокам до</w:t>
      </w:r>
      <w:r w:rsidR="001F7FB3">
        <w:rPr>
          <w:rFonts w:eastAsia="Calibri"/>
          <w:lang w:eastAsia="en-US"/>
        </w:rPr>
        <w:t> </w:t>
      </w:r>
      <w:r w:rsidRPr="00265C60">
        <w:rPr>
          <w:rFonts w:eastAsia="Calibri"/>
          <w:lang w:eastAsia="en-US"/>
        </w:rPr>
        <w:t>погашения для максимального удовлетворения спроса различных категорий инвесторов, повышения ликвидности и развития долгового рынка.</w:t>
      </w:r>
    </w:p>
    <w:p w:rsidR="00265C60" w:rsidRPr="00265C60" w:rsidRDefault="00265C60" w:rsidP="00265C60">
      <w:pPr>
        <w:pStyle w:val="rvps698610"/>
        <w:widowControl w:val="0"/>
        <w:tabs>
          <w:tab w:val="left" w:pos="9355"/>
        </w:tabs>
        <w:spacing w:after="0"/>
        <w:ind w:right="0"/>
      </w:pPr>
      <w:r w:rsidRPr="00265C60">
        <w:rPr>
          <w:rFonts w:eastAsia="Calibri"/>
          <w:lang w:eastAsia="en-US"/>
        </w:rPr>
        <w:t xml:space="preserve">Таким образом, Основные направления </w:t>
      </w:r>
      <w:r w:rsidRPr="00265C60">
        <w:rPr>
          <w:rFonts w:eastAsia="Calibri"/>
          <w:b/>
          <w:lang w:eastAsia="en-US"/>
        </w:rPr>
        <w:t>содержат отдельные положения по</w:t>
      </w:r>
      <w:r w:rsidR="001F7FB3">
        <w:rPr>
          <w:rFonts w:eastAsia="Calibri"/>
          <w:b/>
          <w:lang w:eastAsia="en-US"/>
        </w:rPr>
        <w:t> </w:t>
      </w:r>
      <w:r w:rsidRPr="00265C60">
        <w:rPr>
          <w:rFonts w:eastAsia="Calibri"/>
          <w:b/>
          <w:lang w:eastAsia="en-US"/>
        </w:rPr>
        <w:t xml:space="preserve">осуществлению долговой политики, </w:t>
      </w:r>
      <w:r w:rsidRPr="00265C60">
        <w:rPr>
          <w:rFonts w:eastAsia="Calibri"/>
          <w:lang w:eastAsia="en-US"/>
        </w:rPr>
        <w:t xml:space="preserve">которые не дают полноценного описания государственной политики в сфере </w:t>
      </w:r>
      <w:r w:rsidRPr="00265C60">
        <w:rPr>
          <w:rFonts w:eastAsia="Calibri"/>
          <w:b/>
          <w:lang w:eastAsia="en-US"/>
        </w:rPr>
        <w:t>управления государственным долгом и способ</w:t>
      </w:r>
      <w:r w:rsidR="009E415F">
        <w:rPr>
          <w:rFonts w:eastAsia="Calibri"/>
          <w:b/>
          <w:lang w:eastAsia="en-US"/>
        </w:rPr>
        <w:t>ов</w:t>
      </w:r>
      <w:r w:rsidRPr="00265C60">
        <w:rPr>
          <w:rFonts w:eastAsia="Calibri"/>
          <w:b/>
          <w:lang w:eastAsia="en-US"/>
        </w:rPr>
        <w:t xml:space="preserve"> ее</w:t>
      </w:r>
      <w:r w:rsidR="001F7FB3">
        <w:rPr>
          <w:rFonts w:eastAsia="Calibri"/>
          <w:b/>
          <w:lang w:eastAsia="en-US"/>
        </w:rPr>
        <w:t> </w:t>
      </w:r>
      <w:r w:rsidRPr="00265C60">
        <w:rPr>
          <w:rFonts w:eastAsia="Calibri"/>
          <w:b/>
          <w:lang w:eastAsia="en-US"/>
        </w:rPr>
        <w:t>эффективного достижения</w:t>
      </w:r>
      <w:r w:rsidRPr="00265C60">
        <w:t xml:space="preserve">; </w:t>
      </w:r>
    </w:p>
    <w:p w:rsidR="00265C60" w:rsidRPr="00265C60" w:rsidRDefault="00265C60" w:rsidP="00265C60">
      <w:pPr>
        <w:pStyle w:val="rvps698610"/>
        <w:widowControl w:val="0"/>
        <w:tabs>
          <w:tab w:val="left" w:pos="9337"/>
        </w:tabs>
        <w:spacing w:after="0"/>
        <w:ind w:right="0"/>
        <w:rPr>
          <w:rFonts w:eastAsia="Calibri"/>
          <w:lang w:eastAsia="en-US"/>
        </w:rPr>
      </w:pPr>
      <w:r w:rsidRPr="00265C60">
        <w:rPr>
          <w:rFonts w:eastAsia="Calibri"/>
          <w:lang w:eastAsia="en-US"/>
        </w:rPr>
        <w:t xml:space="preserve">2) согласно Основным направлениям </w:t>
      </w:r>
      <w:r w:rsidRPr="00265C60">
        <w:rPr>
          <w:rFonts w:eastAsia="Calibri"/>
          <w:b/>
          <w:lang w:eastAsia="en-US"/>
        </w:rPr>
        <w:t>в рамках расчета базовых бюджетных</w:t>
      </w:r>
      <w:r w:rsidRPr="00265C60">
        <w:rPr>
          <w:rFonts w:eastAsia="Calibri"/>
          <w:lang w:eastAsia="en-US"/>
        </w:rPr>
        <w:t xml:space="preserve"> ассигнований учитывались факторы </w:t>
      </w:r>
      <w:r w:rsidRPr="00265C60">
        <w:rPr>
          <w:rFonts w:eastAsia="Calibri"/>
          <w:b/>
          <w:lang w:eastAsia="en-US"/>
        </w:rPr>
        <w:t xml:space="preserve">завершения </w:t>
      </w:r>
      <w:r w:rsidRPr="00265C60">
        <w:rPr>
          <w:rFonts w:eastAsia="Calibri"/>
          <w:lang w:eastAsia="en-US"/>
        </w:rPr>
        <w:t xml:space="preserve">финансирования обязательств </w:t>
      </w:r>
      <w:r w:rsidRPr="00265C60">
        <w:rPr>
          <w:rFonts w:eastAsia="Calibri"/>
          <w:b/>
          <w:lang w:eastAsia="en-US"/>
        </w:rPr>
        <w:t>ограниченного срока действия</w:t>
      </w:r>
      <w:r w:rsidRPr="00265C60">
        <w:rPr>
          <w:rFonts w:eastAsia="Calibri"/>
          <w:lang w:eastAsia="en-US"/>
        </w:rPr>
        <w:t xml:space="preserve"> и финансирования </w:t>
      </w:r>
      <w:r w:rsidR="006C6678">
        <w:rPr>
          <w:rFonts w:eastAsia="Calibri"/>
          <w:b/>
          <w:lang w:eastAsia="en-US"/>
        </w:rPr>
        <w:t xml:space="preserve">мероприятий </w:t>
      </w:r>
      <w:r w:rsidRPr="00265C60">
        <w:rPr>
          <w:rFonts w:eastAsia="Calibri"/>
          <w:b/>
          <w:lang w:eastAsia="en-US"/>
        </w:rPr>
        <w:t>длящегося характера</w:t>
      </w:r>
      <w:r w:rsidRPr="00265C60">
        <w:rPr>
          <w:rFonts w:eastAsia="Calibri"/>
          <w:lang w:eastAsia="en-US"/>
        </w:rPr>
        <w:t>.</w:t>
      </w:r>
    </w:p>
    <w:p w:rsidR="00265C60" w:rsidRPr="00265C60" w:rsidRDefault="00265C60" w:rsidP="00265C60">
      <w:r w:rsidRPr="00265C60">
        <w:rPr>
          <w:rFonts w:eastAsia="Calibri"/>
          <w:lang w:eastAsia="en-US"/>
        </w:rPr>
        <w:t xml:space="preserve">При этом Счетная палата в рамках проверок отмечала </w:t>
      </w:r>
      <w:r w:rsidRPr="00265C60">
        <w:rPr>
          <w:b/>
        </w:rPr>
        <w:t>значительное увеличение бюджетных ассигнований очередного</w:t>
      </w:r>
      <w:r w:rsidRPr="00265C60">
        <w:t xml:space="preserve"> финансового года и планового периода </w:t>
      </w:r>
      <w:r w:rsidR="0033614A">
        <w:t>на</w:t>
      </w:r>
      <w:r w:rsidR="001F7FB3">
        <w:t> </w:t>
      </w:r>
      <w:r w:rsidR="0033614A">
        <w:t xml:space="preserve">реализацию </w:t>
      </w:r>
      <w:r w:rsidRPr="00265C60">
        <w:rPr>
          <w:b/>
        </w:rPr>
        <w:t>длящихся мероприятий</w:t>
      </w:r>
      <w:r w:rsidR="0033614A">
        <w:rPr>
          <w:b/>
        </w:rPr>
        <w:t>, решения о которых</w:t>
      </w:r>
      <w:r w:rsidRPr="00265C60">
        <w:t xml:space="preserve"> </w:t>
      </w:r>
      <w:r w:rsidR="0033614A" w:rsidRPr="00265C60">
        <w:t xml:space="preserve">принимают </w:t>
      </w:r>
      <w:r w:rsidR="0033614A" w:rsidRPr="00265C60">
        <w:rPr>
          <w:b/>
        </w:rPr>
        <w:t>в ходе исполнения федерального бюджета</w:t>
      </w:r>
      <w:r w:rsidR="006C6678">
        <w:rPr>
          <w:b/>
        </w:rPr>
        <w:t>,</w:t>
      </w:r>
      <w:r w:rsidR="0033614A">
        <w:rPr>
          <w:b/>
        </w:rPr>
        <w:t xml:space="preserve"> </w:t>
      </w:r>
      <w:r w:rsidR="0033614A" w:rsidRPr="00265C60">
        <w:t xml:space="preserve">в том числе </w:t>
      </w:r>
      <w:r w:rsidR="0033614A" w:rsidRPr="00265C60">
        <w:rPr>
          <w:b/>
        </w:rPr>
        <w:t>за счет выделения бюджетных ассигнований резервного фонда</w:t>
      </w:r>
      <w:r w:rsidR="0033614A" w:rsidRPr="00265C60">
        <w:t xml:space="preserve"> Правительства Российской Федерации</w:t>
      </w:r>
      <w:r w:rsidR="0033614A" w:rsidRPr="001F7FB3">
        <w:t>,</w:t>
      </w:r>
      <w:r w:rsidR="0033614A" w:rsidRPr="00265C60">
        <w:t xml:space="preserve"> </w:t>
      </w:r>
      <w:r w:rsidR="0033614A">
        <w:t>при</w:t>
      </w:r>
      <w:r w:rsidR="001F7FB3">
        <w:t> </w:t>
      </w:r>
      <w:r w:rsidR="0033614A">
        <w:t xml:space="preserve">незначительных объемах </w:t>
      </w:r>
      <w:r w:rsidRPr="00265C60">
        <w:t>прекращающихся мероприятий.</w:t>
      </w:r>
    </w:p>
    <w:p w:rsidR="00265C60" w:rsidRPr="00265C60" w:rsidRDefault="00265C60" w:rsidP="00265C60">
      <w:pPr>
        <w:rPr>
          <w:b/>
        </w:rPr>
      </w:pPr>
      <w:r w:rsidRPr="00265C60">
        <w:rPr>
          <w:b/>
        </w:rPr>
        <w:t>Анализ увеличения бюджетных ассигнований</w:t>
      </w:r>
      <w:r w:rsidRPr="00265C60">
        <w:t xml:space="preserve"> (открытая часть) </w:t>
      </w:r>
      <w:r w:rsidR="006C6678">
        <w:t>на реализацию</w:t>
      </w:r>
      <w:r w:rsidRPr="00265C60">
        <w:t xml:space="preserve"> длящихся мероприятий показал, что ежегодно порядка 50</w:t>
      </w:r>
      <w:r w:rsidR="001F7FB3">
        <w:t> </w:t>
      </w:r>
      <w:r w:rsidRPr="00265C60">
        <w:t xml:space="preserve">% </w:t>
      </w:r>
      <w:r w:rsidR="006C6678">
        <w:t xml:space="preserve">источников </w:t>
      </w:r>
      <w:r w:rsidRPr="00265C60">
        <w:t>увеличения</w:t>
      </w:r>
      <w:r w:rsidR="006C6678">
        <w:t xml:space="preserve"> указанных бюджетных ассигнований</w:t>
      </w:r>
      <w:r w:rsidRPr="00265C60">
        <w:t xml:space="preserve"> составляют </w:t>
      </w:r>
      <w:r w:rsidRPr="00265C60">
        <w:rPr>
          <w:b/>
        </w:rPr>
        <w:t>средства</w:t>
      </w:r>
      <w:r w:rsidR="006C6678">
        <w:rPr>
          <w:b/>
        </w:rPr>
        <w:t>, зарезервированные</w:t>
      </w:r>
      <w:r w:rsidRPr="00265C60">
        <w:rPr>
          <w:b/>
        </w:rPr>
        <w:t xml:space="preserve"> до</w:t>
      </w:r>
      <w:r w:rsidR="001F7FB3">
        <w:rPr>
          <w:b/>
        </w:rPr>
        <w:t> </w:t>
      </w:r>
      <w:r w:rsidRPr="00265C60">
        <w:rPr>
          <w:b/>
        </w:rPr>
        <w:t>принятия решений Президентом Российской Федерации и Правительством Российской Федерации.</w:t>
      </w:r>
    </w:p>
    <w:p w:rsidR="00265C60" w:rsidRPr="00265C60" w:rsidRDefault="00265C60" w:rsidP="00265C60">
      <w:r w:rsidRPr="00265C60">
        <w:t>Кроме того, в рамках проверок выявлены факты</w:t>
      </w:r>
      <w:r w:rsidR="006C6678">
        <w:rPr>
          <w:b/>
        </w:rPr>
        <w:t xml:space="preserve"> увеличения расходов на</w:t>
      </w:r>
      <w:r w:rsidR="004D37CE">
        <w:rPr>
          <w:b/>
        </w:rPr>
        <w:t> </w:t>
      </w:r>
      <w:r w:rsidR="006C6678">
        <w:rPr>
          <w:b/>
        </w:rPr>
        <w:t xml:space="preserve">реализацию </w:t>
      </w:r>
      <w:r w:rsidRPr="00265C60">
        <w:rPr>
          <w:b/>
        </w:rPr>
        <w:t xml:space="preserve">длящихся мероприятий, </w:t>
      </w:r>
      <w:r w:rsidRPr="00265C60">
        <w:t>которые соответствуют характеристикам</w:t>
      </w:r>
      <w:r w:rsidRPr="00265C60">
        <w:rPr>
          <w:b/>
        </w:rPr>
        <w:t xml:space="preserve"> новых принимаемых расходных обязательств</w:t>
      </w:r>
      <w:r w:rsidRPr="00265C60">
        <w:t>.</w:t>
      </w:r>
    </w:p>
    <w:p w:rsidR="00265C60" w:rsidRPr="00265C60" w:rsidRDefault="006C6678" w:rsidP="00265C60">
      <w:pPr>
        <w:rPr>
          <w:bCs/>
          <w:iCs/>
        </w:rPr>
      </w:pPr>
      <w:r w:rsidRPr="006C6678">
        <w:rPr>
          <w:bCs/>
          <w:iCs/>
        </w:rPr>
        <w:t>Анализ методических документов, разрабатываемых Минфином России при</w:t>
      </w:r>
      <w:r w:rsidR="004D37CE">
        <w:rPr>
          <w:bCs/>
          <w:iCs/>
        </w:rPr>
        <w:t> </w:t>
      </w:r>
      <w:r w:rsidRPr="006C6678">
        <w:rPr>
          <w:bCs/>
          <w:iCs/>
        </w:rPr>
        <w:t>формировании предельных базовых бюджетных ассигнований федерального бюджета, показал</w:t>
      </w:r>
      <w:r w:rsidRPr="004D37CE">
        <w:rPr>
          <w:bCs/>
          <w:iCs/>
        </w:rPr>
        <w:t>,</w:t>
      </w:r>
      <w:r>
        <w:rPr>
          <w:b/>
          <w:bCs/>
          <w:iCs/>
        </w:rPr>
        <w:t xml:space="preserve"> </w:t>
      </w:r>
      <w:r w:rsidRPr="006C6678">
        <w:rPr>
          <w:bCs/>
          <w:iCs/>
        </w:rPr>
        <w:t>что</w:t>
      </w:r>
      <w:r>
        <w:rPr>
          <w:bCs/>
          <w:iCs/>
        </w:rPr>
        <w:t xml:space="preserve"> перераспределение резервных средств на реализацию отдельных длящихся мероприятий </w:t>
      </w:r>
      <w:r w:rsidR="00265C60" w:rsidRPr="00265C60">
        <w:rPr>
          <w:b/>
          <w:bCs/>
          <w:iCs/>
        </w:rPr>
        <w:t>предусматрива</w:t>
      </w:r>
      <w:r>
        <w:rPr>
          <w:b/>
          <w:bCs/>
          <w:iCs/>
        </w:rPr>
        <w:t>е</w:t>
      </w:r>
      <w:r w:rsidR="00265C60" w:rsidRPr="00265C60">
        <w:rPr>
          <w:b/>
          <w:bCs/>
          <w:iCs/>
        </w:rPr>
        <w:t>тся в рамках</w:t>
      </w:r>
      <w:r w:rsidR="00265C60" w:rsidRPr="00265C60">
        <w:rPr>
          <w:bCs/>
          <w:iCs/>
        </w:rPr>
        <w:t xml:space="preserve"> </w:t>
      </w:r>
      <w:r w:rsidR="00265C60" w:rsidRPr="00265C60">
        <w:rPr>
          <w:b/>
          <w:bCs/>
          <w:iCs/>
        </w:rPr>
        <w:t>изменения структуры</w:t>
      </w:r>
      <w:r w:rsidR="00265C60" w:rsidRPr="00265C60">
        <w:rPr>
          <w:bCs/>
          <w:iCs/>
        </w:rPr>
        <w:t xml:space="preserve"> расходов федерального бюджета, а не в рамках факторов увеличения длящихся мероприятий.</w:t>
      </w:r>
    </w:p>
    <w:p w:rsidR="00265C60" w:rsidRPr="00265C60" w:rsidRDefault="00265C60" w:rsidP="00265C60">
      <w:pPr>
        <w:rPr>
          <w:bCs/>
          <w:iCs/>
        </w:rPr>
      </w:pPr>
      <w:r w:rsidRPr="00265C60">
        <w:rPr>
          <w:bCs/>
          <w:iCs/>
        </w:rPr>
        <w:t xml:space="preserve">По мнению Счетной палаты, указанные подходы </w:t>
      </w:r>
      <w:r w:rsidRPr="00265C60">
        <w:rPr>
          <w:b/>
          <w:bCs/>
          <w:iCs/>
        </w:rPr>
        <w:t xml:space="preserve">снижают прозрачность формирования предельных базовых </w:t>
      </w:r>
      <w:r w:rsidRPr="00265C60">
        <w:rPr>
          <w:bCs/>
          <w:iCs/>
        </w:rPr>
        <w:t xml:space="preserve">бюджетных ассигнований и </w:t>
      </w:r>
      <w:r w:rsidRPr="00265C60">
        <w:rPr>
          <w:b/>
          <w:bCs/>
          <w:iCs/>
        </w:rPr>
        <w:t>требуют соответствующего развити</w:t>
      </w:r>
      <w:r w:rsidR="00EE1D1B">
        <w:rPr>
          <w:b/>
          <w:bCs/>
          <w:iCs/>
        </w:rPr>
        <w:t>я</w:t>
      </w:r>
      <w:r w:rsidR="004D37CE">
        <w:rPr>
          <w:b/>
          <w:bCs/>
          <w:iCs/>
        </w:rPr>
        <w:t>;</w:t>
      </w:r>
    </w:p>
    <w:p w:rsidR="00265C60" w:rsidRPr="00265C60" w:rsidRDefault="00265C60" w:rsidP="00265C60">
      <w:pPr>
        <w:pStyle w:val="rvps698610"/>
        <w:widowControl w:val="0"/>
        <w:tabs>
          <w:tab w:val="left" w:pos="9337"/>
        </w:tabs>
        <w:spacing w:after="0"/>
        <w:ind w:right="0"/>
        <w:rPr>
          <w:rFonts w:eastAsia="Calibri"/>
          <w:lang w:eastAsia="en-US"/>
        </w:rPr>
      </w:pPr>
      <w:r w:rsidRPr="00265C60">
        <w:rPr>
          <w:rFonts w:eastAsia="Calibri"/>
          <w:lang w:eastAsia="en-US"/>
        </w:rPr>
        <w:t>3) в соответствии с Основными направлениями планируются мероприятия по</w:t>
      </w:r>
      <w:r w:rsidR="004D37CE">
        <w:rPr>
          <w:rFonts w:eastAsia="Calibri"/>
          <w:lang w:eastAsia="en-US"/>
        </w:rPr>
        <w:t> </w:t>
      </w:r>
      <w:r w:rsidRPr="00265C60">
        <w:rPr>
          <w:rFonts w:eastAsia="Calibri"/>
          <w:lang w:eastAsia="en-US"/>
        </w:rPr>
        <w:t xml:space="preserve">развитию </w:t>
      </w:r>
      <w:r w:rsidRPr="00265C60">
        <w:rPr>
          <w:rFonts w:eastAsia="Calibri"/>
          <w:b/>
          <w:lang w:eastAsia="en-US"/>
        </w:rPr>
        <w:t>современных технологий планирования бюджета</w:t>
      </w:r>
      <w:r w:rsidRPr="00265C60">
        <w:rPr>
          <w:rFonts w:eastAsia="Calibri"/>
          <w:lang w:eastAsia="en-US"/>
        </w:rPr>
        <w:t xml:space="preserve">, </w:t>
      </w:r>
      <w:r w:rsidRPr="00265C60">
        <w:rPr>
          <w:rFonts w:eastAsia="Calibri"/>
          <w:b/>
          <w:lang w:eastAsia="en-US"/>
        </w:rPr>
        <w:t>повышения эффективности базовых бюджетных ассигнований</w:t>
      </w:r>
      <w:r w:rsidRPr="00265C60">
        <w:rPr>
          <w:rFonts w:eastAsia="Calibri"/>
          <w:lang w:eastAsia="en-US"/>
        </w:rPr>
        <w:t>.</w:t>
      </w:r>
    </w:p>
    <w:p w:rsidR="00265C60" w:rsidRPr="00265C60" w:rsidRDefault="00265C60" w:rsidP="00265C60">
      <w:pPr>
        <w:pStyle w:val="rvps698610"/>
        <w:widowControl w:val="0"/>
        <w:tabs>
          <w:tab w:val="left" w:pos="9337"/>
        </w:tabs>
        <w:spacing w:after="0"/>
        <w:ind w:right="0"/>
        <w:rPr>
          <w:rFonts w:eastAsia="Calibri"/>
          <w:lang w:eastAsia="en-US"/>
        </w:rPr>
      </w:pPr>
      <w:r w:rsidRPr="00265C60">
        <w:rPr>
          <w:rFonts w:eastAsia="Calibri"/>
          <w:lang w:eastAsia="en-US"/>
        </w:rPr>
        <w:t xml:space="preserve">Счетная палата в рамках проверок отметила недостатки формирования предельных базовых бюджетных ассигнований, которые </w:t>
      </w:r>
      <w:r w:rsidRPr="00265C60">
        <w:rPr>
          <w:rFonts w:eastAsia="Calibri"/>
          <w:b/>
          <w:lang w:eastAsia="en-US"/>
        </w:rPr>
        <w:t>носят методологический характер</w:t>
      </w:r>
      <w:r w:rsidRPr="00265C60">
        <w:rPr>
          <w:rFonts w:eastAsia="Calibri"/>
          <w:lang w:eastAsia="en-US"/>
        </w:rPr>
        <w:t xml:space="preserve">. </w:t>
      </w:r>
    </w:p>
    <w:p w:rsidR="00265C60" w:rsidRPr="00265C60" w:rsidRDefault="00265C60" w:rsidP="00265C60">
      <w:r w:rsidRPr="00265C60">
        <w:t xml:space="preserve">Так, в бюджетном законодательстве (включая нормативные правовые акты) </w:t>
      </w:r>
      <w:r w:rsidRPr="00265C60">
        <w:rPr>
          <w:b/>
        </w:rPr>
        <w:t>отсутствует определение нормативно</w:t>
      </w:r>
      <w:r w:rsidR="00EE1D1B">
        <w:rPr>
          <w:b/>
        </w:rPr>
        <w:t xml:space="preserve"> </w:t>
      </w:r>
      <w:r w:rsidRPr="00265C60">
        <w:rPr>
          <w:b/>
        </w:rPr>
        <w:t xml:space="preserve">обусловленных расходов, </w:t>
      </w:r>
      <w:r w:rsidRPr="00265C60">
        <w:t xml:space="preserve">которые </w:t>
      </w:r>
      <w:r w:rsidRPr="00265C60">
        <w:rPr>
          <w:b/>
        </w:rPr>
        <w:t>не могут быть уменьшены</w:t>
      </w:r>
      <w:r w:rsidRPr="00265C60">
        <w:t xml:space="preserve"> в рамках приорит</w:t>
      </w:r>
      <w:r w:rsidR="00EE1D1B">
        <w:t>и</w:t>
      </w:r>
      <w:r w:rsidRPr="00265C60">
        <w:t xml:space="preserve">зации расходов, </w:t>
      </w:r>
      <w:r w:rsidRPr="00265C60">
        <w:rPr>
          <w:b/>
        </w:rPr>
        <w:t xml:space="preserve">что снижает прозрачность формирования </w:t>
      </w:r>
      <w:r w:rsidRPr="00265C60">
        <w:t>предельных базовых бюджетных ассигнований.</w:t>
      </w:r>
    </w:p>
    <w:p w:rsidR="00265C60" w:rsidRPr="00265C60" w:rsidRDefault="00265C60" w:rsidP="00265C60">
      <w:pPr>
        <w:rPr>
          <w:b/>
        </w:rPr>
      </w:pPr>
      <w:r w:rsidRPr="00265C60">
        <w:t>Кроме того, проверки Счетной палаты показали, что</w:t>
      </w:r>
      <w:r w:rsidRPr="00265C60">
        <w:rPr>
          <w:b/>
        </w:rPr>
        <w:t xml:space="preserve"> </w:t>
      </w:r>
      <w:r w:rsidR="004D37CE">
        <w:rPr>
          <w:b/>
        </w:rPr>
        <w:t>при</w:t>
      </w:r>
      <w:r w:rsidRPr="00265C60">
        <w:rPr>
          <w:b/>
        </w:rPr>
        <w:t xml:space="preserve"> отсутстви</w:t>
      </w:r>
      <w:r w:rsidR="004D37CE">
        <w:rPr>
          <w:b/>
        </w:rPr>
        <w:t>и</w:t>
      </w:r>
      <w:r w:rsidRPr="00265C60">
        <w:rPr>
          <w:b/>
        </w:rPr>
        <w:t xml:space="preserve"> нормативного регулирования при проведении приорит</w:t>
      </w:r>
      <w:r w:rsidR="00EE1D1B">
        <w:rPr>
          <w:b/>
        </w:rPr>
        <w:t>и</w:t>
      </w:r>
      <w:r w:rsidRPr="00265C60">
        <w:rPr>
          <w:b/>
        </w:rPr>
        <w:t>зации расходов используются различные п</w:t>
      </w:r>
      <w:r w:rsidR="00EE1D1B">
        <w:rPr>
          <w:b/>
        </w:rPr>
        <w:t xml:space="preserve">одходы к определению нормативно </w:t>
      </w:r>
      <w:r w:rsidRPr="00265C60">
        <w:rPr>
          <w:b/>
        </w:rPr>
        <w:t>обусловленных расходов.</w:t>
      </w:r>
    </w:p>
    <w:p w:rsidR="00265C60" w:rsidRPr="00265C60" w:rsidRDefault="00265C60" w:rsidP="00265C60">
      <w:pPr>
        <w:rPr>
          <w:b/>
        </w:rPr>
      </w:pPr>
      <w:r w:rsidRPr="00265C60">
        <w:t>При этом Основные направления</w:t>
      </w:r>
      <w:r w:rsidRPr="00265C60">
        <w:rPr>
          <w:b/>
        </w:rPr>
        <w:t xml:space="preserve"> не содержат </w:t>
      </w:r>
      <w:r w:rsidR="00EE1D1B">
        <w:rPr>
          <w:b/>
        </w:rPr>
        <w:t>задач</w:t>
      </w:r>
      <w:r w:rsidRPr="00265C60">
        <w:rPr>
          <w:b/>
        </w:rPr>
        <w:t xml:space="preserve"> по развитию методологи</w:t>
      </w:r>
      <w:r w:rsidR="00EE1D1B">
        <w:rPr>
          <w:b/>
        </w:rPr>
        <w:t xml:space="preserve">ческих </w:t>
      </w:r>
      <w:r w:rsidRPr="00265C60">
        <w:rPr>
          <w:b/>
        </w:rPr>
        <w:t xml:space="preserve">документов </w:t>
      </w:r>
      <w:r w:rsidR="00EE1D1B" w:rsidRPr="00EE1D1B">
        <w:t>в части</w:t>
      </w:r>
      <w:r w:rsidR="00EE1D1B">
        <w:rPr>
          <w:b/>
        </w:rPr>
        <w:t xml:space="preserve"> </w:t>
      </w:r>
      <w:r w:rsidRPr="00265C60">
        <w:rPr>
          <w:rFonts w:eastAsia="Calibri"/>
          <w:lang w:eastAsia="en-US"/>
        </w:rPr>
        <w:t>формирования базовых бюджетных ассигнований</w:t>
      </w:r>
      <w:r w:rsidR="004D37CE">
        <w:t>;</w:t>
      </w:r>
    </w:p>
    <w:p w:rsidR="00265C60" w:rsidRPr="00265C60" w:rsidRDefault="00265C60" w:rsidP="00265C60">
      <w:r w:rsidRPr="00265C60">
        <w:t xml:space="preserve">4) Основными направлениями предусмотрено, </w:t>
      </w:r>
      <w:r w:rsidR="00EE1D1B">
        <w:t xml:space="preserve">что </w:t>
      </w:r>
      <w:r w:rsidRPr="00265C60">
        <w:t xml:space="preserve">в 2025 году </w:t>
      </w:r>
      <w:r w:rsidRPr="00265C60">
        <w:rPr>
          <w:b/>
        </w:rPr>
        <w:t>в рамках работы по</w:t>
      </w:r>
      <w:r w:rsidR="00C13D28">
        <w:rPr>
          <w:b/>
        </w:rPr>
        <w:t> </w:t>
      </w:r>
      <w:r w:rsidRPr="00265C60">
        <w:rPr>
          <w:b/>
        </w:rPr>
        <w:t>повышению эффективности планирования и исполнения бюджета</w:t>
      </w:r>
      <w:r w:rsidRPr="00265C60">
        <w:t xml:space="preserve"> внедрен </w:t>
      </w:r>
      <w:r w:rsidRPr="00265C60">
        <w:rPr>
          <w:b/>
        </w:rPr>
        <w:t>справочник планируемых и принятых решений</w:t>
      </w:r>
      <w:r w:rsidRPr="00265C60">
        <w:t xml:space="preserve"> (поручений), влекущих финансовые последствия для</w:t>
      </w:r>
      <w:r w:rsidR="004D37CE">
        <w:t> </w:t>
      </w:r>
      <w:r w:rsidRPr="00265C60">
        <w:t xml:space="preserve">федерального бюджета, обеспечивающий систематизацию таких поручений в </w:t>
      </w:r>
      <w:r w:rsidR="00EE1D1B">
        <w:t>ГИИС</w:t>
      </w:r>
      <w:r w:rsidRPr="00265C60">
        <w:t xml:space="preserve"> «Электронный бюджет».</w:t>
      </w:r>
    </w:p>
    <w:p w:rsidR="00265C60" w:rsidRPr="00265C60" w:rsidRDefault="00265C60" w:rsidP="00265C60">
      <w:pPr>
        <w:outlineLvl w:val="2"/>
      </w:pPr>
      <w:r w:rsidRPr="00265C60">
        <w:t>Счетная палата на протяжении ряда лет отмечала необходимость исполнения нормы статьи 174</w:t>
      </w:r>
      <w:r w:rsidRPr="00265C60">
        <w:rPr>
          <w:vertAlign w:val="superscript"/>
        </w:rPr>
        <w:t>2</w:t>
      </w:r>
      <w:r w:rsidRPr="00265C60">
        <w:t xml:space="preserve"> Бюджетного кодекса Российской Федерации о </w:t>
      </w:r>
      <w:r w:rsidRPr="00265C60">
        <w:rPr>
          <w:b/>
        </w:rPr>
        <w:t>раздельном планировании</w:t>
      </w:r>
      <w:r w:rsidRPr="00265C60">
        <w:t xml:space="preserve"> бюджетных ассигнований </w:t>
      </w:r>
      <w:r w:rsidRPr="00265C60">
        <w:rPr>
          <w:b/>
        </w:rPr>
        <w:t>на исполнение действующих и принимаемых расходных обязательств</w:t>
      </w:r>
      <w:r w:rsidRPr="00265C60">
        <w:t xml:space="preserve"> и рекомендовала рассмотреть вопрос о внесении изменений в Порядок ведения реестра расходных обязательств Российской Федерации, утвержденный постановлением Правительства Российской Федерации от 7 июля 2014 г. № 621, в части установления при планировании бюджетных ассигнований обособленного учета действующих и принимаемых расходных обязательств, подлежащих исполнению за счет федерального бюджета.</w:t>
      </w:r>
    </w:p>
    <w:p w:rsidR="00EE1D1B" w:rsidRDefault="00EE1D1B" w:rsidP="00EE1D1B">
      <w:r>
        <w:t xml:space="preserve">Приказом Минфина России </w:t>
      </w:r>
      <w:r w:rsidR="00265C60" w:rsidRPr="00265C60">
        <w:rPr>
          <w:b/>
        </w:rPr>
        <w:t>от 11 февраля 2025 г. № 12н</w:t>
      </w:r>
      <w:r w:rsidR="00265C60" w:rsidRPr="00265C60">
        <w:t xml:space="preserve"> </w:t>
      </w:r>
      <w:r>
        <w:t>утвержден</w:t>
      </w:r>
      <w:r w:rsidR="00265C60" w:rsidRPr="00265C60">
        <w:t xml:space="preserve"> </w:t>
      </w:r>
      <w:r>
        <w:t>п</w:t>
      </w:r>
      <w:r w:rsidR="00265C60" w:rsidRPr="00265C60">
        <w:t>оряд</w:t>
      </w:r>
      <w:r>
        <w:t>ок</w:t>
      </w:r>
      <w:r w:rsidR="00265C60" w:rsidRPr="00265C60">
        <w:t xml:space="preserve"> формирования и ведения реестра планируемых и принятых решений Президента Российской Федерации, Правительства Российской Федерации, федеральных органов исполнительной власти, иных государственных органов и организаций</w:t>
      </w:r>
      <w:r>
        <w:t xml:space="preserve"> (далее – приказ </w:t>
      </w:r>
      <w:r w:rsidR="004D37CE">
        <w:t>№ </w:t>
      </w:r>
      <w:r>
        <w:t xml:space="preserve">12н), которым предусмотрены требования к </w:t>
      </w:r>
      <w:r w:rsidRPr="00EE1D1B">
        <w:rPr>
          <w:b/>
        </w:rPr>
        <w:t>формированию и ведению</w:t>
      </w:r>
      <w:r>
        <w:t xml:space="preserve"> </w:t>
      </w:r>
      <w:r w:rsidR="00265C60" w:rsidRPr="00265C60">
        <w:rPr>
          <w:b/>
        </w:rPr>
        <w:t>Минфином России</w:t>
      </w:r>
      <w:r w:rsidR="00265C60" w:rsidRPr="00265C60">
        <w:t xml:space="preserve"> в ГИИС «Электронный бюджет» </w:t>
      </w:r>
      <w:r w:rsidR="00265C60" w:rsidRPr="00265C60">
        <w:rPr>
          <w:b/>
        </w:rPr>
        <w:t>реестра планируемых и принятых решений Президента</w:t>
      </w:r>
      <w:r w:rsidR="00265C60" w:rsidRPr="00265C60">
        <w:t xml:space="preserve"> Российской Федерации, </w:t>
      </w:r>
      <w:r w:rsidR="00265C60" w:rsidRPr="00265C60">
        <w:rPr>
          <w:b/>
        </w:rPr>
        <w:t>Правительства</w:t>
      </w:r>
      <w:r w:rsidR="00265C60" w:rsidRPr="00265C60">
        <w:t xml:space="preserve"> Российской Федерации, федеральных органов исполнительной власти, иных государственных органов и организаций, содержащего детализированную оценку расходов федерального бюджета на финансовое обеспечение реализации соответствующих решений (далее соответственно </w:t>
      </w:r>
      <w:r w:rsidR="004D37CE">
        <w:t>–</w:t>
      </w:r>
      <w:r w:rsidR="00265C60" w:rsidRPr="00265C60">
        <w:t xml:space="preserve"> Реестр, Решение). </w:t>
      </w:r>
    </w:p>
    <w:p w:rsidR="00265C60" w:rsidRPr="00265C60" w:rsidRDefault="00265C60" w:rsidP="00EE1D1B">
      <w:r w:rsidRPr="00265C60">
        <w:t xml:space="preserve">В качестве Решения в Реестре </w:t>
      </w:r>
      <w:r w:rsidRPr="00265C60">
        <w:rPr>
          <w:b/>
        </w:rPr>
        <w:t>учитывается документ,</w:t>
      </w:r>
      <w:r w:rsidRPr="00265C60">
        <w:t xml:space="preserve"> реализация положений которого </w:t>
      </w:r>
      <w:r w:rsidRPr="00265C60">
        <w:rPr>
          <w:b/>
        </w:rPr>
        <w:t>предполагает исполнение или увеличение действующих</w:t>
      </w:r>
      <w:r w:rsidRPr="00265C60">
        <w:t xml:space="preserve"> расходных обязательств Российской Федерации, </w:t>
      </w:r>
      <w:r w:rsidRPr="00265C60">
        <w:rPr>
          <w:b/>
        </w:rPr>
        <w:t>принятие новых расходных обязательств</w:t>
      </w:r>
      <w:r w:rsidRPr="00265C60">
        <w:t xml:space="preserve"> Российской Федерации.</w:t>
      </w:r>
    </w:p>
    <w:p w:rsidR="00265C60" w:rsidRPr="00265C60" w:rsidRDefault="00265C60" w:rsidP="00265C60">
      <w:r w:rsidRPr="00265C60">
        <w:t xml:space="preserve">При этом проверки показали, что Справочник поручений содержит не только ссылки на основания, указанные в приказе № 12н, но и </w:t>
      </w:r>
      <w:r w:rsidRPr="00265C60">
        <w:rPr>
          <w:b/>
        </w:rPr>
        <w:t>ссылки на федеральные законы</w:t>
      </w:r>
      <w:r w:rsidRPr="00265C60">
        <w:t xml:space="preserve">, </w:t>
      </w:r>
      <w:r w:rsidRPr="00265C60">
        <w:rPr>
          <w:b/>
        </w:rPr>
        <w:t>которые не относятся</w:t>
      </w:r>
      <w:r w:rsidRPr="00265C60">
        <w:t xml:space="preserve"> к основаниям</w:t>
      </w:r>
      <w:r w:rsidRPr="00265C60">
        <w:rPr>
          <w:b/>
        </w:rPr>
        <w:t xml:space="preserve"> для включения в данный Справочник</w:t>
      </w:r>
      <w:r w:rsidRPr="00265C60">
        <w:t xml:space="preserve">. Кроме того, </w:t>
      </w:r>
      <w:r w:rsidRPr="00265C60">
        <w:rPr>
          <w:b/>
        </w:rPr>
        <w:t>404</w:t>
      </w:r>
      <w:r w:rsidR="004D37CE">
        <w:rPr>
          <w:b/>
        </w:rPr>
        <w:t> </w:t>
      </w:r>
      <w:r w:rsidRPr="00265C60">
        <w:rPr>
          <w:b/>
        </w:rPr>
        <w:t>записи (18 % общего числа группирующих реестровых записей</w:t>
      </w:r>
      <w:r w:rsidRPr="00265C60">
        <w:t xml:space="preserve">) отнесены </w:t>
      </w:r>
      <w:r w:rsidRPr="00265C60">
        <w:rPr>
          <w:b/>
        </w:rPr>
        <w:t>к иным актам и поручениям</w:t>
      </w:r>
      <w:r w:rsidRPr="00265C60">
        <w:t xml:space="preserve"> (225 – иные акты, 179 – иные поручения), что снижает его</w:t>
      </w:r>
      <w:r w:rsidR="005E3A9C">
        <w:t> </w:t>
      </w:r>
      <w:r w:rsidRPr="00265C60">
        <w:t>прозрачность.</w:t>
      </w:r>
    </w:p>
    <w:p w:rsidR="00265C60" w:rsidRPr="00265C60" w:rsidRDefault="00265C60" w:rsidP="00265C60">
      <w:r w:rsidRPr="00265C60">
        <w:t xml:space="preserve">Согласно полученной в рамках проверки информации </w:t>
      </w:r>
      <w:r w:rsidRPr="00265C60">
        <w:rPr>
          <w:b/>
        </w:rPr>
        <w:t>общий объем</w:t>
      </w:r>
      <w:r w:rsidRPr="00265C60">
        <w:t xml:space="preserve"> учтенных в</w:t>
      </w:r>
      <w:r w:rsidR="005E3A9C">
        <w:t> </w:t>
      </w:r>
      <w:r w:rsidRPr="00265C60">
        <w:t xml:space="preserve">законопроекте </w:t>
      </w:r>
      <w:r w:rsidRPr="00265C60">
        <w:rPr>
          <w:b/>
        </w:rPr>
        <w:t>новых расходных обязательств</w:t>
      </w:r>
      <w:r w:rsidRPr="00265C60">
        <w:t xml:space="preserve"> на 2026 год составил 16,7 млрд рублей (</w:t>
      </w:r>
      <w:r w:rsidRPr="00265C60">
        <w:rPr>
          <w:b/>
        </w:rPr>
        <w:t>0,04</w:t>
      </w:r>
      <w:r w:rsidR="005E3A9C">
        <w:rPr>
          <w:b/>
        </w:rPr>
        <w:t> </w:t>
      </w:r>
      <w:r w:rsidRPr="00265C60">
        <w:rPr>
          <w:b/>
        </w:rPr>
        <w:t>%</w:t>
      </w:r>
      <w:r w:rsidRPr="00265C60">
        <w:t xml:space="preserve"> общего объема расходов на 2026 год), на 2027 год – 10,4 млрд рублей (</w:t>
      </w:r>
      <w:r w:rsidRPr="00265C60">
        <w:rPr>
          <w:b/>
        </w:rPr>
        <w:t>0,02</w:t>
      </w:r>
      <w:r w:rsidR="005E3A9C">
        <w:rPr>
          <w:b/>
        </w:rPr>
        <w:t> </w:t>
      </w:r>
      <w:r w:rsidRPr="00265C60">
        <w:rPr>
          <w:b/>
        </w:rPr>
        <w:t>%</w:t>
      </w:r>
      <w:r w:rsidRPr="00265C60">
        <w:t xml:space="preserve"> общего объема расходов на 2027 год), на 2028 год – 7,4 млрд рублей (</w:t>
      </w:r>
      <w:r w:rsidRPr="00265C60">
        <w:rPr>
          <w:b/>
        </w:rPr>
        <w:t>0,01</w:t>
      </w:r>
      <w:r w:rsidR="005E3A9C">
        <w:rPr>
          <w:b/>
        </w:rPr>
        <w:t> </w:t>
      </w:r>
      <w:r w:rsidRPr="00265C60">
        <w:rPr>
          <w:b/>
        </w:rPr>
        <w:t>%</w:t>
      </w:r>
      <w:r w:rsidRPr="00265C60">
        <w:t xml:space="preserve"> общего объема расходов на 2027 год).</w:t>
      </w:r>
    </w:p>
    <w:p w:rsidR="00265C60" w:rsidRPr="00265C60" w:rsidRDefault="00265C60" w:rsidP="00265C60">
      <w:pPr>
        <w:rPr>
          <w:b/>
        </w:rPr>
      </w:pPr>
      <w:r w:rsidRPr="00265C60">
        <w:t xml:space="preserve">При этом выявлены факты отнесения к новым расходным обязательствам мероприятий, которые обладают </w:t>
      </w:r>
      <w:r w:rsidRPr="00265C60">
        <w:rPr>
          <w:b/>
        </w:rPr>
        <w:t>признаками действующих расходных обязательств</w:t>
      </w:r>
      <w:r w:rsidRPr="00265C60">
        <w:t>, а</w:t>
      </w:r>
      <w:r w:rsidR="005E3A9C">
        <w:t> </w:t>
      </w:r>
      <w:r w:rsidRPr="00265C60">
        <w:t xml:space="preserve">также факты отсутствия в указанном Справочнике и перечне </w:t>
      </w:r>
      <w:r w:rsidRPr="00265C60">
        <w:rPr>
          <w:b/>
        </w:rPr>
        <w:t>новых расходных обязательств, на которые выделены дополнительные бюджетные ассигнования.</w:t>
      </w:r>
    </w:p>
    <w:p w:rsidR="00265C60" w:rsidRPr="00265C60" w:rsidRDefault="00265C60" w:rsidP="00265C60">
      <w:r w:rsidRPr="00265C60">
        <w:t>При этом Основные направления</w:t>
      </w:r>
      <w:r w:rsidRPr="00265C60">
        <w:rPr>
          <w:b/>
        </w:rPr>
        <w:t xml:space="preserve"> не содержат </w:t>
      </w:r>
      <w:r w:rsidR="00EE1D1B">
        <w:rPr>
          <w:b/>
        </w:rPr>
        <w:t>задач</w:t>
      </w:r>
      <w:r w:rsidRPr="00265C60">
        <w:rPr>
          <w:b/>
        </w:rPr>
        <w:t xml:space="preserve"> по дальнейшему развитию</w:t>
      </w:r>
      <w:r w:rsidRPr="00265C60">
        <w:t xml:space="preserve"> </w:t>
      </w:r>
      <w:r w:rsidR="00843CE2" w:rsidRPr="00265C60">
        <w:rPr>
          <w:b/>
        </w:rPr>
        <w:t>справочника планируемых и принятых решений (поручений)</w:t>
      </w:r>
      <w:r w:rsidR="00843CE2">
        <w:rPr>
          <w:b/>
        </w:rPr>
        <w:t xml:space="preserve"> </w:t>
      </w:r>
      <w:r w:rsidRPr="00265C60">
        <w:t>в рамках работы по</w:t>
      </w:r>
      <w:r w:rsidR="005E3A9C">
        <w:t> </w:t>
      </w:r>
      <w:r w:rsidRPr="00265C60">
        <w:t>повышению эффективности планирования и исполнения бюджета.</w:t>
      </w:r>
    </w:p>
    <w:p w:rsidR="00265C60" w:rsidRPr="00265C60" w:rsidRDefault="00265C60" w:rsidP="00265C60">
      <w:pPr>
        <w:spacing w:line="348" w:lineRule="auto"/>
      </w:pPr>
      <w:r w:rsidRPr="00265C60">
        <w:t>Счетная палата рекомендует усилить работу по нормативному регулированию указанного вопроса и методологическому сопровождению главных распорядителей, в том числе по разъяснению требований к ука</w:t>
      </w:r>
      <w:r w:rsidR="005E3A9C">
        <w:t>занным расходным обязательствам;</w:t>
      </w:r>
    </w:p>
    <w:p w:rsidR="00265C60" w:rsidRPr="00265C60" w:rsidRDefault="007042B5" w:rsidP="00265C60">
      <w:pPr>
        <w:pStyle w:val="rvps698610"/>
        <w:widowControl w:val="0"/>
        <w:tabs>
          <w:tab w:val="left" w:pos="9337"/>
        </w:tabs>
        <w:spacing w:after="0"/>
        <w:ind w:right="0"/>
        <w:rPr>
          <w:iCs/>
        </w:rPr>
      </w:pPr>
      <w:r>
        <w:rPr>
          <w:rFonts w:eastAsia="Calibri"/>
          <w:lang w:eastAsia="en-US"/>
        </w:rPr>
        <w:t>5</w:t>
      </w:r>
      <w:r w:rsidR="00265C60" w:rsidRPr="00265C60">
        <w:rPr>
          <w:rFonts w:eastAsia="Calibri"/>
          <w:lang w:eastAsia="en-US"/>
        </w:rPr>
        <w:t xml:space="preserve">) в Основных направлениях отмечено, что в рамках </w:t>
      </w:r>
      <w:r w:rsidR="00265C60" w:rsidRPr="00265C60">
        <w:rPr>
          <w:b/>
        </w:rPr>
        <w:t>систематическо</w:t>
      </w:r>
      <w:r w:rsidR="00843CE2">
        <w:rPr>
          <w:b/>
        </w:rPr>
        <w:t>го</w:t>
      </w:r>
      <w:r w:rsidR="00265C60" w:rsidRPr="00265C60">
        <w:rPr>
          <w:b/>
        </w:rPr>
        <w:t xml:space="preserve"> применени</w:t>
      </w:r>
      <w:r w:rsidR="00843CE2">
        <w:rPr>
          <w:b/>
        </w:rPr>
        <w:t>я</w:t>
      </w:r>
      <w:r w:rsidR="00265C60" w:rsidRPr="00265C60">
        <w:rPr>
          <w:b/>
        </w:rPr>
        <w:t xml:space="preserve"> механизмов ревизии базовых бюджетных ассигнований </w:t>
      </w:r>
      <w:r w:rsidR="00265C60" w:rsidRPr="00265C60">
        <w:t xml:space="preserve">планируется </w:t>
      </w:r>
      <w:r w:rsidR="00265C60" w:rsidRPr="00265C60">
        <w:rPr>
          <w:iCs/>
        </w:rPr>
        <w:t xml:space="preserve">дальнейшее </w:t>
      </w:r>
      <w:r w:rsidR="00265C60" w:rsidRPr="00265C60">
        <w:rPr>
          <w:b/>
          <w:iCs/>
        </w:rPr>
        <w:t>расширение</w:t>
      </w:r>
      <w:r w:rsidR="00265C60" w:rsidRPr="00265C60">
        <w:rPr>
          <w:iCs/>
        </w:rPr>
        <w:t xml:space="preserve"> практики применения </w:t>
      </w:r>
      <w:r w:rsidR="00265C60" w:rsidRPr="00265C60">
        <w:rPr>
          <w:b/>
          <w:iCs/>
        </w:rPr>
        <w:t>«нулевого бюджетирования»</w:t>
      </w:r>
      <w:r w:rsidR="00265C60" w:rsidRPr="00265C60">
        <w:rPr>
          <w:iCs/>
        </w:rPr>
        <w:t xml:space="preserve"> в отношении широкого перечня направлений расходования бюджетных средств в соответствии с утвержденным регламентом и </w:t>
      </w:r>
      <w:r w:rsidR="00265C60" w:rsidRPr="00265C60">
        <w:rPr>
          <w:b/>
          <w:iCs/>
        </w:rPr>
        <w:t>проведение обзоров бюджетных расходов</w:t>
      </w:r>
      <w:r w:rsidR="00265C60" w:rsidRPr="00265C60">
        <w:rPr>
          <w:iCs/>
        </w:rPr>
        <w:t xml:space="preserve"> с акцентом на </w:t>
      </w:r>
      <w:r w:rsidR="00265C60" w:rsidRPr="00265C60">
        <w:rPr>
          <w:b/>
          <w:iCs/>
        </w:rPr>
        <w:t>поиск возможностей оптимизации</w:t>
      </w:r>
      <w:r w:rsidR="00265C60" w:rsidRPr="00265C60">
        <w:rPr>
          <w:iCs/>
        </w:rPr>
        <w:t xml:space="preserve"> анализируемых бюджетных ассигнований.</w:t>
      </w:r>
    </w:p>
    <w:p w:rsidR="00265C60" w:rsidRPr="00265C60" w:rsidRDefault="00265C60" w:rsidP="00265C60">
      <w:pPr>
        <w:widowControl w:val="0"/>
        <w:rPr>
          <w:iCs/>
        </w:rPr>
      </w:pPr>
      <w:r w:rsidRPr="00265C60">
        <w:rPr>
          <w:iCs/>
        </w:rPr>
        <w:t xml:space="preserve">При этом результаты проведенных стратегических обзоров бюджетных расходов </w:t>
      </w:r>
      <w:r w:rsidRPr="00265C60">
        <w:rPr>
          <w:b/>
          <w:iCs/>
        </w:rPr>
        <w:t>не</w:t>
      </w:r>
      <w:r w:rsidR="005E3A9C">
        <w:rPr>
          <w:b/>
          <w:iCs/>
        </w:rPr>
        <w:t> </w:t>
      </w:r>
      <w:r w:rsidRPr="00265C60">
        <w:rPr>
          <w:b/>
          <w:iCs/>
        </w:rPr>
        <w:t>были включены</w:t>
      </w:r>
      <w:r w:rsidRPr="00265C60">
        <w:rPr>
          <w:iCs/>
        </w:rPr>
        <w:t xml:space="preserve"> </w:t>
      </w:r>
      <w:r w:rsidRPr="00265C60">
        <w:rPr>
          <w:b/>
          <w:iCs/>
        </w:rPr>
        <w:t>в Методику расчета предельных</w:t>
      </w:r>
      <w:r w:rsidRPr="00265C60">
        <w:rPr>
          <w:iCs/>
        </w:rPr>
        <w:t xml:space="preserve"> базовых бюджетных ассигнований федерального бюджета по государственным программам Российской Федерации и непрограммным направлениям деятельности на 2026 год и на плановый период 2027 и 2028</w:t>
      </w:r>
      <w:r w:rsidR="005E3A9C">
        <w:rPr>
          <w:iCs/>
        </w:rPr>
        <w:t> </w:t>
      </w:r>
      <w:r w:rsidRPr="00265C60">
        <w:rPr>
          <w:iCs/>
        </w:rPr>
        <w:t xml:space="preserve">годов и </w:t>
      </w:r>
      <w:r w:rsidRPr="00265C60">
        <w:rPr>
          <w:b/>
          <w:iCs/>
        </w:rPr>
        <w:t>не являлись предметом рассмотрения</w:t>
      </w:r>
      <w:r w:rsidRPr="00265C60">
        <w:rPr>
          <w:iCs/>
        </w:rPr>
        <w:t xml:space="preserve"> </w:t>
      </w:r>
      <w:r w:rsidRPr="00265C60">
        <w:rPr>
          <w:b/>
          <w:iCs/>
        </w:rPr>
        <w:t>Бюджетной комиссии</w:t>
      </w:r>
      <w:r w:rsidRPr="00265C60">
        <w:rPr>
          <w:iCs/>
        </w:rPr>
        <w:t xml:space="preserve">, в связи с чем такие результаты в </w:t>
      </w:r>
      <w:r w:rsidRPr="00265C60">
        <w:rPr>
          <w:b/>
          <w:iCs/>
        </w:rPr>
        <w:t xml:space="preserve">Правительственную комиссию не направлялись, </w:t>
      </w:r>
      <w:r w:rsidRPr="00265C60">
        <w:t xml:space="preserve">что </w:t>
      </w:r>
      <w:r w:rsidRPr="00265C60">
        <w:rPr>
          <w:b/>
        </w:rPr>
        <w:t>не</w:t>
      </w:r>
      <w:r w:rsidR="005E3A9C">
        <w:rPr>
          <w:b/>
        </w:rPr>
        <w:t> </w:t>
      </w:r>
      <w:r w:rsidRPr="00265C60">
        <w:rPr>
          <w:b/>
        </w:rPr>
        <w:t>соответствует пункту 11</w:t>
      </w:r>
      <w:r w:rsidRPr="00265C60">
        <w:rPr>
          <w:b/>
          <w:iCs/>
        </w:rPr>
        <w:t xml:space="preserve"> Регламента проведения обзоров </w:t>
      </w:r>
      <w:r w:rsidRPr="00265C60">
        <w:rPr>
          <w:iCs/>
        </w:rPr>
        <w:t>бюджетных расходов, утвержденного Заместителем Председателя Правительства Российской Федерации – Руководителя Аппарата Правительства Российской Федерации, председателем Правительственной комиссия по вопросам оптимизации и повышения эффективности бюджетных расходов Григоренко</w:t>
      </w:r>
      <w:r w:rsidR="005E3A9C">
        <w:rPr>
          <w:iCs/>
        </w:rPr>
        <w:t> </w:t>
      </w:r>
      <w:r w:rsidR="005E3A9C" w:rsidRPr="00265C60">
        <w:rPr>
          <w:iCs/>
        </w:rPr>
        <w:t xml:space="preserve">Д.Ю. </w:t>
      </w:r>
      <w:r w:rsidRPr="00265C60">
        <w:rPr>
          <w:iCs/>
        </w:rPr>
        <w:t>12 октября 2023 г. № 11803-П13-ДГ.</w:t>
      </w:r>
    </w:p>
    <w:p w:rsidR="00265C60" w:rsidRPr="00265C60" w:rsidRDefault="00265C60" w:rsidP="00265C60">
      <w:pPr>
        <w:widowControl w:val="0"/>
        <w:spacing w:line="348" w:lineRule="auto"/>
      </w:pPr>
      <w:r w:rsidRPr="00265C60">
        <w:t xml:space="preserve">Объемы восстановленных средств, </w:t>
      </w:r>
      <w:r w:rsidRPr="00265C60">
        <w:rPr>
          <w:b/>
        </w:rPr>
        <w:t>уменьшенных в рамках «нулевого бюджетирования»</w:t>
      </w:r>
      <w:r w:rsidRPr="00265C60">
        <w:t xml:space="preserve">, составили на 2026 год </w:t>
      </w:r>
      <w:r w:rsidR="005E3A9C">
        <w:t>–</w:t>
      </w:r>
      <w:r w:rsidRPr="00265C60">
        <w:t xml:space="preserve"> 104,8 млрд рублей, или </w:t>
      </w:r>
      <w:r w:rsidRPr="00265C60">
        <w:rPr>
          <w:b/>
        </w:rPr>
        <w:t>94,4%,</w:t>
      </w:r>
      <w:r w:rsidRPr="00265C60">
        <w:t xml:space="preserve"> на 2027 год </w:t>
      </w:r>
      <w:r w:rsidR="005E3A9C">
        <w:t xml:space="preserve">– </w:t>
      </w:r>
      <w:r w:rsidRPr="00265C60">
        <w:t xml:space="preserve">111,4 млрд рублей, или </w:t>
      </w:r>
      <w:r w:rsidRPr="00265C60">
        <w:rPr>
          <w:b/>
        </w:rPr>
        <w:t>99,3 %,</w:t>
      </w:r>
      <w:r w:rsidRPr="00265C60">
        <w:t xml:space="preserve"> на 2028 год – 113,4 млрд рублей, или </w:t>
      </w:r>
      <w:r w:rsidRPr="00265C60">
        <w:rPr>
          <w:b/>
        </w:rPr>
        <w:t>99,4</w:t>
      </w:r>
      <w:r w:rsidR="005E3A9C">
        <w:rPr>
          <w:b/>
        </w:rPr>
        <w:t> </w:t>
      </w:r>
      <w:r w:rsidRPr="00265C60">
        <w:rPr>
          <w:b/>
        </w:rPr>
        <w:t>%.</w:t>
      </w:r>
    </w:p>
    <w:p w:rsidR="00265C60" w:rsidRPr="00265C60" w:rsidRDefault="00265C60" w:rsidP="00265C60">
      <w:pPr>
        <w:widowControl w:val="0"/>
        <w:rPr>
          <w:iCs/>
        </w:rPr>
      </w:pPr>
      <w:r w:rsidRPr="00265C60">
        <w:t xml:space="preserve">При этом обращаем внимание, что </w:t>
      </w:r>
      <w:r w:rsidRPr="00265C60">
        <w:rPr>
          <w:b/>
        </w:rPr>
        <w:t>главными распорядителями</w:t>
      </w:r>
      <w:r w:rsidRPr="00265C60">
        <w:t xml:space="preserve"> средств федерального бюджета </w:t>
      </w:r>
      <w:r w:rsidR="00843CE2">
        <w:t xml:space="preserve">заявлены значительные </w:t>
      </w:r>
      <w:r w:rsidRPr="00265C60">
        <w:t>объем</w:t>
      </w:r>
      <w:r w:rsidR="00843CE2">
        <w:t>ы</w:t>
      </w:r>
      <w:r w:rsidRPr="00265C60">
        <w:t xml:space="preserve"> дополнительной потребности </w:t>
      </w:r>
      <w:r w:rsidRPr="00265C60">
        <w:rPr>
          <w:b/>
        </w:rPr>
        <w:t>по</w:t>
      </w:r>
      <w:r w:rsidR="00D549F3">
        <w:rPr>
          <w:b/>
        </w:rPr>
        <w:t> </w:t>
      </w:r>
      <w:r w:rsidRPr="00265C60">
        <w:rPr>
          <w:b/>
        </w:rPr>
        <w:t>тем</w:t>
      </w:r>
      <w:r w:rsidR="00D549F3">
        <w:rPr>
          <w:b/>
        </w:rPr>
        <w:t> </w:t>
      </w:r>
      <w:r w:rsidRPr="00265C60">
        <w:rPr>
          <w:b/>
        </w:rPr>
        <w:t>же кодам бюджетной классификации</w:t>
      </w:r>
      <w:r w:rsidRPr="00265C60">
        <w:t xml:space="preserve">, </w:t>
      </w:r>
      <w:r w:rsidR="00843CE2">
        <w:t>по которым проведено «нулевое бюджетирование»</w:t>
      </w:r>
      <w:r w:rsidRPr="00265C60">
        <w:t>.</w:t>
      </w:r>
    </w:p>
    <w:p w:rsidR="00265C60" w:rsidRPr="00265C60" w:rsidRDefault="00D549F3" w:rsidP="00265C60">
      <w:pPr>
        <w:widowControl w:val="0"/>
      </w:pPr>
      <w:r>
        <w:t>С учетом изложенного</w:t>
      </w:r>
      <w:r w:rsidR="00265C60" w:rsidRPr="00265C60">
        <w:t xml:space="preserve"> Счетная палата </w:t>
      </w:r>
      <w:r w:rsidR="00265C60" w:rsidRPr="00265C60">
        <w:rPr>
          <w:b/>
        </w:rPr>
        <w:t>сохраняет позицию</w:t>
      </w:r>
      <w:r w:rsidR="00265C60" w:rsidRPr="00265C60">
        <w:t xml:space="preserve"> о необходимости включения в Правила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утвержденные постановлением Правительства Российской Федерации от 24 марта 2018 г. №</w:t>
      </w:r>
      <w:r>
        <w:t> </w:t>
      </w:r>
      <w:r w:rsidR="00265C60" w:rsidRPr="00265C60">
        <w:t xml:space="preserve">326, положений </w:t>
      </w:r>
      <w:r w:rsidR="00265C60" w:rsidRPr="00265C60">
        <w:rPr>
          <w:b/>
        </w:rPr>
        <w:t>о порядке согласования вопросов в</w:t>
      </w:r>
      <w:r>
        <w:rPr>
          <w:b/>
        </w:rPr>
        <w:t> </w:t>
      </w:r>
      <w:r w:rsidR="00265C60" w:rsidRPr="00265C60">
        <w:rPr>
          <w:b/>
        </w:rPr>
        <w:t>рамках нулевого бюджетирования и проведения обзоров бюджетных расходов</w:t>
      </w:r>
      <w:r w:rsidR="00265C60" w:rsidRPr="00265C60">
        <w:t xml:space="preserve">, а также закрепления </w:t>
      </w:r>
      <w:r w:rsidR="00265C60" w:rsidRPr="00265C60">
        <w:rPr>
          <w:b/>
        </w:rPr>
        <w:t>требований к дополнительным обоснованиям</w:t>
      </w:r>
      <w:r w:rsidR="00265C60" w:rsidRPr="00265C60">
        <w:t>, которые должны представляться при механизме нулевого бюджетирования.</w:t>
      </w:r>
    </w:p>
    <w:p w:rsidR="00C12E4E" w:rsidRPr="00265C60" w:rsidRDefault="00AB6B64" w:rsidP="00FD1665">
      <w:pPr>
        <w:pStyle w:val="rvps698610"/>
        <w:widowControl w:val="0"/>
        <w:tabs>
          <w:tab w:val="left" w:pos="9639"/>
        </w:tabs>
        <w:spacing w:after="0" w:line="348" w:lineRule="auto"/>
        <w:ind w:right="0"/>
        <w:rPr>
          <w:b/>
        </w:rPr>
      </w:pPr>
      <w:r w:rsidRPr="00265C60">
        <w:rPr>
          <w:b/>
        </w:rPr>
        <w:t>2</w:t>
      </w:r>
      <w:r w:rsidR="001B1AFF" w:rsidRPr="00265C60">
        <w:rPr>
          <w:b/>
        </w:rPr>
        <w:t>.</w:t>
      </w:r>
      <w:r w:rsidR="005E06E4" w:rsidRPr="00265C60">
        <w:rPr>
          <w:b/>
        </w:rPr>
        <w:t xml:space="preserve"> </w:t>
      </w:r>
      <w:r w:rsidR="00E44324" w:rsidRPr="00265C60">
        <w:rPr>
          <w:b/>
        </w:rPr>
        <w:t>В</w:t>
      </w:r>
      <w:r w:rsidR="00C12E4E" w:rsidRPr="00265C60">
        <w:rPr>
          <w:b/>
        </w:rPr>
        <w:t xml:space="preserve"> части налоговой политики</w:t>
      </w:r>
      <w:r w:rsidR="00BF39D8" w:rsidRPr="00265C60">
        <w:rPr>
          <w:b/>
        </w:rPr>
        <w:t xml:space="preserve"> и таможенно-тарифного регулирования</w:t>
      </w:r>
      <w:r w:rsidR="00C12E4E" w:rsidRPr="00265C60">
        <w:rPr>
          <w:b/>
        </w:rPr>
        <w:t>:</w:t>
      </w:r>
      <w:r w:rsidR="0033370C" w:rsidRPr="00265C60">
        <w:rPr>
          <w:b/>
        </w:rPr>
        <w:t xml:space="preserve"> </w:t>
      </w:r>
    </w:p>
    <w:p w:rsidR="00645115" w:rsidRPr="00265C60" w:rsidRDefault="00063C5F" w:rsidP="00645115">
      <w:pPr>
        <w:autoSpaceDE w:val="0"/>
        <w:autoSpaceDN w:val="0"/>
        <w:adjustRightInd w:val="0"/>
        <w:ind w:firstLine="720"/>
      </w:pPr>
      <w:r>
        <w:t>1) в</w:t>
      </w:r>
      <w:r w:rsidR="00645115" w:rsidRPr="00265C60">
        <w:t xml:space="preserve"> тексте Основных направлений последовательно и подробно изложены итоги реализации бюджетной, налоговой и таможенно-тарифной политики в 2024–2025 годах, подробно проанализированы сложившиеся макроэкономические условия и условия реализации бюджетной и налоговой политики в 2026–2028 годах, определены цели и задачи бюджетной и налоговой политики на трехлетний период.</w:t>
      </w:r>
    </w:p>
    <w:p w:rsidR="00645115" w:rsidRPr="00265C60" w:rsidRDefault="00645115" w:rsidP="00645115">
      <w:pPr>
        <w:autoSpaceDE w:val="0"/>
        <w:autoSpaceDN w:val="0"/>
        <w:adjustRightInd w:val="0"/>
        <w:ind w:firstLine="720"/>
      </w:pPr>
      <w:r w:rsidRPr="00265C60">
        <w:t>Также из Основных направлений следует, что ключевые цели налоговой политики в</w:t>
      </w:r>
      <w:r w:rsidR="00D549F3">
        <w:t> </w:t>
      </w:r>
      <w:r w:rsidRPr="00265C60">
        <w:t>плановом периоде сохраняются неизменными и будут направлены на повышение справедливости налогообложения, усиление стимулирующей функции налоговой системы, а</w:t>
      </w:r>
      <w:r w:rsidR="00D549F3">
        <w:t> </w:t>
      </w:r>
      <w:r w:rsidRPr="00265C60">
        <w:t>также улучшение качества администрирования с сопутствующим облегчением административной нагрузки для налогоплательщиков и повышением собираемости налогов</w:t>
      </w:r>
      <w:r w:rsidR="00063C5F">
        <w:t>;</w:t>
      </w:r>
    </w:p>
    <w:p w:rsidR="00645115" w:rsidRPr="00265C60" w:rsidRDefault="00063C5F" w:rsidP="00645115">
      <w:pPr>
        <w:autoSpaceDE w:val="0"/>
        <w:autoSpaceDN w:val="0"/>
        <w:adjustRightInd w:val="0"/>
        <w:ind w:firstLine="720"/>
      </w:pPr>
      <w:r>
        <w:t>2</w:t>
      </w:r>
      <w:r w:rsidR="00645115" w:rsidRPr="00265C60">
        <w:t>) </w:t>
      </w:r>
      <w:r w:rsidR="00645115" w:rsidRPr="00265C60">
        <w:rPr>
          <w:b/>
        </w:rPr>
        <w:t>в части налоговых расходов</w:t>
      </w:r>
      <w:r>
        <w:rPr>
          <w:b/>
        </w:rPr>
        <w:t xml:space="preserve">, </w:t>
      </w:r>
      <w:r w:rsidRPr="0096535F">
        <w:t>с</w:t>
      </w:r>
      <w:r w:rsidR="00645115" w:rsidRPr="00265C60">
        <w:t>огласно Основны</w:t>
      </w:r>
      <w:r>
        <w:t>м</w:t>
      </w:r>
      <w:r w:rsidR="00645115" w:rsidRPr="00265C60">
        <w:t xml:space="preserve"> направлени</w:t>
      </w:r>
      <w:r>
        <w:t>ям</w:t>
      </w:r>
      <w:r w:rsidR="00645115" w:rsidRPr="00265C60">
        <w:t>, запланирован ряд мероприятий по развитию системы учета, контроля и оценки налоговых расходов.</w:t>
      </w:r>
    </w:p>
    <w:p w:rsidR="00645115" w:rsidRPr="00265C60" w:rsidRDefault="00645115" w:rsidP="00645115">
      <w:pPr>
        <w:autoSpaceDE w:val="0"/>
        <w:autoSpaceDN w:val="0"/>
        <w:adjustRightInd w:val="0"/>
        <w:ind w:firstLine="720"/>
      </w:pPr>
      <w:r w:rsidRPr="00265C60">
        <w:t>Вместе с тем обращаем внимание, что в настоящее время оценка эффективности налоговых расходов осуществляется на основании постановления Правительства Российской Федерации от 12 апреля 2019 г. № 439 «Об утверждении Правил формирования перечня налоговых расходов Российской Федерации и оценки налоговых расходов Российской Федерации» (далее – постановление Правительства Российской Федерации № 439).</w:t>
      </w:r>
    </w:p>
    <w:p w:rsidR="00645115" w:rsidRPr="00265C60" w:rsidRDefault="00645115" w:rsidP="00645115">
      <w:pPr>
        <w:autoSpaceDE w:val="0"/>
        <w:autoSpaceDN w:val="0"/>
        <w:adjustRightInd w:val="0"/>
        <w:ind w:firstLine="720"/>
      </w:pPr>
      <w:r w:rsidRPr="00265C60">
        <w:t>При этом в рамках аналитической системы «Эффективность льгот» Минфина России осуществляется оценка эффективности инвестиционных налоговых льгот и преференциальных налоговых режимов (сведения об итогах такой оценки приведены в</w:t>
      </w:r>
      <w:r w:rsidR="00D549F3">
        <w:t> </w:t>
      </w:r>
      <w:r w:rsidRPr="00265C60">
        <w:t>приложении № 5 к Основным направлениям).</w:t>
      </w:r>
    </w:p>
    <w:p w:rsidR="00645115" w:rsidRPr="00265C60" w:rsidRDefault="00D549F3" w:rsidP="00645115">
      <w:pPr>
        <w:autoSpaceDE w:val="0"/>
        <w:autoSpaceDN w:val="0"/>
        <w:adjustRightInd w:val="0"/>
        <w:ind w:firstLine="720"/>
      </w:pPr>
      <w:r>
        <w:t>В</w:t>
      </w:r>
      <w:r w:rsidR="00645115" w:rsidRPr="00265C60">
        <w:t xml:space="preserve"> цел</w:t>
      </w:r>
      <w:r>
        <w:t>ях</w:t>
      </w:r>
      <w:r w:rsidR="00645115" w:rsidRPr="00265C60">
        <w:t xml:space="preserve"> повышения объективности оценки налоговых льгот (налоговых расходов), формирования единых подходов к оценке и максимального использования для целей оценки информации о налогоплательщиках – получателях льгот, которой располагают государственные органы, представляется целесообразным рассмотреть вопрос об интеграции результатов оценки, осуществляемой в рамках АС «Эффективность льгот» Минфина России, в порядок оценки, предусмотренный постановлением Правительства Российской Федерации № 439, в обобщенном виде (без указания конкретных налогоплательщиков).</w:t>
      </w:r>
    </w:p>
    <w:p w:rsidR="00645115" w:rsidRPr="00265C60" w:rsidRDefault="00645115" w:rsidP="00645115">
      <w:pPr>
        <w:autoSpaceDE w:val="0"/>
        <w:autoSpaceDN w:val="0"/>
        <w:adjustRightInd w:val="0"/>
        <w:ind w:firstLine="720"/>
      </w:pPr>
      <w:r w:rsidRPr="00265C60">
        <w:t>Указанную информацию Минфин России может направлять в адрес кураторов соответствующих налоговых расходов одновременно с информацией о значениях фискальных характеристик налоговых расходов Российской Федерации</w:t>
      </w:r>
      <w:r w:rsidR="00063C5F">
        <w:t>;</w:t>
      </w:r>
    </w:p>
    <w:p w:rsidR="00645115" w:rsidRPr="00265C60" w:rsidRDefault="00063C5F" w:rsidP="00645115">
      <w:pPr>
        <w:autoSpaceDE w:val="0"/>
        <w:autoSpaceDN w:val="0"/>
        <w:adjustRightInd w:val="0"/>
        <w:ind w:firstLine="720"/>
      </w:pPr>
      <w:r>
        <w:t>3</w:t>
      </w:r>
      <w:r w:rsidR="00645115" w:rsidRPr="00265C60">
        <w:t>) </w:t>
      </w:r>
      <w:r w:rsidR="00645115" w:rsidRPr="00265C60">
        <w:rPr>
          <w:b/>
        </w:rPr>
        <w:t>в части внедрения системы подтверждения статуса товаров</w:t>
      </w:r>
      <w:r>
        <w:rPr>
          <w:b/>
        </w:rPr>
        <w:t xml:space="preserve"> в</w:t>
      </w:r>
      <w:r w:rsidR="00645115" w:rsidRPr="00265C60">
        <w:t xml:space="preserve"> Основных направлениях отмечается такая задача, как введение системы подтверждения ожидания товаров (СПОТ) при поставке товаров из ЕАЭС, в том числе с авансовой уплатой косвенных налогов, которая позволит пресечь уклонение от налогообложения и применение незаконных схем импорта.</w:t>
      </w:r>
    </w:p>
    <w:p w:rsidR="00645115" w:rsidRPr="00265C60" w:rsidRDefault="00645115" w:rsidP="00645115">
      <w:pPr>
        <w:autoSpaceDE w:val="0"/>
        <w:autoSpaceDN w:val="0"/>
        <w:adjustRightInd w:val="0"/>
        <w:ind w:firstLine="720"/>
      </w:pPr>
      <w:r w:rsidRPr="00265C60">
        <w:t>В бюджетном цикле 2025</w:t>
      </w:r>
      <w:r w:rsidR="00D549F3">
        <w:t>–</w:t>
      </w:r>
      <w:r w:rsidRPr="00265C60">
        <w:t>2027 годов предлагалось принятие проекта федерального закона «О внедрении национальной системы подтверждения ожидания товаров», в</w:t>
      </w:r>
      <w:r w:rsidR="00D549F3">
        <w:t> </w:t>
      </w:r>
      <w:r w:rsidRPr="00265C60">
        <w:t>соответствии с которым будет внедрена система подтверждения статуса товаров, проходящих транзитом через территорию Российской Федерации, что позволит обеспечить уплату НДС с товаров, которые оформляются в рамках транзита, однако используются для</w:t>
      </w:r>
      <w:r w:rsidR="00D549F3">
        <w:t> </w:t>
      </w:r>
      <w:r w:rsidRPr="00265C60">
        <w:t>внутреннего потребления.</w:t>
      </w:r>
    </w:p>
    <w:p w:rsidR="00645115" w:rsidRPr="00265C60" w:rsidRDefault="00645115" w:rsidP="00645115">
      <w:pPr>
        <w:autoSpaceDE w:val="0"/>
        <w:autoSpaceDN w:val="0"/>
        <w:adjustRightInd w:val="0"/>
        <w:ind w:firstLine="720"/>
      </w:pPr>
      <w:r w:rsidRPr="00265C60">
        <w:t>Вместе с тем до настоящего момента отсутствуют какие-либо принятые нормативные акты по данному вопросу, что создает риски для реализации введения системы подтверждения ожидания товаров в заявленные сроки. Следует отметить, что в проекте федерального бюджета на 2026 год и на плановый период 2027 и 2028 годов дополнительные доходы федерального бюджета от внедрения данной системы оцениваются в 2026 году в</w:t>
      </w:r>
      <w:r w:rsidR="00D549F3">
        <w:t> </w:t>
      </w:r>
      <w:r w:rsidRPr="00265C60">
        <w:t>50,0 млрд рублей, в 2027 году –</w:t>
      </w:r>
      <w:r w:rsidR="00D549F3">
        <w:t xml:space="preserve"> в</w:t>
      </w:r>
      <w:r w:rsidRPr="00265C60">
        <w:t xml:space="preserve"> 100,0 млрд рублей, в 2028 году –</w:t>
      </w:r>
      <w:r w:rsidR="00D549F3">
        <w:t xml:space="preserve"> в </w:t>
      </w:r>
      <w:r w:rsidRPr="00265C60">
        <w:t>150,0 млрд рублей</w:t>
      </w:r>
      <w:r w:rsidR="00063C5F">
        <w:t>;</w:t>
      </w:r>
    </w:p>
    <w:p w:rsidR="00645115" w:rsidRPr="00265C60" w:rsidRDefault="00063C5F" w:rsidP="00645115">
      <w:pPr>
        <w:autoSpaceDE w:val="0"/>
        <w:autoSpaceDN w:val="0"/>
        <w:adjustRightInd w:val="0"/>
        <w:ind w:firstLine="720"/>
        <w:rPr>
          <w:b/>
        </w:rPr>
      </w:pPr>
      <w:r>
        <w:t>4</w:t>
      </w:r>
      <w:r w:rsidR="00645115" w:rsidRPr="00265C60">
        <w:t xml:space="preserve">) в части </w:t>
      </w:r>
      <w:r w:rsidR="00645115" w:rsidRPr="00265C60">
        <w:rPr>
          <w:b/>
        </w:rPr>
        <w:t>завершения экспериментов в сфере налогообложения:</w:t>
      </w:r>
    </w:p>
    <w:p w:rsidR="00645115" w:rsidRPr="00265C60" w:rsidRDefault="00645115" w:rsidP="00645115">
      <w:pPr>
        <w:autoSpaceDE w:val="0"/>
        <w:autoSpaceDN w:val="0"/>
        <w:adjustRightInd w:val="0"/>
        <w:ind w:firstLine="720"/>
      </w:pPr>
      <w:r w:rsidRPr="00265C60">
        <w:t>В трехлетнем периоде (2026–2028 годы) завершается проведение ряда длительных экспериментов, проводимых в сфере налогообложения.</w:t>
      </w:r>
    </w:p>
    <w:p w:rsidR="00645115" w:rsidRPr="00265C60" w:rsidRDefault="00645115" w:rsidP="00645115">
      <w:pPr>
        <w:autoSpaceDE w:val="0"/>
        <w:autoSpaceDN w:val="0"/>
        <w:adjustRightInd w:val="0"/>
        <w:ind w:firstLine="720"/>
      </w:pPr>
      <w:r w:rsidRPr="00265C60">
        <w:t>Так, до 31 декабря 2027 года проводится эксперимент по внедрению автоматизированной упрощенной системы налогообложения (начало июль 2022 года), а</w:t>
      </w:r>
      <w:r w:rsidR="00D549F3">
        <w:t> </w:t>
      </w:r>
      <w:r w:rsidRPr="00265C60">
        <w:t>до 31 декабря 2028 года завершается эксперимент по внедрению налога на</w:t>
      </w:r>
      <w:r w:rsidR="00D549F3">
        <w:t> </w:t>
      </w:r>
      <w:r w:rsidRPr="00265C60">
        <w:t>профессиональный доход (начало с 1 января 2019 года).</w:t>
      </w:r>
    </w:p>
    <w:p w:rsidR="00645115" w:rsidRPr="00265C60" w:rsidRDefault="00645115" w:rsidP="00645115">
      <w:pPr>
        <w:autoSpaceDE w:val="0"/>
        <w:autoSpaceDN w:val="0"/>
        <w:adjustRightInd w:val="0"/>
        <w:ind w:firstLine="720"/>
      </w:pPr>
      <w:r w:rsidRPr="00265C60">
        <w:t xml:space="preserve">Учитывая скорое завершение проводимых экспериментов в Основных направлениях </w:t>
      </w:r>
      <w:r w:rsidRPr="00CE4C2F">
        <w:t>необходимо в</w:t>
      </w:r>
      <w:r w:rsidRPr="00265C60">
        <w:t xml:space="preserve"> качестве концептуальной задачи обозначить необходимость анализа результатов проводимых экспериментов </w:t>
      </w:r>
      <w:r w:rsidR="00D549F3">
        <w:t>в</w:t>
      </w:r>
      <w:r w:rsidRPr="00265C60">
        <w:t xml:space="preserve"> цел</w:t>
      </w:r>
      <w:r w:rsidR="00D549F3">
        <w:t>ях</w:t>
      </w:r>
      <w:r w:rsidRPr="00265C60">
        <w:t xml:space="preserve"> выработки окончательных решений по</w:t>
      </w:r>
      <w:r w:rsidR="00D549F3">
        <w:t> </w:t>
      </w:r>
      <w:r w:rsidRPr="00265C60">
        <w:t>итогам завершения экспериментов, включая выработку мер по возможной донастройке отдельных параметров режимов с целью обеспечения баланса интересов государства и</w:t>
      </w:r>
      <w:r w:rsidR="00D549F3">
        <w:t> </w:t>
      </w:r>
      <w:r w:rsidRPr="00265C60">
        <w:t>налогоплательщиков.</w:t>
      </w:r>
    </w:p>
    <w:p w:rsidR="00645115" w:rsidRPr="00265C60" w:rsidRDefault="00645115" w:rsidP="00645115">
      <w:pPr>
        <w:autoSpaceDE w:val="0"/>
        <w:autoSpaceDN w:val="0"/>
        <w:adjustRightInd w:val="0"/>
        <w:ind w:firstLine="720"/>
      </w:pPr>
      <w:r w:rsidRPr="00265C60">
        <w:t>Вопросы анализа хода экспериментов в сфере налогообложения могли бы найти своей отражение в приложении 4 «Актуальные вопросы налогообложения на перспективу» к</w:t>
      </w:r>
      <w:r w:rsidR="00D549F3">
        <w:t> Основным направлениям;</w:t>
      </w:r>
    </w:p>
    <w:p w:rsidR="00645115" w:rsidRPr="00265C60" w:rsidRDefault="009F5B22" w:rsidP="00645115">
      <w:pPr>
        <w:autoSpaceDE w:val="0"/>
        <w:autoSpaceDN w:val="0"/>
        <w:adjustRightInd w:val="0"/>
        <w:ind w:firstLine="720"/>
      </w:pPr>
      <w:r>
        <w:t>5</w:t>
      </w:r>
      <w:r w:rsidR="00645115" w:rsidRPr="00265C60">
        <w:t>) </w:t>
      </w:r>
      <w:r w:rsidR="00DD1F8E">
        <w:t>к</w:t>
      </w:r>
      <w:r w:rsidR="00645115" w:rsidRPr="00265C60">
        <w:t xml:space="preserve">ак следует из Основных направлений, </w:t>
      </w:r>
      <w:r w:rsidR="00645115" w:rsidRPr="00DD1F8E">
        <w:rPr>
          <w:b/>
        </w:rPr>
        <w:t>таможенно-тарифная политика</w:t>
      </w:r>
      <w:r w:rsidR="00645115" w:rsidRPr="00265C60">
        <w:t xml:space="preserve"> будет направлена на регулирование экспорта и контрасанкционные меры в отношении импорта. </w:t>
      </w:r>
    </w:p>
    <w:p w:rsidR="00645115" w:rsidRPr="00265C60" w:rsidRDefault="00645115" w:rsidP="00645115">
      <w:pPr>
        <w:autoSpaceDE w:val="0"/>
        <w:autoSpaceDN w:val="0"/>
        <w:adjustRightInd w:val="0"/>
        <w:ind w:firstLine="720"/>
      </w:pPr>
      <w:r w:rsidRPr="00265C60">
        <w:t>Исходя из этих целей не в полной мере раскрыты подходы к ведению экспортной таможенной-тарифной политики. Так, не учтено, что при сохранении возможности применения экспортных пошлин следует параллельно развивать механизм стимулирующих тарифных льгот для участников внешнеэкономической деятельности, ориентированных на</w:t>
      </w:r>
      <w:r w:rsidR="00D549F3">
        <w:t> </w:t>
      </w:r>
      <w:r w:rsidRPr="00265C60">
        <w:t>несырьевой экспорт, а также предусмотреть возможность дифференцировать экспортные пошлины в зависимости от степени переработки</w:t>
      </w:r>
      <w:r w:rsidR="00DD1F8E">
        <w:t>;</w:t>
      </w:r>
    </w:p>
    <w:p w:rsidR="00645115" w:rsidRPr="00265C60" w:rsidRDefault="00DD1F8E" w:rsidP="00645115">
      <w:pPr>
        <w:autoSpaceDE w:val="0"/>
        <w:autoSpaceDN w:val="0"/>
        <w:adjustRightInd w:val="0"/>
        <w:ind w:firstLine="720"/>
      </w:pPr>
      <w:r>
        <w:t>6</w:t>
      </w:r>
      <w:r w:rsidR="00645115" w:rsidRPr="00265C60">
        <w:t>) </w:t>
      </w:r>
      <w:r w:rsidR="00645115" w:rsidRPr="00265C60">
        <w:rPr>
          <w:b/>
        </w:rPr>
        <w:t>в части совершенствования управления государственным имуществом и компаниями с государственным участием</w:t>
      </w:r>
      <w:r w:rsidR="00645115" w:rsidRPr="00265C60">
        <w:t xml:space="preserve"> необходимо отметить следующее.</w:t>
      </w:r>
    </w:p>
    <w:p w:rsidR="00645115" w:rsidRPr="00265C60" w:rsidRDefault="00645115" w:rsidP="00645115">
      <w:pPr>
        <w:autoSpaceDE w:val="0"/>
        <w:autoSpaceDN w:val="0"/>
        <w:adjustRightInd w:val="0"/>
        <w:ind w:firstLine="720"/>
      </w:pPr>
      <w:r w:rsidRPr="00265C60">
        <w:t>В рамках повышения качества управления компаниями с государственным участием и совершенствования управления государственным имуществом планируется выполнение основных задач, в том числе продолжение реализации единого подхода к дивидендной политике всех акционерных обществ, акции которых находятся в федеральной собственности. В Основных направлениях указанная задача продолжает оставаться актуальной на протяжении ряда лет.</w:t>
      </w:r>
    </w:p>
    <w:p w:rsidR="00645115" w:rsidRPr="00265C60" w:rsidRDefault="00645115" w:rsidP="00645115">
      <w:pPr>
        <w:autoSpaceDE w:val="0"/>
        <w:autoSpaceDN w:val="0"/>
        <w:adjustRightInd w:val="0"/>
        <w:ind w:firstLine="720"/>
      </w:pPr>
      <w:r w:rsidRPr="00265C60">
        <w:t>Анонсировано создание условий для выхода на IPO акционерных обществ, акции которых находятся в федеральной собственности, и их дочерних обществ.</w:t>
      </w:r>
    </w:p>
    <w:p w:rsidR="00645115" w:rsidRPr="00265C60" w:rsidRDefault="00645115" w:rsidP="00645115">
      <w:pPr>
        <w:autoSpaceDE w:val="0"/>
        <w:autoSpaceDN w:val="0"/>
        <w:adjustRightInd w:val="0"/>
        <w:ind w:firstLine="720"/>
      </w:pPr>
      <w:r w:rsidRPr="00265C60">
        <w:t>В качестве одной из задач в Основных направлениях определено выявление неэффективно используемого федерального имущества в целях его вовлечения в</w:t>
      </w:r>
      <w:r w:rsidR="00C13D28">
        <w:t> </w:t>
      </w:r>
      <w:r w:rsidRPr="00265C60">
        <w:t>хозяйственный оборот. Вместе с тем не отражены планы по созданию Единой цифровой платформы в сфере управления государственным и муниципальным имуществом, намерения по созданию которой озвучивались Росимуществом, и соответствующий законопроект внесен в Государственную Думу Федеральног</w:t>
      </w:r>
      <w:r w:rsidR="00C13D28">
        <w:t>о Собрания Российской Федерации;</w:t>
      </w:r>
    </w:p>
    <w:p w:rsidR="00645115" w:rsidRPr="00265C60" w:rsidRDefault="00DD1F8E" w:rsidP="00645115">
      <w:pPr>
        <w:autoSpaceDE w:val="0"/>
        <w:autoSpaceDN w:val="0"/>
        <w:adjustRightInd w:val="0"/>
        <w:ind w:firstLine="720"/>
      </w:pPr>
      <w:r>
        <w:t>7</w:t>
      </w:r>
      <w:r w:rsidR="00645115" w:rsidRPr="00265C60">
        <w:t>) </w:t>
      </w:r>
      <w:r w:rsidR="00645115" w:rsidRPr="00265C60">
        <w:rPr>
          <w:b/>
        </w:rPr>
        <w:t>в части формирования единого преференциального режима для Дальнего Востока:</w:t>
      </w:r>
    </w:p>
    <w:p w:rsidR="00645115" w:rsidRPr="00265C60" w:rsidRDefault="00645115" w:rsidP="00645115">
      <w:pPr>
        <w:autoSpaceDE w:val="0"/>
        <w:autoSpaceDN w:val="0"/>
        <w:adjustRightInd w:val="0"/>
        <w:ind w:firstLine="720"/>
      </w:pPr>
      <w:r w:rsidRPr="00265C60">
        <w:t>В рамках проводимого 5 сентября 2025 года Восточного экономического форума Президентом Российской Федерации была поставлена задача: «С учетом накопленного успешного опыта (по созданию территорий опережающего развития на</w:t>
      </w:r>
      <w:r w:rsidR="00C13D28">
        <w:t> </w:t>
      </w:r>
      <w:r w:rsidRPr="00265C60">
        <w:t>Дальнем Востоке) предлагаю сделать кардинальный шаг: а именно что называется бесшовно, с сохранением условий для действующих инвесторов запустить на всей территории Дальнего Востока и Арктики единый преференциальный режим для бизнеса. Сделать это нужно с 1 января 2027</w:t>
      </w:r>
      <w:r w:rsidR="00C13D28">
        <w:t> </w:t>
      </w:r>
      <w:r w:rsidRPr="00265C60">
        <w:t>года».</w:t>
      </w:r>
    </w:p>
    <w:p w:rsidR="00645115" w:rsidRPr="00265C60" w:rsidRDefault="00645115" w:rsidP="00645115">
      <w:pPr>
        <w:autoSpaceDE w:val="0"/>
        <w:autoSpaceDN w:val="0"/>
        <w:adjustRightInd w:val="0"/>
        <w:ind w:firstLine="720"/>
      </w:pPr>
      <w:r w:rsidRPr="00CE4C2F">
        <w:t xml:space="preserve">В этой связи полагаем необходимым </w:t>
      </w:r>
      <w:r w:rsidR="00CE4C2F" w:rsidRPr="00CE4C2F">
        <w:t xml:space="preserve">в дальнейшем </w:t>
      </w:r>
      <w:r w:rsidRPr="00CE4C2F">
        <w:t>отра</w:t>
      </w:r>
      <w:r w:rsidR="00CE4C2F" w:rsidRPr="00CE4C2F">
        <w:t>жать</w:t>
      </w:r>
      <w:r w:rsidRPr="00CE4C2F">
        <w:t xml:space="preserve"> в Основных направлениях в качестве одной из задач создание единой преференциальной зоны для</w:t>
      </w:r>
      <w:r w:rsidR="00C13D28">
        <w:t> </w:t>
      </w:r>
      <w:r w:rsidRPr="00CE4C2F">
        <w:t>бизне</w:t>
      </w:r>
      <w:r w:rsidR="00C13D28">
        <w:t xml:space="preserve">са на Дальнем Востоке и Арктике </w:t>
      </w:r>
      <w:r w:rsidRPr="00CE4C2F">
        <w:t>с учетом необходимости пересмотра подходов к</w:t>
      </w:r>
      <w:r w:rsidR="00C13D28">
        <w:t> </w:t>
      </w:r>
      <w:r w:rsidRPr="00CE4C2F">
        <w:t>предоставлени</w:t>
      </w:r>
      <w:r w:rsidR="00C13D28">
        <w:t>ю налоговых льгот и преференций;</w:t>
      </w:r>
    </w:p>
    <w:p w:rsidR="00645115" w:rsidRPr="00265C60" w:rsidRDefault="007042B5" w:rsidP="00645115">
      <w:pPr>
        <w:autoSpaceDE w:val="0"/>
        <w:autoSpaceDN w:val="0"/>
        <w:adjustRightInd w:val="0"/>
        <w:ind w:firstLine="720"/>
      </w:pPr>
      <w:r>
        <w:t>8</w:t>
      </w:r>
      <w:r w:rsidR="00645115" w:rsidRPr="00265C60">
        <w:t>) </w:t>
      </w:r>
      <w:r w:rsidR="00645115" w:rsidRPr="00265C60">
        <w:rPr>
          <w:b/>
        </w:rPr>
        <w:t>в части неналоговых платежей:</w:t>
      </w:r>
    </w:p>
    <w:p w:rsidR="00645115" w:rsidRPr="00265C60" w:rsidRDefault="00645115" w:rsidP="00645115">
      <w:pPr>
        <w:autoSpaceDE w:val="0"/>
        <w:autoSpaceDN w:val="0"/>
        <w:adjustRightInd w:val="0"/>
        <w:ind w:firstLine="720"/>
      </w:pPr>
      <w:r w:rsidRPr="00265C60">
        <w:t xml:space="preserve">В настоящее время актуализируются вопросы упорядочивания системы неналоговых платежей для обеспечения прозрачности финансовой нагрузки на бизнес </w:t>
      </w:r>
      <w:r w:rsidR="00CE4C2F">
        <w:t xml:space="preserve">в различных секторах экономики и </w:t>
      </w:r>
      <w:r w:rsidRPr="00265C60">
        <w:t>создания единого реестра неналоговых платежей предпринимателей, целях и задачах формирования такого реестра.</w:t>
      </w:r>
    </w:p>
    <w:p w:rsidR="00645115" w:rsidRPr="00265C60" w:rsidRDefault="00645115" w:rsidP="00645115">
      <w:pPr>
        <w:autoSpaceDE w:val="0"/>
        <w:autoSpaceDN w:val="0"/>
        <w:adjustRightInd w:val="0"/>
        <w:ind w:firstLine="720"/>
      </w:pPr>
      <w:r w:rsidRPr="00CE4C2F">
        <w:t>Таким образом, полагаем необходимым</w:t>
      </w:r>
      <w:r w:rsidR="00CE4C2F" w:rsidRPr="00CE4C2F">
        <w:t xml:space="preserve"> в Основных направлениях отража</w:t>
      </w:r>
      <w:r w:rsidRPr="00CE4C2F">
        <w:t>ть задачу по</w:t>
      </w:r>
      <w:r w:rsidR="00C13D28">
        <w:t> </w:t>
      </w:r>
      <w:r w:rsidRPr="00CE4C2F">
        <w:t>упорядочиванию системы неналоговых платежей.</w:t>
      </w:r>
      <w:r w:rsidRPr="00265C60">
        <w:t xml:space="preserve"> </w:t>
      </w:r>
    </w:p>
    <w:p w:rsidR="00BE1C38" w:rsidRPr="00265C60" w:rsidRDefault="00BE1C38" w:rsidP="00645115">
      <w:pPr>
        <w:spacing w:line="348" w:lineRule="auto"/>
      </w:pPr>
    </w:p>
    <w:sectPr w:rsidR="00BE1C38" w:rsidRPr="00265C60" w:rsidSect="00627D97">
      <w:headerReference w:type="even" r:id="rId10"/>
      <w:headerReference w:type="default" r:id="rId11"/>
      <w:footnotePr>
        <w:numStart w:val="21"/>
      </w:footnotePr>
      <w:type w:val="continuous"/>
      <w:pgSz w:w="11906" w:h="16838" w:code="9"/>
      <w:pgMar w:top="1134" w:right="851" w:bottom="1134" w:left="1418" w:header="709" w:footer="709" w:gutter="0"/>
      <w:pgNumType w:start="7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41D" w:rsidRDefault="008E641D">
      <w:r>
        <w:separator/>
      </w:r>
    </w:p>
  </w:endnote>
  <w:endnote w:type="continuationSeparator" w:id="0">
    <w:p w:rsidR="008E641D" w:rsidRDefault="008E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41D" w:rsidRDefault="008E641D" w:rsidP="00B95597">
      <w:pPr>
        <w:ind w:firstLine="0"/>
      </w:pPr>
      <w:r>
        <w:separator/>
      </w:r>
    </w:p>
  </w:footnote>
  <w:footnote w:type="continuationSeparator" w:id="0">
    <w:p w:rsidR="008E641D" w:rsidRDefault="008E641D">
      <w:r>
        <w:continuationSeparator/>
      </w:r>
    </w:p>
  </w:footnote>
  <w:footnote w:id="1">
    <w:p w:rsidR="0036535D" w:rsidRPr="006E7D07" w:rsidRDefault="0036535D" w:rsidP="00B340E5">
      <w:pPr>
        <w:pStyle w:val="afa"/>
        <w:rPr>
          <w:sz w:val="18"/>
          <w:szCs w:val="18"/>
        </w:rPr>
      </w:pPr>
      <w:r w:rsidRPr="006E7D07">
        <w:rPr>
          <w:rStyle w:val="afc"/>
          <w:sz w:val="18"/>
          <w:szCs w:val="18"/>
        </w:rPr>
        <w:footnoteRef/>
      </w:r>
      <w:r w:rsidRPr="006E7D07">
        <w:rPr>
          <w:sz w:val="18"/>
          <w:szCs w:val="18"/>
        </w:rPr>
        <w:t xml:space="preserve"> </w:t>
      </w:r>
      <w:hyperlink r:id="rId1" w:history="1">
        <w:r w:rsidRPr="006E7D07">
          <w:rPr>
            <w:rStyle w:val="affb"/>
            <w:color w:val="auto"/>
            <w:sz w:val="18"/>
            <w:szCs w:val="18"/>
            <w:u w:val="none"/>
          </w:rPr>
          <w:t>https://regulation.gov.ru/projects/160081</w:t>
        </w:r>
      </w:hyperlink>
      <w:r w:rsidRPr="006E7D07">
        <w:rPr>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97" w:rsidRDefault="00627D97" w:rsidP="00840C1C">
    <w:pPr>
      <w:pStyle w:val="ae"/>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end"/>
    </w:r>
  </w:p>
  <w:p w:rsidR="0036535D" w:rsidRPr="00627D97" w:rsidRDefault="0036535D" w:rsidP="00627D97">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97" w:rsidRPr="00627D97" w:rsidRDefault="00627D97" w:rsidP="00840C1C">
    <w:pPr>
      <w:pStyle w:val="ae"/>
      <w:framePr w:wrap="around" w:vAnchor="text" w:hAnchor="margin" w:xAlign="center" w:y="1"/>
      <w:rPr>
        <w:rStyle w:val="af0"/>
      </w:rPr>
    </w:pPr>
    <w:r w:rsidRPr="00627D97">
      <w:rPr>
        <w:rStyle w:val="af0"/>
      </w:rPr>
      <w:fldChar w:fldCharType="begin"/>
    </w:r>
    <w:r w:rsidRPr="00627D97">
      <w:rPr>
        <w:rStyle w:val="af0"/>
      </w:rPr>
      <w:instrText xml:space="preserve"> PAGE </w:instrText>
    </w:r>
    <w:r w:rsidRPr="00627D97">
      <w:rPr>
        <w:rStyle w:val="af0"/>
      </w:rPr>
      <w:fldChar w:fldCharType="separate"/>
    </w:r>
    <w:r w:rsidR="00115EA8">
      <w:rPr>
        <w:rStyle w:val="af0"/>
        <w:noProof/>
      </w:rPr>
      <w:t>88</w:t>
    </w:r>
    <w:r w:rsidRPr="00627D97">
      <w:rPr>
        <w:rStyle w:val="af0"/>
      </w:rPr>
      <w:fldChar w:fldCharType="end"/>
    </w:r>
  </w:p>
  <w:p w:rsidR="0036535D" w:rsidRPr="00627D97" w:rsidRDefault="0036535D" w:rsidP="00627D97">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480DA7"/>
    <w:multiLevelType w:val="hybridMultilevel"/>
    <w:tmpl w:val="C8B081E8"/>
    <w:lvl w:ilvl="0" w:tplc="04190001">
      <w:start w:val="1"/>
      <w:numFmt w:val="bullet"/>
      <w:lvlText w:val=""/>
      <w:lvlJc w:val="left"/>
      <w:pPr>
        <w:tabs>
          <w:tab w:val="num" w:pos="1488"/>
        </w:tabs>
        <w:ind w:left="148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2" w15:restartNumberingAfterBreak="0">
    <w:nsid w:val="07DE04C2"/>
    <w:multiLevelType w:val="hybridMultilevel"/>
    <w:tmpl w:val="7494D1D0"/>
    <w:lvl w:ilvl="0" w:tplc="CED2FD8C">
      <w:start w:val="202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1A2B0BEF"/>
    <w:multiLevelType w:val="hybridMultilevel"/>
    <w:tmpl w:val="19A429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8CD7636"/>
    <w:multiLevelType w:val="hybridMultilevel"/>
    <w:tmpl w:val="73642A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50620B"/>
    <w:multiLevelType w:val="hybridMultilevel"/>
    <w:tmpl w:val="2C3A0566"/>
    <w:lvl w:ilvl="0" w:tplc="04190001">
      <w:start w:val="1"/>
      <w:numFmt w:val="bullet"/>
      <w:lvlText w:val=""/>
      <w:lvlJc w:val="left"/>
      <w:pPr>
        <w:tabs>
          <w:tab w:val="num" w:pos="1070"/>
        </w:tabs>
        <w:ind w:left="1070" w:hanging="360"/>
      </w:pPr>
      <w:rPr>
        <w:rFonts w:ascii="Symbol" w:hAnsi="Symbol" w:hint="default"/>
      </w:rPr>
    </w:lvl>
    <w:lvl w:ilvl="1" w:tplc="0419000F">
      <w:start w:val="1"/>
      <w:numFmt w:val="decimal"/>
      <w:lvlText w:val="%2."/>
      <w:lvlJc w:val="left"/>
      <w:pPr>
        <w:tabs>
          <w:tab w:val="num" w:pos="2123"/>
        </w:tabs>
        <w:ind w:left="2123" w:hanging="360"/>
      </w:pPr>
      <w:rPr>
        <w:rFonts w:hint="default"/>
      </w:rPr>
    </w:lvl>
    <w:lvl w:ilvl="2" w:tplc="04190005" w:tentative="1">
      <w:start w:val="1"/>
      <w:numFmt w:val="bullet"/>
      <w:lvlText w:val=""/>
      <w:lvlJc w:val="left"/>
      <w:pPr>
        <w:tabs>
          <w:tab w:val="num" w:pos="2843"/>
        </w:tabs>
        <w:ind w:left="2843" w:hanging="360"/>
      </w:pPr>
      <w:rPr>
        <w:rFonts w:ascii="Wingdings" w:hAnsi="Wingdings" w:hint="default"/>
      </w:rPr>
    </w:lvl>
    <w:lvl w:ilvl="3" w:tplc="04190001" w:tentative="1">
      <w:start w:val="1"/>
      <w:numFmt w:val="bullet"/>
      <w:lvlText w:val=""/>
      <w:lvlJc w:val="left"/>
      <w:pPr>
        <w:tabs>
          <w:tab w:val="num" w:pos="3563"/>
        </w:tabs>
        <w:ind w:left="3563" w:hanging="360"/>
      </w:pPr>
      <w:rPr>
        <w:rFonts w:ascii="Symbol" w:hAnsi="Symbol" w:hint="default"/>
      </w:rPr>
    </w:lvl>
    <w:lvl w:ilvl="4" w:tplc="04190003" w:tentative="1">
      <w:start w:val="1"/>
      <w:numFmt w:val="bullet"/>
      <w:lvlText w:val="o"/>
      <w:lvlJc w:val="left"/>
      <w:pPr>
        <w:tabs>
          <w:tab w:val="num" w:pos="4283"/>
        </w:tabs>
        <w:ind w:left="4283" w:hanging="360"/>
      </w:pPr>
      <w:rPr>
        <w:rFonts w:ascii="Courier New" w:hAnsi="Courier New" w:cs="Courier New" w:hint="default"/>
      </w:rPr>
    </w:lvl>
    <w:lvl w:ilvl="5" w:tplc="04190005" w:tentative="1">
      <w:start w:val="1"/>
      <w:numFmt w:val="bullet"/>
      <w:lvlText w:val=""/>
      <w:lvlJc w:val="left"/>
      <w:pPr>
        <w:tabs>
          <w:tab w:val="num" w:pos="5003"/>
        </w:tabs>
        <w:ind w:left="5003" w:hanging="360"/>
      </w:pPr>
      <w:rPr>
        <w:rFonts w:ascii="Wingdings" w:hAnsi="Wingdings" w:hint="default"/>
      </w:rPr>
    </w:lvl>
    <w:lvl w:ilvl="6" w:tplc="04190001" w:tentative="1">
      <w:start w:val="1"/>
      <w:numFmt w:val="bullet"/>
      <w:lvlText w:val=""/>
      <w:lvlJc w:val="left"/>
      <w:pPr>
        <w:tabs>
          <w:tab w:val="num" w:pos="5723"/>
        </w:tabs>
        <w:ind w:left="5723" w:hanging="360"/>
      </w:pPr>
      <w:rPr>
        <w:rFonts w:ascii="Symbol" w:hAnsi="Symbol" w:hint="default"/>
      </w:rPr>
    </w:lvl>
    <w:lvl w:ilvl="7" w:tplc="04190003" w:tentative="1">
      <w:start w:val="1"/>
      <w:numFmt w:val="bullet"/>
      <w:lvlText w:val="o"/>
      <w:lvlJc w:val="left"/>
      <w:pPr>
        <w:tabs>
          <w:tab w:val="num" w:pos="6443"/>
        </w:tabs>
        <w:ind w:left="6443" w:hanging="360"/>
      </w:pPr>
      <w:rPr>
        <w:rFonts w:ascii="Courier New" w:hAnsi="Courier New" w:cs="Courier New" w:hint="default"/>
      </w:rPr>
    </w:lvl>
    <w:lvl w:ilvl="8" w:tplc="04190005" w:tentative="1">
      <w:start w:val="1"/>
      <w:numFmt w:val="bullet"/>
      <w:lvlText w:val=""/>
      <w:lvlJc w:val="left"/>
      <w:pPr>
        <w:tabs>
          <w:tab w:val="num" w:pos="7163"/>
        </w:tabs>
        <w:ind w:left="7163" w:hanging="360"/>
      </w:pPr>
      <w:rPr>
        <w:rFonts w:ascii="Wingdings" w:hAnsi="Wingdings" w:hint="default"/>
      </w:rPr>
    </w:lvl>
  </w:abstractNum>
  <w:abstractNum w:abstractNumId="6" w15:restartNumberingAfterBreak="0">
    <w:nsid w:val="2DC35BEF"/>
    <w:multiLevelType w:val="hybridMultilevel"/>
    <w:tmpl w:val="663A15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2150610"/>
    <w:multiLevelType w:val="hybridMultilevel"/>
    <w:tmpl w:val="7EBC80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24A0F07"/>
    <w:multiLevelType w:val="hybridMultilevel"/>
    <w:tmpl w:val="135E49AE"/>
    <w:lvl w:ilvl="0" w:tplc="20FCDF0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42B733CB"/>
    <w:multiLevelType w:val="hybridMultilevel"/>
    <w:tmpl w:val="409E71F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0" w15:restartNumberingAfterBreak="0">
    <w:nsid w:val="4CB15BA4"/>
    <w:multiLevelType w:val="hybridMultilevel"/>
    <w:tmpl w:val="EF6235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34A75D0"/>
    <w:multiLevelType w:val="hybridMultilevel"/>
    <w:tmpl w:val="3C027ECA"/>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634A6138"/>
    <w:multiLevelType w:val="multilevel"/>
    <w:tmpl w:val="70F00DA6"/>
    <w:lvl w:ilvl="0">
      <w:start w:val="1"/>
      <w:numFmt w:val="decimal"/>
      <w:lvlText w:val="%1."/>
      <w:lvlJc w:val="left"/>
      <w:pPr>
        <w:ind w:left="927" w:hanging="360"/>
      </w:pPr>
      <w:rPr>
        <w:rFonts w:hint="default"/>
        <w:b/>
      </w:rPr>
    </w:lvl>
    <w:lvl w:ilvl="1">
      <w:start w:val="1"/>
      <w:numFmt w:val="decimal"/>
      <w:isLgl/>
      <w:lvlText w:val="%1.%2."/>
      <w:lvlJc w:val="left"/>
      <w:pPr>
        <w:ind w:left="1494" w:hanging="360"/>
      </w:pPr>
      <w:rPr>
        <w:rFonts w:hint="default"/>
        <w:b/>
        <w:color w:val="auto"/>
        <w:sz w:val="24"/>
        <w:szCs w:val="24"/>
      </w:rPr>
    </w:lvl>
    <w:lvl w:ilvl="2">
      <w:start w:val="1"/>
      <w:numFmt w:val="decimal"/>
      <w:isLgl/>
      <w:lvlText w:val="%1.%2.%3."/>
      <w:lvlJc w:val="left"/>
      <w:pPr>
        <w:ind w:left="1571" w:hanging="720"/>
      </w:pPr>
      <w:rPr>
        <w:rFonts w:hint="default"/>
        <w:b/>
        <w:i w:val="0"/>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15:restartNumberingAfterBreak="0">
    <w:nsid w:val="74664D52"/>
    <w:multiLevelType w:val="hybridMultilevel"/>
    <w:tmpl w:val="27BEF8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8302B8E"/>
    <w:multiLevelType w:val="hybridMultilevel"/>
    <w:tmpl w:val="26A04D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5"/>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12"/>
  </w:num>
  <w:num w:numId="12">
    <w:abstractNumId w:val="14"/>
  </w:num>
  <w:num w:numId="13">
    <w:abstractNumId w:val="2"/>
  </w:num>
  <w:num w:numId="14">
    <w:abstractNumId w:val="3"/>
  </w:num>
  <w:num w:numId="15">
    <w:abstractNumId w:val="9"/>
  </w:num>
  <w:num w:numId="16">
    <w:abstractNumId w:val="13"/>
  </w:num>
  <w:num w:numId="17">
    <w:abstractNumId w:val="6"/>
  </w:num>
  <w:num w:numId="18">
    <w:abstractNumId w:val="7"/>
  </w:num>
  <w:num w:numId="19">
    <w:abstractNumId w:val="8"/>
  </w:num>
  <w:num w:numId="20">
    <w:abstractNumId w:val="10"/>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numStart w:val="21"/>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ADD"/>
    <w:rsid w:val="00000346"/>
    <w:rsid w:val="0000067D"/>
    <w:rsid w:val="000009B9"/>
    <w:rsid w:val="000009F5"/>
    <w:rsid w:val="000014AA"/>
    <w:rsid w:val="000015FA"/>
    <w:rsid w:val="000016F5"/>
    <w:rsid w:val="00001749"/>
    <w:rsid w:val="00001C75"/>
    <w:rsid w:val="00001E96"/>
    <w:rsid w:val="00001EEA"/>
    <w:rsid w:val="00002893"/>
    <w:rsid w:val="00002930"/>
    <w:rsid w:val="00002C2D"/>
    <w:rsid w:val="00002EB5"/>
    <w:rsid w:val="00002FC8"/>
    <w:rsid w:val="000030DA"/>
    <w:rsid w:val="000038CB"/>
    <w:rsid w:val="00003B73"/>
    <w:rsid w:val="00003DB8"/>
    <w:rsid w:val="00003FA5"/>
    <w:rsid w:val="000040E4"/>
    <w:rsid w:val="000046CA"/>
    <w:rsid w:val="000049B5"/>
    <w:rsid w:val="000049C4"/>
    <w:rsid w:val="00004ADB"/>
    <w:rsid w:val="00004D14"/>
    <w:rsid w:val="00004E78"/>
    <w:rsid w:val="00005201"/>
    <w:rsid w:val="0000529B"/>
    <w:rsid w:val="00005D0C"/>
    <w:rsid w:val="000061E5"/>
    <w:rsid w:val="00006375"/>
    <w:rsid w:val="000064CD"/>
    <w:rsid w:val="0000657F"/>
    <w:rsid w:val="000066EF"/>
    <w:rsid w:val="00006783"/>
    <w:rsid w:val="000068ED"/>
    <w:rsid w:val="00006962"/>
    <w:rsid w:val="00006A31"/>
    <w:rsid w:val="00006A58"/>
    <w:rsid w:val="00006C81"/>
    <w:rsid w:val="00006EF3"/>
    <w:rsid w:val="00007030"/>
    <w:rsid w:val="00007660"/>
    <w:rsid w:val="000077CE"/>
    <w:rsid w:val="00007B12"/>
    <w:rsid w:val="00007BD3"/>
    <w:rsid w:val="00010192"/>
    <w:rsid w:val="000101CE"/>
    <w:rsid w:val="0001043F"/>
    <w:rsid w:val="00010476"/>
    <w:rsid w:val="000104EE"/>
    <w:rsid w:val="000105F6"/>
    <w:rsid w:val="0001062F"/>
    <w:rsid w:val="0001084A"/>
    <w:rsid w:val="00010A79"/>
    <w:rsid w:val="00010E7E"/>
    <w:rsid w:val="00011166"/>
    <w:rsid w:val="0001116C"/>
    <w:rsid w:val="0001161A"/>
    <w:rsid w:val="00011826"/>
    <w:rsid w:val="00011858"/>
    <w:rsid w:val="00011A42"/>
    <w:rsid w:val="00011C78"/>
    <w:rsid w:val="00011E6C"/>
    <w:rsid w:val="00011E7D"/>
    <w:rsid w:val="00011E8D"/>
    <w:rsid w:val="000120E8"/>
    <w:rsid w:val="00012247"/>
    <w:rsid w:val="00012518"/>
    <w:rsid w:val="00012919"/>
    <w:rsid w:val="0001296B"/>
    <w:rsid w:val="00012AF7"/>
    <w:rsid w:val="00012F41"/>
    <w:rsid w:val="00013144"/>
    <w:rsid w:val="00013216"/>
    <w:rsid w:val="00013407"/>
    <w:rsid w:val="00013788"/>
    <w:rsid w:val="000138B6"/>
    <w:rsid w:val="000138CD"/>
    <w:rsid w:val="00013A43"/>
    <w:rsid w:val="00013BB9"/>
    <w:rsid w:val="00013C7B"/>
    <w:rsid w:val="00014157"/>
    <w:rsid w:val="00014364"/>
    <w:rsid w:val="0001437C"/>
    <w:rsid w:val="0001446E"/>
    <w:rsid w:val="0001477C"/>
    <w:rsid w:val="0001481B"/>
    <w:rsid w:val="00014F67"/>
    <w:rsid w:val="00015055"/>
    <w:rsid w:val="000151AC"/>
    <w:rsid w:val="000153B4"/>
    <w:rsid w:val="000153B6"/>
    <w:rsid w:val="0001555F"/>
    <w:rsid w:val="00015622"/>
    <w:rsid w:val="00015995"/>
    <w:rsid w:val="00015A0B"/>
    <w:rsid w:val="00015A3B"/>
    <w:rsid w:val="00015A62"/>
    <w:rsid w:val="00015B67"/>
    <w:rsid w:val="00015D2F"/>
    <w:rsid w:val="00015E22"/>
    <w:rsid w:val="00016034"/>
    <w:rsid w:val="00016394"/>
    <w:rsid w:val="000163D8"/>
    <w:rsid w:val="000163E6"/>
    <w:rsid w:val="000165E3"/>
    <w:rsid w:val="000166F6"/>
    <w:rsid w:val="0001675D"/>
    <w:rsid w:val="000168F9"/>
    <w:rsid w:val="00016A18"/>
    <w:rsid w:val="00016A2F"/>
    <w:rsid w:val="00016B91"/>
    <w:rsid w:val="00016C0A"/>
    <w:rsid w:val="00016D4A"/>
    <w:rsid w:val="000178D0"/>
    <w:rsid w:val="00017929"/>
    <w:rsid w:val="00017A39"/>
    <w:rsid w:val="00017AD4"/>
    <w:rsid w:val="00017C2F"/>
    <w:rsid w:val="000200CC"/>
    <w:rsid w:val="00020404"/>
    <w:rsid w:val="000206BA"/>
    <w:rsid w:val="000209F6"/>
    <w:rsid w:val="00020A1E"/>
    <w:rsid w:val="00020C24"/>
    <w:rsid w:val="000210CC"/>
    <w:rsid w:val="000211BC"/>
    <w:rsid w:val="000214D8"/>
    <w:rsid w:val="00021533"/>
    <w:rsid w:val="000216EB"/>
    <w:rsid w:val="00021A01"/>
    <w:rsid w:val="00021BA0"/>
    <w:rsid w:val="00022029"/>
    <w:rsid w:val="00022232"/>
    <w:rsid w:val="00022524"/>
    <w:rsid w:val="00022894"/>
    <w:rsid w:val="000229A6"/>
    <w:rsid w:val="00022BD3"/>
    <w:rsid w:val="00022CFF"/>
    <w:rsid w:val="00022F22"/>
    <w:rsid w:val="00023776"/>
    <w:rsid w:val="00023AB9"/>
    <w:rsid w:val="00023DB3"/>
    <w:rsid w:val="0002404B"/>
    <w:rsid w:val="000240C6"/>
    <w:rsid w:val="000244AA"/>
    <w:rsid w:val="000246F6"/>
    <w:rsid w:val="0002477E"/>
    <w:rsid w:val="0002490B"/>
    <w:rsid w:val="00024F9B"/>
    <w:rsid w:val="0002504E"/>
    <w:rsid w:val="000252CE"/>
    <w:rsid w:val="000253A8"/>
    <w:rsid w:val="0002552E"/>
    <w:rsid w:val="0002557E"/>
    <w:rsid w:val="0002578E"/>
    <w:rsid w:val="0002579D"/>
    <w:rsid w:val="00025F89"/>
    <w:rsid w:val="000261AF"/>
    <w:rsid w:val="0002636A"/>
    <w:rsid w:val="0002689E"/>
    <w:rsid w:val="00026961"/>
    <w:rsid w:val="000269DB"/>
    <w:rsid w:val="00026A5D"/>
    <w:rsid w:val="00026AA4"/>
    <w:rsid w:val="00026AAA"/>
    <w:rsid w:val="00026E0A"/>
    <w:rsid w:val="00026E80"/>
    <w:rsid w:val="0002723B"/>
    <w:rsid w:val="00027956"/>
    <w:rsid w:val="000279B6"/>
    <w:rsid w:val="00027CFF"/>
    <w:rsid w:val="000300B6"/>
    <w:rsid w:val="00030139"/>
    <w:rsid w:val="0003019B"/>
    <w:rsid w:val="000301E0"/>
    <w:rsid w:val="00030243"/>
    <w:rsid w:val="0003031D"/>
    <w:rsid w:val="00030542"/>
    <w:rsid w:val="00030571"/>
    <w:rsid w:val="00030AB8"/>
    <w:rsid w:val="00030BB7"/>
    <w:rsid w:val="00030BF0"/>
    <w:rsid w:val="00030D92"/>
    <w:rsid w:val="00031011"/>
    <w:rsid w:val="000312DF"/>
    <w:rsid w:val="000316A5"/>
    <w:rsid w:val="000318DD"/>
    <w:rsid w:val="00031FEC"/>
    <w:rsid w:val="00032327"/>
    <w:rsid w:val="000326B2"/>
    <w:rsid w:val="00032C0F"/>
    <w:rsid w:val="00032F26"/>
    <w:rsid w:val="000333EA"/>
    <w:rsid w:val="000338F3"/>
    <w:rsid w:val="00033938"/>
    <w:rsid w:val="00033CF0"/>
    <w:rsid w:val="00033D46"/>
    <w:rsid w:val="00033E73"/>
    <w:rsid w:val="00033F94"/>
    <w:rsid w:val="0003411F"/>
    <w:rsid w:val="0003458D"/>
    <w:rsid w:val="0003474C"/>
    <w:rsid w:val="00034761"/>
    <w:rsid w:val="00034815"/>
    <w:rsid w:val="000349CC"/>
    <w:rsid w:val="00034D74"/>
    <w:rsid w:val="00034D78"/>
    <w:rsid w:val="00034DA7"/>
    <w:rsid w:val="0003506B"/>
    <w:rsid w:val="000352D3"/>
    <w:rsid w:val="0003570E"/>
    <w:rsid w:val="000358DC"/>
    <w:rsid w:val="00036157"/>
    <w:rsid w:val="0003617E"/>
    <w:rsid w:val="000367AD"/>
    <w:rsid w:val="00036B65"/>
    <w:rsid w:val="00036D19"/>
    <w:rsid w:val="00036D75"/>
    <w:rsid w:val="00036DE0"/>
    <w:rsid w:val="00036EF9"/>
    <w:rsid w:val="000370D3"/>
    <w:rsid w:val="000371DD"/>
    <w:rsid w:val="000372E5"/>
    <w:rsid w:val="000374A7"/>
    <w:rsid w:val="000374C0"/>
    <w:rsid w:val="00037653"/>
    <w:rsid w:val="000403DF"/>
    <w:rsid w:val="00040497"/>
    <w:rsid w:val="00040772"/>
    <w:rsid w:val="00040871"/>
    <w:rsid w:val="00040C31"/>
    <w:rsid w:val="00040D1D"/>
    <w:rsid w:val="00040D77"/>
    <w:rsid w:val="00040E64"/>
    <w:rsid w:val="00040EA1"/>
    <w:rsid w:val="00040F09"/>
    <w:rsid w:val="00040F91"/>
    <w:rsid w:val="00040FCF"/>
    <w:rsid w:val="000411E2"/>
    <w:rsid w:val="0004121B"/>
    <w:rsid w:val="00041420"/>
    <w:rsid w:val="0004161D"/>
    <w:rsid w:val="000418E4"/>
    <w:rsid w:val="0004217D"/>
    <w:rsid w:val="00042256"/>
    <w:rsid w:val="0004238A"/>
    <w:rsid w:val="000425CC"/>
    <w:rsid w:val="000425DB"/>
    <w:rsid w:val="00042897"/>
    <w:rsid w:val="000429E6"/>
    <w:rsid w:val="00042A31"/>
    <w:rsid w:val="00042BCD"/>
    <w:rsid w:val="00042E98"/>
    <w:rsid w:val="000430EF"/>
    <w:rsid w:val="00043410"/>
    <w:rsid w:val="0004378C"/>
    <w:rsid w:val="000438E6"/>
    <w:rsid w:val="000438FD"/>
    <w:rsid w:val="000439EF"/>
    <w:rsid w:val="00043D65"/>
    <w:rsid w:val="00043DE0"/>
    <w:rsid w:val="00043F5B"/>
    <w:rsid w:val="00043F7B"/>
    <w:rsid w:val="000445C8"/>
    <w:rsid w:val="00044923"/>
    <w:rsid w:val="00044D6F"/>
    <w:rsid w:val="00044F58"/>
    <w:rsid w:val="00045100"/>
    <w:rsid w:val="000454B9"/>
    <w:rsid w:val="00045542"/>
    <w:rsid w:val="000456D0"/>
    <w:rsid w:val="00045AD1"/>
    <w:rsid w:val="00045B57"/>
    <w:rsid w:val="0004636A"/>
    <w:rsid w:val="0004664C"/>
    <w:rsid w:val="000466AA"/>
    <w:rsid w:val="00046ABA"/>
    <w:rsid w:val="00046E76"/>
    <w:rsid w:val="00046F19"/>
    <w:rsid w:val="00046F4E"/>
    <w:rsid w:val="00047102"/>
    <w:rsid w:val="0004723B"/>
    <w:rsid w:val="000474A4"/>
    <w:rsid w:val="00047509"/>
    <w:rsid w:val="000476A3"/>
    <w:rsid w:val="000478EC"/>
    <w:rsid w:val="00047D37"/>
    <w:rsid w:val="00047F48"/>
    <w:rsid w:val="00050188"/>
    <w:rsid w:val="000504F5"/>
    <w:rsid w:val="000505CA"/>
    <w:rsid w:val="000505EA"/>
    <w:rsid w:val="0005084D"/>
    <w:rsid w:val="000509A5"/>
    <w:rsid w:val="00050A78"/>
    <w:rsid w:val="00050BAE"/>
    <w:rsid w:val="00051096"/>
    <w:rsid w:val="000512B4"/>
    <w:rsid w:val="00051373"/>
    <w:rsid w:val="0005139F"/>
    <w:rsid w:val="00051503"/>
    <w:rsid w:val="0005174D"/>
    <w:rsid w:val="00051A92"/>
    <w:rsid w:val="00051AD8"/>
    <w:rsid w:val="00051B66"/>
    <w:rsid w:val="00051DBA"/>
    <w:rsid w:val="0005209E"/>
    <w:rsid w:val="000526AC"/>
    <w:rsid w:val="0005292A"/>
    <w:rsid w:val="0005299D"/>
    <w:rsid w:val="000529ED"/>
    <w:rsid w:val="00052ADA"/>
    <w:rsid w:val="000531A5"/>
    <w:rsid w:val="0005325B"/>
    <w:rsid w:val="0005372E"/>
    <w:rsid w:val="00053767"/>
    <w:rsid w:val="0005398C"/>
    <w:rsid w:val="00053A90"/>
    <w:rsid w:val="00053C5E"/>
    <w:rsid w:val="00053CAA"/>
    <w:rsid w:val="00053DA1"/>
    <w:rsid w:val="00053F14"/>
    <w:rsid w:val="00053FB1"/>
    <w:rsid w:val="00053FE9"/>
    <w:rsid w:val="000544D2"/>
    <w:rsid w:val="00054592"/>
    <w:rsid w:val="000546B0"/>
    <w:rsid w:val="00054989"/>
    <w:rsid w:val="00055031"/>
    <w:rsid w:val="000550B5"/>
    <w:rsid w:val="00055236"/>
    <w:rsid w:val="00055256"/>
    <w:rsid w:val="00055379"/>
    <w:rsid w:val="000559B1"/>
    <w:rsid w:val="00055C98"/>
    <w:rsid w:val="000561EF"/>
    <w:rsid w:val="000562C9"/>
    <w:rsid w:val="0005649F"/>
    <w:rsid w:val="0005688E"/>
    <w:rsid w:val="000568A8"/>
    <w:rsid w:val="00056A4B"/>
    <w:rsid w:val="000571EE"/>
    <w:rsid w:val="00057331"/>
    <w:rsid w:val="00057353"/>
    <w:rsid w:val="000574DE"/>
    <w:rsid w:val="0005778D"/>
    <w:rsid w:val="00057839"/>
    <w:rsid w:val="00057884"/>
    <w:rsid w:val="000578C7"/>
    <w:rsid w:val="00060132"/>
    <w:rsid w:val="00060274"/>
    <w:rsid w:val="000602AD"/>
    <w:rsid w:val="0006031E"/>
    <w:rsid w:val="000603F5"/>
    <w:rsid w:val="00060752"/>
    <w:rsid w:val="00060A20"/>
    <w:rsid w:val="000610AD"/>
    <w:rsid w:val="0006116C"/>
    <w:rsid w:val="000612AA"/>
    <w:rsid w:val="00061302"/>
    <w:rsid w:val="00061ACE"/>
    <w:rsid w:val="00061C22"/>
    <w:rsid w:val="00061E61"/>
    <w:rsid w:val="00061EBF"/>
    <w:rsid w:val="00061F20"/>
    <w:rsid w:val="00062592"/>
    <w:rsid w:val="000627B2"/>
    <w:rsid w:val="000627C5"/>
    <w:rsid w:val="00062D34"/>
    <w:rsid w:val="0006328E"/>
    <w:rsid w:val="00063716"/>
    <w:rsid w:val="0006375D"/>
    <w:rsid w:val="0006386A"/>
    <w:rsid w:val="00063986"/>
    <w:rsid w:val="000639AC"/>
    <w:rsid w:val="00063BEE"/>
    <w:rsid w:val="00063C5F"/>
    <w:rsid w:val="00063DD6"/>
    <w:rsid w:val="000642AF"/>
    <w:rsid w:val="000642ED"/>
    <w:rsid w:val="000646F9"/>
    <w:rsid w:val="000648B3"/>
    <w:rsid w:val="00064AE3"/>
    <w:rsid w:val="00064B0B"/>
    <w:rsid w:val="00064D10"/>
    <w:rsid w:val="00064E79"/>
    <w:rsid w:val="000652DD"/>
    <w:rsid w:val="00065D81"/>
    <w:rsid w:val="00065E17"/>
    <w:rsid w:val="00065E4C"/>
    <w:rsid w:val="00065EEB"/>
    <w:rsid w:val="0006609D"/>
    <w:rsid w:val="0006620F"/>
    <w:rsid w:val="000662F2"/>
    <w:rsid w:val="0006653F"/>
    <w:rsid w:val="000665ED"/>
    <w:rsid w:val="000667FE"/>
    <w:rsid w:val="000668A1"/>
    <w:rsid w:val="00066A45"/>
    <w:rsid w:val="00066B8C"/>
    <w:rsid w:val="00066C13"/>
    <w:rsid w:val="00066D99"/>
    <w:rsid w:val="00066FC3"/>
    <w:rsid w:val="00066FF0"/>
    <w:rsid w:val="000676FF"/>
    <w:rsid w:val="00067846"/>
    <w:rsid w:val="00067A20"/>
    <w:rsid w:val="00067F43"/>
    <w:rsid w:val="00067FC3"/>
    <w:rsid w:val="00070130"/>
    <w:rsid w:val="0007043A"/>
    <w:rsid w:val="00070BBB"/>
    <w:rsid w:val="00070BF6"/>
    <w:rsid w:val="000710ED"/>
    <w:rsid w:val="00071278"/>
    <w:rsid w:val="000712F8"/>
    <w:rsid w:val="0007134C"/>
    <w:rsid w:val="000713CF"/>
    <w:rsid w:val="000716DB"/>
    <w:rsid w:val="00071703"/>
    <w:rsid w:val="0007215E"/>
    <w:rsid w:val="00072B05"/>
    <w:rsid w:val="00072B5E"/>
    <w:rsid w:val="00072C52"/>
    <w:rsid w:val="00072CF6"/>
    <w:rsid w:val="00072E5A"/>
    <w:rsid w:val="00073374"/>
    <w:rsid w:val="000734D2"/>
    <w:rsid w:val="000739A6"/>
    <w:rsid w:val="000739FD"/>
    <w:rsid w:val="00073C4A"/>
    <w:rsid w:val="00073DA8"/>
    <w:rsid w:val="00073E3F"/>
    <w:rsid w:val="00073EF2"/>
    <w:rsid w:val="000741D9"/>
    <w:rsid w:val="000743AD"/>
    <w:rsid w:val="00074474"/>
    <w:rsid w:val="0007498F"/>
    <w:rsid w:val="00074A3C"/>
    <w:rsid w:val="00074B98"/>
    <w:rsid w:val="00074F5C"/>
    <w:rsid w:val="0007530F"/>
    <w:rsid w:val="00075466"/>
    <w:rsid w:val="00075479"/>
    <w:rsid w:val="0007555A"/>
    <w:rsid w:val="00075A47"/>
    <w:rsid w:val="00075CCB"/>
    <w:rsid w:val="00075FF6"/>
    <w:rsid w:val="00076579"/>
    <w:rsid w:val="0007679F"/>
    <w:rsid w:val="00076807"/>
    <w:rsid w:val="0007744F"/>
    <w:rsid w:val="000775AC"/>
    <w:rsid w:val="00077A58"/>
    <w:rsid w:val="00077A6B"/>
    <w:rsid w:val="00077A80"/>
    <w:rsid w:val="00077B0A"/>
    <w:rsid w:val="00077B0C"/>
    <w:rsid w:val="00077F68"/>
    <w:rsid w:val="00080151"/>
    <w:rsid w:val="0008022D"/>
    <w:rsid w:val="00080476"/>
    <w:rsid w:val="000804B9"/>
    <w:rsid w:val="000804C1"/>
    <w:rsid w:val="000806E4"/>
    <w:rsid w:val="000807AA"/>
    <w:rsid w:val="000807D6"/>
    <w:rsid w:val="00080802"/>
    <w:rsid w:val="00080997"/>
    <w:rsid w:val="00080A61"/>
    <w:rsid w:val="00080E05"/>
    <w:rsid w:val="00081015"/>
    <w:rsid w:val="00081447"/>
    <w:rsid w:val="00081491"/>
    <w:rsid w:val="000817EB"/>
    <w:rsid w:val="00081B5B"/>
    <w:rsid w:val="00081E59"/>
    <w:rsid w:val="00081F63"/>
    <w:rsid w:val="000820E3"/>
    <w:rsid w:val="000824A4"/>
    <w:rsid w:val="000824C7"/>
    <w:rsid w:val="0008253A"/>
    <w:rsid w:val="0008295F"/>
    <w:rsid w:val="000829F9"/>
    <w:rsid w:val="000830B3"/>
    <w:rsid w:val="00083426"/>
    <w:rsid w:val="00083993"/>
    <w:rsid w:val="00083B9B"/>
    <w:rsid w:val="00083BF8"/>
    <w:rsid w:val="00083EAE"/>
    <w:rsid w:val="0008439D"/>
    <w:rsid w:val="000847A7"/>
    <w:rsid w:val="0008480B"/>
    <w:rsid w:val="0008483C"/>
    <w:rsid w:val="00084AAD"/>
    <w:rsid w:val="00084B29"/>
    <w:rsid w:val="00084F07"/>
    <w:rsid w:val="00085044"/>
    <w:rsid w:val="00085389"/>
    <w:rsid w:val="00085516"/>
    <w:rsid w:val="0008555F"/>
    <w:rsid w:val="000857C4"/>
    <w:rsid w:val="000857CD"/>
    <w:rsid w:val="0008587A"/>
    <w:rsid w:val="00085A19"/>
    <w:rsid w:val="00085D31"/>
    <w:rsid w:val="00086258"/>
    <w:rsid w:val="00086395"/>
    <w:rsid w:val="00086550"/>
    <w:rsid w:val="00086704"/>
    <w:rsid w:val="00086809"/>
    <w:rsid w:val="00086BD5"/>
    <w:rsid w:val="00086CFE"/>
    <w:rsid w:val="0008713F"/>
    <w:rsid w:val="00087170"/>
    <w:rsid w:val="00087592"/>
    <w:rsid w:val="00087612"/>
    <w:rsid w:val="000876C3"/>
    <w:rsid w:val="0008780F"/>
    <w:rsid w:val="00087928"/>
    <w:rsid w:val="000879F7"/>
    <w:rsid w:val="00087C6F"/>
    <w:rsid w:val="00090035"/>
    <w:rsid w:val="00090117"/>
    <w:rsid w:val="00090296"/>
    <w:rsid w:val="000902C0"/>
    <w:rsid w:val="00090370"/>
    <w:rsid w:val="0009068F"/>
    <w:rsid w:val="00090A7C"/>
    <w:rsid w:val="00091385"/>
    <w:rsid w:val="0009172E"/>
    <w:rsid w:val="000917BC"/>
    <w:rsid w:val="0009181A"/>
    <w:rsid w:val="00091955"/>
    <w:rsid w:val="00091B3A"/>
    <w:rsid w:val="00091C8A"/>
    <w:rsid w:val="00091CBD"/>
    <w:rsid w:val="000920F0"/>
    <w:rsid w:val="00092109"/>
    <w:rsid w:val="000921FE"/>
    <w:rsid w:val="00092682"/>
    <w:rsid w:val="0009276F"/>
    <w:rsid w:val="00092963"/>
    <w:rsid w:val="00092D09"/>
    <w:rsid w:val="00093357"/>
    <w:rsid w:val="00093A14"/>
    <w:rsid w:val="00093EC7"/>
    <w:rsid w:val="00094199"/>
    <w:rsid w:val="000941E9"/>
    <w:rsid w:val="000943EB"/>
    <w:rsid w:val="0009445E"/>
    <w:rsid w:val="00094586"/>
    <w:rsid w:val="00094ABF"/>
    <w:rsid w:val="00094C9C"/>
    <w:rsid w:val="00094D32"/>
    <w:rsid w:val="00095013"/>
    <w:rsid w:val="00095018"/>
    <w:rsid w:val="00095462"/>
    <w:rsid w:val="000957E9"/>
    <w:rsid w:val="000959A3"/>
    <w:rsid w:val="000959C5"/>
    <w:rsid w:val="000961AD"/>
    <w:rsid w:val="000964B6"/>
    <w:rsid w:val="000966F7"/>
    <w:rsid w:val="00096734"/>
    <w:rsid w:val="0009673C"/>
    <w:rsid w:val="00096AC7"/>
    <w:rsid w:val="00096C0F"/>
    <w:rsid w:val="00097040"/>
    <w:rsid w:val="00097275"/>
    <w:rsid w:val="000973EE"/>
    <w:rsid w:val="0009791D"/>
    <w:rsid w:val="00097A3A"/>
    <w:rsid w:val="00097C36"/>
    <w:rsid w:val="00097F62"/>
    <w:rsid w:val="000A036E"/>
    <w:rsid w:val="000A046D"/>
    <w:rsid w:val="000A053B"/>
    <w:rsid w:val="000A0D07"/>
    <w:rsid w:val="000A13DF"/>
    <w:rsid w:val="000A1517"/>
    <w:rsid w:val="000A157A"/>
    <w:rsid w:val="000A1971"/>
    <w:rsid w:val="000A1CF3"/>
    <w:rsid w:val="000A1EC3"/>
    <w:rsid w:val="000A218A"/>
    <w:rsid w:val="000A23F5"/>
    <w:rsid w:val="000A259E"/>
    <w:rsid w:val="000A2BE7"/>
    <w:rsid w:val="000A2CAC"/>
    <w:rsid w:val="000A3629"/>
    <w:rsid w:val="000A3C68"/>
    <w:rsid w:val="000A3D9E"/>
    <w:rsid w:val="000A3EDD"/>
    <w:rsid w:val="000A3F45"/>
    <w:rsid w:val="000A3F4D"/>
    <w:rsid w:val="000A3F74"/>
    <w:rsid w:val="000A40E7"/>
    <w:rsid w:val="000A417B"/>
    <w:rsid w:val="000A4700"/>
    <w:rsid w:val="000A4927"/>
    <w:rsid w:val="000A4A40"/>
    <w:rsid w:val="000A503A"/>
    <w:rsid w:val="000A5075"/>
    <w:rsid w:val="000A50DB"/>
    <w:rsid w:val="000A514A"/>
    <w:rsid w:val="000A5285"/>
    <w:rsid w:val="000A5357"/>
    <w:rsid w:val="000A5B12"/>
    <w:rsid w:val="000A6041"/>
    <w:rsid w:val="000A6080"/>
    <w:rsid w:val="000A62D4"/>
    <w:rsid w:val="000A652B"/>
    <w:rsid w:val="000A6560"/>
    <w:rsid w:val="000A6F78"/>
    <w:rsid w:val="000A7076"/>
    <w:rsid w:val="000A7144"/>
    <w:rsid w:val="000A733A"/>
    <w:rsid w:val="000A765C"/>
    <w:rsid w:val="000A7804"/>
    <w:rsid w:val="000A7B2E"/>
    <w:rsid w:val="000A7F8A"/>
    <w:rsid w:val="000B01FB"/>
    <w:rsid w:val="000B045C"/>
    <w:rsid w:val="000B0547"/>
    <w:rsid w:val="000B05A5"/>
    <w:rsid w:val="000B09F1"/>
    <w:rsid w:val="000B0A6E"/>
    <w:rsid w:val="000B0B97"/>
    <w:rsid w:val="000B0D98"/>
    <w:rsid w:val="000B1794"/>
    <w:rsid w:val="000B17A1"/>
    <w:rsid w:val="000B17C2"/>
    <w:rsid w:val="000B187A"/>
    <w:rsid w:val="000B19AF"/>
    <w:rsid w:val="000B1CE3"/>
    <w:rsid w:val="000B1EFE"/>
    <w:rsid w:val="000B2151"/>
    <w:rsid w:val="000B217A"/>
    <w:rsid w:val="000B21FF"/>
    <w:rsid w:val="000B223E"/>
    <w:rsid w:val="000B228E"/>
    <w:rsid w:val="000B24D2"/>
    <w:rsid w:val="000B2B77"/>
    <w:rsid w:val="000B305B"/>
    <w:rsid w:val="000B3088"/>
    <w:rsid w:val="000B30FC"/>
    <w:rsid w:val="000B349E"/>
    <w:rsid w:val="000B4115"/>
    <w:rsid w:val="000B41C7"/>
    <w:rsid w:val="000B444E"/>
    <w:rsid w:val="000B4464"/>
    <w:rsid w:val="000B4665"/>
    <w:rsid w:val="000B483C"/>
    <w:rsid w:val="000B4855"/>
    <w:rsid w:val="000B4B0C"/>
    <w:rsid w:val="000B4D85"/>
    <w:rsid w:val="000B4E8B"/>
    <w:rsid w:val="000B5485"/>
    <w:rsid w:val="000B5ABB"/>
    <w:rsid w:val="000B5BB9"/>
    <w:rsid w:val="000B5E90"/>
    <w:rsid w:val="000B60F8"/>
    <w:rsid w:val="000B61D1"/>
    <w:rsid w:val="000B621C"/>
    <w:rsid w:val="000B623E"/>
    <w:rsid w:val="000B665F"/>
    <w:rsid w:val="000B668B"/>
    <w:rsid w:val="000B6818"/>
    <w:rsid w:val="000B6919"/>
    <w:rsid w:val="000B691F"/>
    <w:rsid w:val="000B6A83"/>
    <w:rsid w:val="000B6DA0"/>
    <w:rsid w:val="000B6DBD"/>
    <w:rsid w:val="000B740F"/>
    <w:rsid w:val="000B75C7"/>
    <w:rsid w:val="000B7741"/>
    <w:rsid w:val="000B77F9"/>
    <w:rsid w:val="000B785C"/>
    <w:rsid w:val="000B7DA4"/>
    <w:rsid w:val="000B7DFC"/>
    <w:rsid w:val="000C0167"/>
    <w:rsid w:val="000C01ED"/>
    <w:rsid w:val="000C02EF"/>
    <w:rsid w:val="000C096C"/>
    <w:rsid w:val="000C0A3F"/>
    <w:rsid w:val="000C0B2F"/>
    <w:rsid w:val="000C0B70"/>
    <w:rsid w:val="000C0F4A"/>
    <w:rsid w:val="000C1034"/>
    <w:rsid w:val="000C17E7"/>
    <w:rsid w:val="000C1AC8"/>
    <w:rsid w:val="000C1C4A"/>
    <w:rsid w:val="000C1ED7"/>
    <w:rsid w:val="000C2033"/>
    <w:rsid w:val="000C2119"/>
    <w:rsid w:val="000C213E"/>
    <w:rsid w:val="000C275D"/>
    <w:rsid w:val="000C283E"/>
    <w:rsid w:val="000C390A"/>
    <w:rsid w:val="000C3A5E"/>
    <w:rsid w:val="000C3DF9"/>
    <w:rsid w:val="000C3EC8"/>
    <w:rsid w:val="000C4073"/>
    <w:rsid w:val="000C41B1"/>
    <w:rsid w:val="000C47C1"/>
    <w:rsid w:val="000C4935"/>
    <w:rsid w:val="000C4BB4"/>
    <w:rsid w:val="000C4C8A"/>
    <w:rsid w:val="000C5019"/>
    <w:rsid w:val="000C508A"/>
    <w:rsid w:val="000C5126"/>
    <w:rsid w:val="000C526B"/>
    <w:rsid w:val="000C5350"/>
    <w:rsid w:val="000C56EC"/>
    <w:rsid w:val="000C571D"/>
    <w:rsid w:val="000C573A"/>
    <w:rsid w:val="000C5811"/>
    <w:rsid w:val="000C5E0A"/>
    <w:rsid w:val="000C5E33"/>
    <w:rsid w:val="000C6030"/>
    <w:rsid w:val="000C6097"/>
    <w:rsid w:val="000C60BF"/>
    <w:rsid w:val="000C66A2"/>
    <w:rsid w:val="000C68E3"/>
    <w:rsid w:val="000C6A4F"/>
    <w:rsid w:val="000C6B62"/>
    <w:rsid w:val="000C6C0F"/>
    <w:rsid w:val="000C6F8A"/>
    <w:rsid w:val="000C74C6"/>
    <w:rsid w:val="000C7691"/>
    <w:rsid w:val="000C7A30"/>
    <w:rsid w:val="000C7B84"/>
    <w:rsid w:val="000C7C22"/>
    <w:rsid w:val="000C7D90"/>
    <w:rsid w:val="000C7E66"/>
    <w:rsid w:val="000C7F85"/>
    <w:rsid w:val="000D00C1"/>
    <w:rsid w:val="000D00CF"/>
    <w:rsid w:val="000D01E1"/>
    <w:rsid w:val="000D0275"/>
    <w:rsid w:val="000D03D2"/>
    <w:rsid w:val="000D04DA"/>
    <w:rsid w:val="000D0654"/>
    <w:rsid w:val="000D06DE"/>
    <w:rsid w:val="000D0BC9"/>
    <w:rsid w:val="000D0C60"/>
    <w:rsid w:val="000D1075"/>
    <w:rsid w:val="000D1178"/>
    <w:rsid w:val="000D15D3"/>
    <w:rsid w:val="000D16CE"/>
    <w:rsid w:val="000D1849"/>
    <w:rsid w:val="000D1F82"/>
    <w:rsid w:val="000D206C"/>
    <w:rsid w:val="000D217D"/>
    <w:rsid w:val="000D22F4"/>
    <w:rsid w:val="000D232F"/>
    <w:rsid w:val="000D2432"/>
    <w:rsid w:val="000D2604"/>
    <w:rsid w:val="000D277C"/>
    <w:rsid w:val="000D284F"/>
    <w:rsid w:val="000D2D52"/>
    <w:rsid w:val="000D2F80"/>
    <w:rsid w:val="000D2F9D"/>
    <w:rsid w:val="000D311A"/>
    <w:rsid w:val="000D3452"/>
    <w:rsid w:val="000D3573"/>
    <w:rsid w:val="000D3820"/>
    <w:rsid w:val="000D3D4E"/>
    <w:rsid w:val="000D3EE5"/>
    <w:rsid w:val="000D410F"/>
    <w:rsid w:val="000D4179"/>
    <w:rsid w:val="000D476B"/>
    <w:rsid w:val="000D4ACC"/>
    <w:rsid w:val="000D4AFF"/>
    <w:rsid w:val="000D4FE3"/>
    <w:rsid w:val="000D525D"/>
    <w:rsid w:val="000D52AA"/>
    <w:rsid w:val="000D52E3"/>
    <w:rsid w:val="000D5412"/>
    <w:rsid w:val="000D5445"/>
    <w:rsid w:val="000D55A4"/>
    <w:rsid w:val="000D5893"/>
    <w:rsid w:val="000D5A06"/>
    <w:rsid w:val="000D5A3C"/>
    <w:rsid w:val="000D5BB5"/>
    <w:rsid w:val="000D6118"/>
    <w:rsid w:val="000D63C3"/>
    <w:rsid w:val="000D661B"/>
    <w:rsid w:val="000D66F1"/>
    <w:rsid w:val="000D678C"/>
    <w:rsid w:val="000D6E46"/>
    <w:rsid w:val="000D6E69"/>
    <w:rsid w:val="000D6F5C"/>
    <w:rsid w:val="000D71D9"/>
    <w:rsid w:val="000D732A"/>
    <w:rsid w:val="000D7387"/>
    <w:rsid w:val="000D755E"/>
    <w:rsid w:val="000D76E2"/>
    <w:rsid w:val="000D76E8"/>
    <w:rsid w:val="000D7717"/>
    <w:rsid w:val="000D7FA9"/>
    <w:rsid w:val="000E009D"/>
    <w:rsid w:val="000E02D8"/>
    <w:rsid w:val="000E0A67"/>
    <w:rsid w:val="000E0A7E"/>
    <w:rsid w:val="000E0D10"/>
    <w:rsid w:val="000E0EE4"/>
    <w:rsid w:val="000E1104"/>
    <w:rsid w:val="000E1200"/>
    <w:rsid w:val="000E1269"/>
    <w:rsid w:val="000E13EA"/>
    <w:rsid w:val="000E1F17"/>
    <w:rsid w:val="000E260F"/>
    <w:rsid w:val="000E2687"/>
    <w:rsid w:val="000E2766"/>
    <w:rsid w:val="000E29A2"/>
    <w:rsid w:val="000E33CF"/>
    <w:rsid w:val="000E33DB"/>
    <w:rsid w:val="000E35E5"/>
    <w:rsid w:val="000E37F3"/>
    <w:rsid w:val="000E3BF0"/>
    <w:rsid w:val="000E3D01"/>
    <w:rsid w:val="000E4330"/>
    <w:rsid w:val="000E4446"/>
    <w:rsid w:val="000E46E0"/>
    <w:rsid w:val="000E4777"/>
    <w:rsid w:val="000E4805"/>
    <w:rsid w:val="000E4954"/>
    <w:rsid w:val="000E4BDB"/>
    <w:rsid w:val="000E4BF2"/>
    <w:rsid w:val="000E4D9A"/>
    <w:rsid w:val="000E52E7"/>
    <w:rsid w:val="000E534E"/>
    <w:rsid w:val="000E546D"/>
    <w:rsid w:val="000E58D7"/>
    <w:rsid w:val="000E5943"/>
    <w:rsid w:val="000E5962"/>
    <w:rsid w:val="000E5B26"/>
    <w:rsid w:val="000E6278"/>
    <w:rsid w:val="000E64A8"/>
    <w:rsid w:val="000E6A3A"/>
    <w:rsid w:val="000E769F"/>
    <w:rsid w:val="000E778F"/>
    <w:rsid w:val="000E79A5"/>
    <w:rsid w:val="000E7BA6"/>
    <w:rsid w:val="000E7C40"/>
    <w:rsid w:val="000F00F8"/>
    <w:rsid w:val="000F0157"/>
    <w:rsid w:val="000F02C9"/>
    <w:rsid w:val="000F0371"/>
    <w:rsid w:val="000F04B5"/>
    <w:rsid w:val="000F04FB"/>
    <w:rsid w:val="000F07A4"/>
    <w:rsid w:val="000F0AE4"/>
    <w:rsid w:val="000F0AFC"/>
    <w:rsid w:val="000F0D52"/>
    <w:rsid w:val="000F0E7F"/>
    <w:rsid w:val="000F1197"/>
    <w:rsid w:val="000F1445"/>
    <w:rsid w:val="000F15B7"/>
    <w:rsid w:val="000F23B2"/>
    <w:rsid w:val="000F23E1"/>
    <w:rsid w:val="000F25CD"/>
    <w:rsid w:val="000F2CB6"/>
    <w:rsid w:val="000F2CFC"/>
    <w:rsid w:val="000F2EAE"/>
    <w:rsid w:val="000F2F65"/>
    <w:rsid w:val="000F304F"/>
    <w:rsid w:val="000F30CF"/>
    <w:rsid w:val="000F34C1"/>
    <w:rsid w:val="000F3816"/>
    <w:rsid w:val="000F3922"/>
    <w:rsid w:val="000F41A7"/>
    <w:rsid w:val="000F44B6"/>
    <w:rsid w:val="000F4E47"/>
    <w:rsid w:val="000F4E9E"/>
    <w:rsid w:val="000F4F22"/>
    <w:rsid w:val="000F5316"/>
    <w:rsid w:val="000F54C1"/>
    <w:rsid w:val="000F55BE"/>
    <w:rsid w:val="000F59CB"/>
    <w:rsid w:val="000F5AB7"/>
    <w:rsid w:val="000F60A4"/>
    <w:rsid w:val="000F6708"/>
    <w:rsid w:val="000F693D"/>
    <w:rsid w:val="000F6974"/>
    <w:rsid w:val="000F6A43"/>
    <w:rsid w:val="000F6C1A"/>
    <w:rsid w:val="000F6E57"/>
    <w:rsid w:val="000F70C2"/>
    <w:rsid w:val="000F723A"/>
    <w:rsid w:val="000F7251"/>
    <w:rsid w:val="000F72CD"/>
    <w:rsid w:val="000F73D1"/>
    <w:rsid w:val="000F74A6"/>
    <w:rsid w:val="000F755D"/>
    <w:rsid w:val="000F7655"/>
    <w:rsid w:val="000F783F"/>
    <w:rsid w:val="000F7888"/>
    <w:rsid w:val="000F7D4E"/>
    <w:rsid w:val="000F7F4C"/>
    <w:rsid w:val="00100055"/>
    <w:rsid w:val="001001F4"/>
    <w:rsid w:val="001004D6"/>
    <w:rsid w:val="001004DE"/>
    <w:rsid w:val="00100621"/>
    <w:rsid w:val="001007C5"/>
    <w:rsid w:val="00100AC6"/>
    <w:rsid w:val="00100BC4"/>
    <w:rsid w:val="00100C9B"/>
    <w:rsid w:val="00100EBF"/>
    <w:rsid w:val="00100FB7"/>
    <w:rsid w:val="00100FBB"/>
    <w:rsid w:val="00101179"/>
    <w:rsid w:val="00101671"/>
    <w:rsid w:val="001016AB"/>
    <w:rsid w:val="0010185D"/>
    <w:rsid w:val="00101C35"/>
    <w:rsid w:val="00101F93"/>
    <w:rsid w:val="0010200A"/>
    <w:rsid w:val="00102648"/>
    <w:rsid w:val="00102795"/>
    <w:rsid w:val="001029EB"/>
    <w:rsid w:val="00102B86"/>
    <w:rsid w:val="00102C13"/>
    <w:rsid w:val="00102C17"/>
    <w:rsid w:val="00102CCE"/>
    <w:rsid w:val="00102E08"/>
    <w:rsid w:val="00102EFE"/>
    <w:rsid w:val="00103149"/>
    <w:rsid w:val="001038A6"/>
    <w:rsid w:val="0010396E"/>
    <w:rsid w:val="00103AB3"/>
    <w:rsid w:val="00103CE9"/>
    <w:rsid w:val="00103EB0"/>
    <w:rsid w:val="00103FA6"/>
    <w:rsid w:val="001043C0"/>
    <w:rsid w:val="00104415"/>
    <w:rsid w:val="00104467"/>
    <w:rsid w:val="00104949"/>
    <w:rsid w:val="00104C0F"/>
    <w:rsid w:val="0010505D"/>
    <w:rsid w:val="001051E9"/>
    <w:rsid w:val="00105248"/>
    <w:rsid w:val="00105393"/>
    <w:rsid w:val="001053B5"/>
    <w:rsid w:val="001054A5"/>
    <w:rsid w:val="001059CD"/>
    <w:rsid w:val="00105D2A"/>
    <w:rsid w:val="00106127"/>
    <w:rsid w:val="00106188"/>
    <w:rsid w:val="0010641B"/>
    <w:rsid w:val="001065B7"/>
    <w:rsid w:val="00106A47"/>
    <w:rsid w:val="00106CA6"/>
    <w:rsid w:val="00106E56"/>
    <w:rsid w:val="00107053"/>
    <w:rsid w:val="0010746D"/>
    <w:rsid w:val="00107618"/>
    <w:rsid w:val="0010775E"/>
    <w:rsid w:val="00107D0F"/>
    <w:rsid w:val="00107FCC"/>
    <w:rsid w:val="00110251"/>
    <w:rsid w:val="0011040E"/>
    <w:rsid w:val="00110657"/>
    <w:rsid w:val="001106E5"/>
    <w:rsid w:val="001107E4"/>
    <w:rsid w:val="0011082C"/>
    <w:rsid w:val="00110A4C"/>
    <w:rsid w:val="00110D2F"/>
    <w:rsid w:val="00110D61"/>
    <w:rsid w:val="001110E1"/>
    <w:rsid w:val="00111507"/>
    <w:rsid w:val="00111531"/>
    <w:rsid w:val="00111590"/>
    <w:rsid w:val="001115BF"/>
    <w:rsid w:val="001115C5"/>
    <w:rsid w:val="00111671"/>
    <w:rsid w:val="001117CF"/>
    <w:rsid w:val="00111958"/>
    <w:rsid w:val="00111B4B"/>
    <w:rsid w:val="00111DB7"/>
    <w:rsid w:val="00111E3B"/>
    <w:rsid w:val="00111E85"/>
    <w:rsid w:val="00111E9A"/>
    <w:rsid w:val="00112143"/>
    <w:rsid w:val="001121CC"/>
    <w:rsid w:val="0011275B"/>
    <w:rsid w:val="001129C0"/>
    <w:rsid w:val="00112CE7"/>
    <w:rsid w:val="00112F57"/>
    <w:rsid w:val="00113181"/>
    <w:rsid w:val="00113472"/>
    <w:rsid w:val="00113630"/>
    <w:rsid w:val="001137AD"/>
    <w:rsid w:val="001138CF"/>
    <w:rsid w:val="0011397A"/>
    <w:rsid w:val="001139B6"/>
    <w:rsid w:val="00113DD6"/>
    <w:rsid w:val="00113EC7"/>
    <w:rsid w:val="00113FB9"/>
    <w:rsid w:val="001140FB"/>
    <w:rsid w:val="00114487"/>
    <w:rsid w:val="0011457D"/>
    <w:rsid w:val="0011476E"/>
    <w:rsid w:val="00114A52"/>
    <w:rsid w:val="00114A95"/>
    <w:rsid w:val="00114AD7"/>
    <w:rsid w:val="00114B58"/>
    <w:rsid w:val="00114C44"/>
    <w:rsid w:val="00114D6B"/>
    <w:rsid w:val="00115025"/>
    <w:rsid w:val="00115173"/>
    <w:rsid w:val="00115266"/>
    <w:rsid w:val="00115537"/>
    <w:rsid w:val="00115A3C"/>
    <w:rsid w:val="00115AEF"/>
    <w:rsid w:val="00115B97"/>
    <w:rsid w:val="00115EA8"/>
    <w:rsid w:val="00115F31"/>
    <w:rsid w:val="001161CA"/>
    <w:rsid w:val="00116473"/>
    <w:rsid w:val="0011658E"/>
    <w:rsid w:val="00116790"/>
    <w:rsid w:val="00116AC5"/>
    <w:rsid w:val="00117070"/>
    <w:rsid w:val="001171ED"/>
    <w:rsid w:val="0011723A"/>
    <w:rsid w:val="0011764A"/>
    <w:rsid w:val="00117CBF"/>
    <w:rsid w:val="00117D8B"/>
    <w:rsid w:val="00117E59"/>
    <w:rsid w:val="0012011F"/>
    <w:rsid w:val="0012014A"/>
    <w:rsid w:val="001203E6"/>
    <w:rsid w:val="0012047E"/>
    <w:rsid w:val="00120603"/>
    <w:rsid w:val="00120ABF"/>
    <w:rsid w:val="00120CA3"/>
    <w:rsid w:val="00121273"/>
    <w:rsid w:val="001212FA"/>
    <w:rsid w:val="00121339"/>
    <w:rsid w:val="001213B3"/>
    <w:rsid w:val="001213DA"/>
    <w:rsid w:val="00121A3A"/>
    <w:rsid w:val="00121AAA"/>
    <w:rsid w:val="00121B45"/>
    <w:rsid w:val="0012205F"/>
    <w:rsid w:val="0012217D"/>
    <w:rsid w:val="00122789"/>
    <w:rsid w:val="00122E51"/>
    <w:rsid w:val="00122E88"/>
    <w:rsid w:val="00123757"/>
    <w:rsid w:val="00123C40"/>
    <w:rsid w:val="00123CB4"/>
    <w:rsid w:val="00123D59"/>
    <w:rsid w:val="001243DA"/>
    <w:rsid w:val="001246AB"/>
    <w:rsid w:val="001248AE"/>
    <w:rsid w:val="00124A48"/>
    <w:rsid w:val="00124CEF"/>
    <w:rsid w:val="00124D82"/>
    <w:rsid w:val="00124EA2"/>
    <w:rsid w:val="001250AF"/>
    <w:rsid w:val="001250BC"/>
    <w:rsid w:val="00125131"/>
    <w:rsid w:val="00125235"/>
    <w:rsid w:val="001258DD"/>
    <w:rsid w:val="001258E7"/>
    <w:rsid w:val="0012595F"/>
    <w:rsid w:val="00126088"/>
    <w:rsid w:val="001262DB"/>
    <w:rsid w:val="00126343"/>
    <w:rsid w:val="00126462"/>
    <w:rsid w:val="001267D3"/>
    <w:rsid w:val="0012696C"/>
    <w:rsid w:val="00126D65"/>
    <w:rsid w:val="0012713C"/>
    <w:rsid w:val="00127181"/>
    <w:rsid w:val="00127232"/>
    <w:rsid w:val="00127489"/>
    <w:rsid w:val="00127BF9"/>
    <w:rsid w:val="00127D93"/>
    <w:rsid w:val="00127E29"/>
    <w:rsid w:val="00130092"/>
    <w:rsid w:val="00130396"/>
    <w:rsid w:val="001305FA"/>
    <w:rsid w:val="001306BA"/>
    <w:rsid w:val="001306F8"/>
    <w:rsid w:val="00131003"/>
    <w:rsid w:val="001312E6"/>
    <w:rsid w:val="001314FA"/>
    <w:rsid w:val="0013168C"/>
    <w:rsid w:val="001319E1"/>
    <w:rsid w:val="00131D82"/>
    <w:rsid w:val="00131F17"/>
    <w:rsid w:val="00131FB5"/>
    <w:rsid w:val="0013237B"/>
    <w:rsid w:val="001324D3"/>
    <w:rsid w:val="001324FE"/>
    <w:rsid w:val="00132611"/>
    <w:rsid w:val="001328C4"/>
    <w:rsid w:val="001329BF"/>
    <w:rsid w:val="00132BAE"/>
    <w:rsid w:val="00132BCC"/>
    <w:rsid w:val="00132E3F"/>
    <w:rsid w:val="0013313F"/>
    <w:rsid w:val="00133190"/>
    <w:rsid w:val="0013340D"/>
    <w:rsid w:val="001336A8"/>
    <w:rsid w:val="00133DA2"/>
    <w:rsid w:val="00133FDD"/>
    <w:rsid w:val="00134035"/>
    <w:rsid w:val="00134188"/>
    <w:rsid w:val="001344AD"/>
    <w:rsid w:val="0013462C"/>
    <w:rsid w:val="00134B5D"/>
    <w:rsid w:val="00134BAF"/>
    <w:rsid w:val="00135034"/>
    <w:rsid w:val="0013551C"/>
    <w:rsid w:val="00135666"/>
    <w:rsid w:val="00135682"/>
    <w:rsid w:val="00135762"/>
    <w:rsid w:val="0013589F"/>
    <w:rsid w:val="00135A10"/>
    <w:rsid w:val="00135A21"/>
    <w:rsid w:val="00135A35"/>
    <w:rsid w:val="00135C29"/>
    <w:rsid w:val="00135CC0"/>
    <w:rsid w:val="001361EE"/>
    <w:rsid w:val="0013674B"/>
    <w:rsid w:val="00137177"/>
    <w:rsid w:val="0013731E"/>
    <w:rsid w:val="00137417"/>
    <w:rsid w:val="0013759A"/>
    <w:rsid w:val="0013775C"/>
    <w:rsid w:val="00137A08"/>
    <w:rsid w:val="00137A5B"/>
    <w:rsid w:val="00137B04"/>
    <w:rsid w:val="00137D97"/>
    <w:rsid w:val="00137DB3"/>
    <w:rsid w:val="00137E21"/>
    <w:rsid w:val="001401AA"/>
    <w:rsid w:val="001402B1"/>
    <w:rsid w:val="001402EE"/>
    <w:rsid w:val="001403A6"/>
    <w:rsid w:val="00140561"/>
    <w:rsid w:val="00140585"/>
    <w:rsid w:val="00140729"/>
    <w:rsid w:val="0014094C"/>
    <w:rsid w:val="00140A24"/>
    <w:rsid w:val="00141B56"/>
    <w:rsid w:val="00141C52"/>
    <w:rsid w:val="00142016"/>
    <w:rsid w:val="0014217D"/>
    <w:rsid w:val="001423F0"/>
    <w:rsid w:val="001425C0"/>
    <w:rsid w:val="00142888"/>
    <w:rsid w:val="00142A4A"/>
    <w:rsid w:val="00142AEE"/>
    <w:rsid w:val="00142C6D"/>
    <w:rsid w:val="00142C89"/>
    <w:rsid w:val="00142D0D"/>
    <w:rsid w:val="0014307F"/>
    <w:rsid w:val="001435F7"/>
    <w:rsid w:val="0014360C"/>
    <w:rsid w:val="00143848"/>
    <w:rsid w:val="0014386B"/>
    <w:rsid w:val="001438F6"/>
    <w:rsid w:val="00143A4D"/>
    <w:rsid w:val="00143A55"/>
    <w:rsid w:val="00143B51"/>
    <w:rsid w:val="00143ECE"/>
    <w:rsid w:val="0014403B"/>
    <w:rsid w:val="00144220"/>
    <w:rsid w:val="0014426C"/>
    <w:rsid w:val="0014462F"/>
    <w:rsid w:val="00144706"/>
    <w:rsid w:val="00144FE3"/>
    <w:rsid w:val="00145230"/>
    <w:rsid w:val="001459AF"/>
    <w:rsid w:val="00145C3F"/>
    <w:rsid w:val="00145DBE"/>
    <w:rsid w:val="00145E59"/>
    <w:rsid w:val="00145FC6"/>
    <w:rsid w:val="0014612E"/>
    <w:rsid w:val="0014669F"/>
    <w:rsid w:val="00146776"/>
    <w:rsid w:val="00146A64"/>
    <w:rsid w:val="00146A73"/>
    <w:rsid w:val="00146C7F"/>
    <w:rsid w:val="001470EB"/>
    <w:rsid w:val="00147108"/>
    <w:rsid w:val="00147203"/>
    <w:rsid w:val="001474E2"/>
    <w:rsid w:val="001478B3"/>
    <w:rsid w:val="00147A85"/>
    <w:rsid w:val="00147C46"/>
    <w:rsid w:val="00147ED1"/>
    <w:rsid w:val="0015002A"/>
    <w:rsid w:val="0015073A"/>
    <w:rsid w:val="001509CF"/>
    <w:rsid w:val="00150AC8"/>
    <w:rsid w:val="00150B33"/>
    <w:rsid w:val="00151003"/>
    <w:rsid w:val="00151643"/>
    <w:rsid w:val="001519A8"/>
    <w:rsid w:val="00151A63"/>
    <w:rsid w:val="00151BFC"/>
    <w:rsid w:val="00151D04"/>
    <w:rsid w:val="00151E0F"/>
    <w:rsid w:val="00151FF8"/>
    <w:rsid w:val="0015203C"/>
    <w:rsid w:val="00152169"/>
    <w:rsid w:val="001521FA"/>
    <w:rsid w:val="0015233B"/>
    <w:rsid w:val="00152367"/>
    <w:rsid w:val="00152725"/>
    <w:rsid w:val="00152759"/>
    <w:rsid w:val="0015278C"/>
    <w:rsid w:val="001527F7"/>
    <w:rsid w:val="001528F5"/>
    <w:rsid w:val="00152B5A"/>
    <w:rsid w:val="00153050"/>
    <w:rsid w:val="00153075"/>
    <w:rsid w:val="0015322B"/>
    <w:rsid w:val="001534DF"/>
    <w:rsid w:val="001535B8"/>
    <w:rsid w:val="00153639"/>
    <w:rsid w:val="00153790"/>
    <w:rsid w:val="00153C2D"/>
    <w:rsid w:val="00153EFA"/>
    <w:rsid w:val="00154296"/>
    <w:rsid w:val="0015458C"/>
    <w:rsid w:val="001545B1"/>
    <w:rsid w:val="00154B0A"/>
    <w:rsid w:val="00155813"/>
    <w:rsid w:val="001559EE"/>
    <w:rsid w:val="00155C84"/>
    <w:rsid w:val="00155E1E"/>
    <w:rsid w:val="00155F5A"/>
    <w:rsid w:val="00155F74"/>
    <w:rsid w:val="00156983"/>
    <w:rsid w:val="001569B4"/>
    <w:rsid w:val="00156AFF"/>
    <w:rsid w:val="00156C18"/>
    <w:rsid w:val="00156DBE"/>
    <w:rsid w:val="00156E37"/>
    <w:rsid w:val="00156E3B"/>
    <w:rsid w:val="00156E77"/>
    <w:rsid w:val="00156E96"/>
    <w:rsid w:val="001571BA"/>
    <w:rsid w:val="001571F2"/>
    <w:rsid w:val="0015750C"/>
    <w:rsid w:val="0015761F"/>
    <w:rsid w:val="00157E0F"/>
    <w:rsid w:val="00157FA8"/>
    <w:rsid w:val="00157FBD"/>
    <w:rsid w:val="001602B3"/>
    <w:rsid w:val="00160379"/>
    <w:rsid w:val="001611F8"/>
    <w:rsid w:val="001615D1"/>
    <w:rsid w:val="0016189B"/>
    <w:rsid w:val="00161BAF"/>
    <w:rsid w:val="00161D2E"/>
    <w:rsid w:val="00161D9B"/>
    <w:rsid w:val="00161E55"/>
    <w:rsid w:val="001620E3"/>
    <w:rsid w:val="0016243B"/>
    <w:rsid w:val="0016263D"/>
    <w:rsid w:val="001626EE"/>
    <w:rsid w:val="0016271E"/>
    <w:rsid w:val="00162896"/>
    <w:rsid w:val="00162B3D"/>
    <w:rsid w:val="00162E04"/>
    <w:rsid w:val="00162E0C"/>
    <w:rsid w:val="0016310A"/>
    <w:rsid w:val="0016318F"/>
    <w:rsid w:val="001632A1"/>
    <w:rsid w:val="00163647"/>
    <w:rsid w:val="00163AF0"/>
    <w:rsid w:val="00163E98"/>
    <w:rsid w:val="001640C8"/>
    <w:rsid w:val="00164228"/>
    <w:rsid w:val="001645A7"/>
    <w:rsid w:val="001647F7"/>
    <w:rsid w:val="001649C7"/>
    <w:rsid w:val="00165365"/>
    <w:rsid w:val="00165590"/>
    <w:rsid w:val="001657AD"/>
    <w:rsid w:val="001657D3"/>
    <w:rsid w:val="00165AD9"/>
    <w:rsid w:val="00165D60"/>
    <w:rsid w:val="00166145"/>
    <w:rsid w:val="0016631A"/>
    <w:rsid w:val="00166624"/>
    <w:rsid w:val="001666A8"/>
    <w:rsid w:val="00166A29"/>
    <w:rsid w:val="00166BA8"/>
    <w:rsid w:val="0016734A"/>
    <w:rsid w:val="00167696"/>
    <w:rsid w:val="00167855"/>
    <w:rsid w:val="001678F3"/>
    <w:rsid w:val="00167B5E"/>
    <w:rsid w:val="00167E9D"/>
    <w:rsid w:val="001701EF"/>
    <w:rsid w:val="00170AC9"/>
    <w:rsid w:val="00170BB0"/>
    <w:rsid w:val="00170CE1"/>
    <w:rsid w:val="00170E35"/>
    <w:rsid w:val="00170F97"/>
    <w:rsid w:val="00171084"/>
    <w:rsid w:val="001712CD"/>
    <w:rsid w:val="00171868"/>
    <w:rsid w:val="0017187E"/>
    <w:rsid w:val="00171938"/>
    <w:rsid w:val="001719F2"/>
    <w:rsid w:val="00171CD0"/>
    <w:rsid w:val="00171FD5"/>
    <w:rsid w:val="00172389"/>
    <w:rsid w:val="0017252E"/>
    <w:rsid w:val="00172718"/>
    <w:rsid w:val="00172A7F"/>
    <w:rsid w:val="00172C1E"/>
    <w:rsid w:val="00172FE0"/>
    <w:rsid w:val="0017308F"/>
    <w:rsid w:val="001730BD"/>
    <w:rsid w:val="0017329F"/>
    <w:rsid w:val="001732BD"/>
    <w:rsid w:val="00173301"/>
    <w:rsid w:val="001734DB"/>
    <w:rsid w:val="0017350B"/>
    <w:rsid w:val="00173597"/>
    <w:rsid w:val="0017377E"/>
    <w:rsid w:val="0017386D"/>
    <w:rsid w:val="00173ADD"/>
    <w:rsid w:val="00173BA8"/>
    <w:rsid w:val="00173EAD"/>
    <w:rsid w:val="00174722"/>
    <w:rsid w:val="00175013"/>
    <w:rsid w:val="001750D0"/>
    <w:rsid w:val="001751F6"/>
    <w:rsid w:val="001752D8"/>
    <w:rsid w:val="001754CD"/>
    <w:rsid w:val="001755DE"/>
    <w:rsid w:val="001756FE"/>
    <w:rsid w:val="00175D60"/>
    <w:rsid w:val="00176407"/>
    <w:rsid w:val="00176537"/>
    <w:rsid w:val="00176579"/>
    <w:rsid w:val="0017658B"/>
    <w:rsid w:val="0017681A"/>
    <w:rsid w:val="00176FFE"/>
    <w:rsid w:val="0017709E"/>
    <w:rsid w:val="00177123"/>
    <w:rsid w:val="00177147"/>
    <w:rsid w:val="00177776"/>
    <w:rsid w:val="001779C2"/>
    <w:rsid w:val="001779FB"/>
    <w:rsid w:val="00177B78"/>
    <w:rsid w:val="00177BEC"/>
    <w:rsid w:val="00177C9E"/>
    <w:rsid w:val="00177D09"/>
    <w:rsid w:val="0018019A"/>
    <w:rsid w:val="00180723"/>
    <w:rsid w:val="00180978"/>
    <w:rsid w:val="00180A7C"/>
    <w:rsid w:val="00180C0F"/>
    <w:rsid w:val="0018113F"/>
    <w:rsid w:val="001811D4"/>
    <w:rsid w:val="0018185F"/>
    <w:rsid w:val="00181AE1"/>
    <w:rsid w:val="00181C3C"/>
    <w:rsid w:val="00181DB9"/>
    <w:rsid w:val="00181E70"/>
    <w:rsid w:val="00181E90"/>
    <w:rsid w:val="001821A1"/>
    <w:rsid w:val="0018256A"/>
    <w:rsid w:val="00182620"/>
    <w:rsid w:val="0018268D"/>
    <w:rsid w:val="00182998"/>
    <w:rsid w:val="00182B54"/>
    <w:rsid w:val="00182FEA"/>
    <w:rsid w:val="001832B3"/>
    <w:rsid w:val="0018338A"/>
    <w:rsid w:val="00183422"/>
    <w:rsid w:val="00183441"/>
    <w:rsid w:val="001834BF"/>
    <w:rsid w:val="00183727"/>
    <w:rsid w:val="00183ED3"/>
    <w:rsid w:val="001844A9"/>
    <w:rsid w:val="001845FB"/>
    <w:rsid w:val="00184A60"/>
    <w:rsid w:val="00184CF0"/>
    <w:rsid w:val="00184DB1"/>
    <w:rsid w:val="00184EF2"/>
    <w:rsid w:val="00184F3B"/>
    <w:rsid w:val="00184FE4"/>
    <w:rsid w:val="001852FB"/>
    <w:rsid w:val="001855B5"/>
    <w:rsid w:val="00185939"/>
    <w:rsid w:val="00185BFE"/>
    <w:rsid w:val="00185D7C"/>
    <w:rsid w:val="001865AA"/>
    <w:rsid w:val="001866D5"/>
    <w:rsid w:val="00186D33"/>
    <w:rsid w:val="00186D64"/>
    <w:rsid w:val="00186FAF"/>
    <w:rsid w:val="001876D0"/>
    <w:rsid w:val="00187818"/>
    <w:rsid w:val="00187970"/>
    <w:rsid w:val="00187AE7"/>
    <w:rsid w:val="00187E92"/>
    <w:rsid w:val="00190CEF"/>
    <w:rsid w:val="00190E4E"/>
    <w:rsid w:val="00190EDB"/>
    <w:rsid w:val="0019114D"/>
    <w:rsid w:val="00191423"/>
    <w:rsid w:val="00191477"/>
    <w:rsid w:val="001915DD"/>
    <w:rsid w:val="00191634"/>
    <w:rsid w:val="001917D3"/>
    <w:rsid w:val="00191EAF"/>
    <w:rsid w:val="00192157"/>
    <w:rsid w:val="00192355"/>
    <w:rsid w:val="0019296F"/>
    <w:rsid w:val="001929C8"/>
    <w:rsid w:val="00192EB0"/>
    <w:rsid w:val="00192F97"/>
    <w:rsid w:val="001932DC"/>
    <w:rsid w:val="001934D8"/>
    <w:rsid w:val="00193F1B"/>
    <w:rsid w:val="00193F26"/>
    <w:rsid w:val="0019401C"/>
    <w:rsid w:val="00194066"/>
    <w:rsid w:val="001942A8"/>
    <w:rsid w:val="001943CF"/>
    <w:rsid w:val="001943E2"/>
    <w:rsid w:val="0019450A"/>
    <w:rsid w:val="001947C7"/>
    <w:rsid w:val="00194822"/>
    <w:rsid w:val="00194A9C"/>
    <w:rsid w:val="00194B4F"/>
    <w:rsid w:val="00194EE9"/>
    <w:rsid w:val="00195348"/>
    <w:rsid w:val="0019542D"/>
    <w:rsid w:val="00195561"/>
    <w:rsid w:val="0019583E"/>
    <w:rsid w:val="00195AA2"/>
    <w:rsid w:val="00195EEF"/>
    <w:rsid w:val="00196550"/>
    <w:rsid w:val="0019676E"/>
    <w:rsid w:val="001969C4"/>
    <w:rsid w:val="00196AAC"/>
    <w:rsid w:val="00196ACA"/>
    <w:rsid w:val="00196CD6"/>
    <w:rsid w:val="00196F9D"/>
    <w:rsid w:val="00197070"/>
    <w:rsid w:val="001970EC"/>
    <w:rsid w:val="001972C9"/>
    <w:rsid w:val="0019757A"/>
    <w:rsid w:val="00197685"/>
    <w:rsid w:val="0019784A"/>
    <w:rsid w:val="00197986"/>
    <w:rsid w:val="00197B5E"/>
    <w:rsid w:val="00197E6C"/>
    <w:rsid w:val="001A0258"/>
    <w:rsid w:val="001A02CD"/>
    <w:rsid w:val="001A0318"/>
    <w:rsid w:val="001A0413"/>
    <w:rsid w:val="001A0634"/>
    <w:rsid w:val="001A0841"/>
    <w:rsid w:val="001A0A31"/>
    <w:rsid w:val="001A0E77"/>
    <w:rsid w:val="001A0F18"/>
    <w:rsid w:val="001A112B"/>
    <w:rsid w:val="001A14BE"/>
    <w:rsid w:val="001A164E"/>
    <w:rsid w:val="001A195A"/>
    <w:rsid w:val="001A1B35"/>
    <w:rsid w:val="001A21C4"/>
    <w:rsid w:val="001A2340"/>
    <w:rsid w:val="001A2403"/>
    <w:rsid w:val="001A26E0"/>
    <w:rsid w:val="001A273E"/>
    <w:rsid w:val="001A290A"/>
    <w:rsid w:val="001A2A58"/>
    <w:rsid w:val="001A3357"/>
    <w:rsid w:val="001A33BF"/>
    <w:rsid w:val="001A34B2"/>
    <w:rsid w:val="001A3BEA"/>
    <w:rsid w:val="001A3C09"/>
    <w:rsid w:val="001A3DB1"/>
    <w:rsid w:val="001A4028"/>
    <w:rsid w:val="001A43B4"/>
    <w:rsid w:val="001A4665"/>
    <w:rsid w:val="001A46F3"/>
    <w:rsid w:val="001A4710"/>
    <w:rsid w:val="001A475F"/>
    <w:rsid w:val="001A4BFC"/>
    <w:rsid w:val="001A4F33"/>
    <w:rsid w:val="001A4F8C"/>
    <w:rsid w:val="001A4FD1"/>
    <w:rsid w:val="001A5532"/>
    <w:rsid w:val="001A56B6"/>
    <w:rsid w:val="001A5749"/>
    <w:rsid w:val="001A5751"/>
    <w:rsid w:val="001A59CB"/>
    <w:rsid w:val="001A5C9D"/>
    <w:rsid w:val="001A5CE3"/>
    <w:rsid w:val="001A5E1B"/>
    <w:rsid w:val="001A5FDF"/>
    <w:rsid w:val="001A64C4"/>
    <w:rsid w:val="001A6569"/>
    <w:rsid w:val="001A67D6"/>
    <w:rsid w:val="001A6994"/>
    <w:rsid w:val="001A6A98"/>
    <w:rsid w:val="001A6D60"/>
    <w:rsid w:val="001A71AF"/>
    <w:rsid w:val="001A7251"/>
    <w:rsid w:val="001A73C7"/>
    <w:rsid w:val="001A774A"/>
    <w:rsid w:val="001A790A"/>
    <w:rsid w:val="001A7A62"/>
    <w:rsid w:val="001A7C0D"/>
    <w:rsid w:val="001B0347"/>
    <w:rsid w:val="001B03A1"/>
    <w:rsid w:val="001B03CB"/>
    <w:rsid w:val="001B0B67"/>
    <w:rsid w:val="001B0EDB"/>
    <w:rsid w:val="001B0FDD"/>
    <w:rsid w:val="001B1609"/>
    <w:rsid w:val="001B1AFF"/>
    <w:rsid w:val="001B1F28"/>
    <w:rsid w:val="001B20B6"/>
    <w:rsid w:val="001B2190"/>
    <w:rsid w:val="001B2321"/>
    <w:rsid w:val="001B2512"/>
    <w:rsid w:val="001B26DE"/>
    <w:rsid w:val="001B275C"/>
    <w:rsid w:val="001B27CB"/>
    <w:rsid w:val="001B2C72"/>
    <w:rsid w:val="001B2C88"/>
    <w:rsid w:val="001B2CA6"/>
    <w:rsid w:val="001B3193"/>
    <w:rsid w:val="001B3273"/>
    <w:rsid w:val="001B33D6"/>
    <w:rsid w:val="001B344E"/>
    <w:rsid w:val="001B34DD"/>
    <w:rsid w:val="001B351D"/>
    <w:rsid w:val="001B367B"/>
    <w:rsid w:val="001B3C07"/>
    <w:rsid w:val="001B3C14"/>
    <w:rsid w:val="001B419E"/>
    <w:rsid w:val="001B4322"/>
    <w:rsid w:val="001B46BD"/>
    <w:rsid w:val="001B4820"/>
    <w:rsid w:val="001B4971"/>
    <w:rsid w:val="001B4F57"/>
    <w:rsid w:val="001B51A1"/>
    <w:rsid w:val="001B5403"/>
    <w:rsid w:val="001B5491"/>
    <w:rsid w:val="001B5738"/>
    <w:rsid w:val="001B5C2D"/>
    <w:rsid w:val="001B5C77"/>
    <w:rsid w:val="001B5CB4"/>
    <w:rsid w:val="001B5F18"/>
    <w:rsid w:val="001B623B"/>
    <w:rsid w:val="001B630B"/>
    <w:rsid w:val="001B68FD"/>
    <w:rsid w:val="001B6939"/>
    <w:rsid w:val="001B6C4C"/>
    <w:rsid w:val="001B6C94"/>
    <w:rsid w:val="001B74ED"/>
    <w:rsid w:val="001B78A4"/>
    <w:rsid w:val="001B78D0"/>
    <w:rsid w:val="001C0256"/>
    <w:rsid w:val="001C047E"/>
    <w:rsid w:val="001C0890"/>
    <w:rsid w:val="001C0A59"/>
    <w:rsid w:val="001C0D1B"/>
    <w:rsid w:val="001C1404"/>
    <w:rsid w:val="001C17DC"/>
    <w:rsid w:val="001C181C"/>
    <w:rsid w:val="001C1957"/>
    <w:rsid w:val="001C1A24"/>
    <w:rsid w:val="001C1ACE"/>
    <w:rsid w:val="001C1DB5"/>
    <w:rsid w:val="001C1EAB"/>
    <w:rsid w:val="001C1F4F"/>
    <w:rsid w:val="001C21D4"/>
    <w:rsid w:val="001C2505"/>
    <w:rsid w:val="001C266C"/>
    <w:rsid w:val="001C26DC"/>
    <w:rsid w:val="001C287E"/>
    <w:rsid w:val="001C2985"/>
    <w:rsid w:val="001C29CF"/>
    <w:rsid w:val="001C2D3F"/>
    <w:rsid w:val="001C2E22"/>
    <w:rsid w:val="001C30EA"/>
    <w:rsid w:val="001C35FC"/>
    <w:rsid w:val="001C36A3"/>
    <w:rsid w:val="001C3786"/>
    <w:rsid w:val="001C4539"/>
    <w:rsid w:val="001C469B"/>
    <w:rsid w:val="001C46CD"/>
    <w:rsid w:val="001C48F3"/>
    <w:rsid w:val="001C496B"/>
    <w:rsid w:val="001C4C5E"/>
    <w:rsid w:val="001C4DBA"/>
    <w:rsid w:val="001C4DD3"/>
    <w:rsid w:val="001C4EEF"/>
    <w:rsid w:val="001C4F24"/>
    <w:rsid w:val="001C4F6B"/>
    <w:rsid w:val="001C5071"/>
    <w:rsid w:val="001C517B"/>
    <w:rsid w:val="001C528E"/>
    <w:rsid w:val="001C5517"/>
    <w:rsid w:val="001C5555"/>
    <w:rsid w:val="001C56BC"/>
    <w:rsid w:val="001C591C"/>
    <w:rsid w:val="001C5ABB"/>
    <w:rsid w:val="001C5AD1"/>
    <w:rsid w:val="001C5D66"/>
    <w:rsid w:val="001C5E6B"/>
    <w:rsid w:val="001C67AB"/>
    <w:rsid w:val="001C6AD0"/>
    <w:rsid w:val="001C6BF6"/>
    <w:rsid w:val="001C6D50"/>
    <w:rsid w:val="001C6F44"/>
    <w:rsid w:val="001C7171"/>
    <w:rsid w:val="001C723D"/>
    <w:rsid w:val="001C7315"/>
    <w:rsid w:val="001C75E4"/>
    <w:rsid w:val="001C79C5"/>
    <w:rsid w:val="001D0185"/>
    <w:rsid w:val="001D06D4"/>
    <w:rsid w:val="001D0871"/>
    <w:rsid w:val="001D0910"/>
    <w:rsid w:val="001D0C90"/>
    <w:rsid w:val="001D0E38"/>
    <w:rsid w:val="001D0ED0"/>
    <w:rsid w:val="001D10D8"/>
    <w:rsid w:val="001D133E"/>
    <w:rsid w:val="001D13F3"/>
    <w:rsid w:val="001D14F6"/>
    <w:rsid w:val="001D1ACF"/>
    <w:rsid w:val="001D1CA3"/>
    <w:rsid w:val="001D1CEE"/>
    <w:rsid w:val="001D1F2B"/>
    <w:rsid w:val="001D1F8B"/>
    <w:rsid w:val="001D1FB8"/>
    <w:rsid w:val="001D210D"/>
    <w:rsid w:val="001D22E4"/>
    <w:rsid w:val="001D230D"/>
    <w:rsid w:val="001D235A"/>
    <w:rsid w:val="001D280D"/>
    <w:rsid w:val="001D2899"/>
    <w:rsid w:val="001D2972"/>
    <w:rsid w:val="001D2B66"/>
    <w:rsid w:val="001D340D"/>
    <w:rsid w:val="001D34D2"/>
    <w:rsid w:val="001D3858"/>
    <w:rsid w:val="001D3A8F"/>
    <w:rsid w:val="001D3FB8"/>
    <w:rsid w:val="001D3FDE"/>
    <w:rsid w:val="001D4029"/>
    <w:rsid w:val="001D4256"/>
    <w:rsid w:val="001D476B"/>
    <w:rsid w:val="001D48F1"/>
    <w:rsid w:val="001D48F3"/>
    <w:rsid w:val="001D4990"/>
    <w:rsid w:val="001D4B2C"/>
    <w:rsid w:val="001D4BFC"/>
    <w:rsid w:val="001D4E15"/>
    <w:rsid w:val="001D4E62"/>
    <w:rsid w:val="001D50E2"/>
    <w:rsid w:val="001D524D"/>
    <w:rsid w:val="001D5262"/>
    <w:rsid w:val="001D542F"/>
    <w:rsid w:val="001D54A0"/>
    <w:rsid w:val="001D54AE"/>
    <w:rsid w:val="001D560F"/>
    <w:rsid w:val="001D58AD"/>
    <w:rsid w:val="001D58E0"/>
    <w:rsid w:val="001D59EC"/>
    <w:rsid w:val="001D59F0"/>
    <w:rsid w:val="001D5ADA"/>
    <w:rsid w:val="001D5C38"/>
    <w:rsid w:val="001D5E50"/>
    <w:rsid w:val="001D6064"/>
    <w:rsid w:val="001D61EF"/>
    <w:rsid w:val="001D6201"/>
    <w:rsid w:val="001D649E"/>
    <w:rsid w:val="001D6547"/>
    <w:rsid w:val="001D6624"/>
    <w:rsid w:val="001D68B9"/>
    <w:rsid w:val="001D6BE9"/>
    <w:rsid w:val="001D728F"/>
    <w:rsid w:val="001D72C2"/>
    <w:rsid w:val="001D7353"/>
    <w:rsid w:val="001D74E7"/>
    <w:rsid w:val="001D775D"/>
    <w:rsid w:val="001D79C7"/>
    <w:rsid w:val="001D7A2D"/>
    <w:rsid w:val="001D7AC2"/>
    <w:rsid w:val="001D7BBB"/>
    <w:rsid w:val="001D7BF6"/>
    <w:rsid w:val="001D7D43"/>
    <w:rsid w:val="001D7EF8"/>
    <w:rsid w:val="001E009D"/>
    <w:rsid w:val="001E01C6"/>
    <w:rsid w:val="001E0627"/>
    <w:rsid w:val="001E0B76"/>
    <w:rsid w:val="001E0BFD"/>
    <w:rsid w:val="001E0D7B"/>
    <w:rsid w:val="001E15C0"/>
    <w:rsid w:val="001E1907"/>
    <w:rsid w:val="001E1B18"/>
    <w:rsid w:val="001E1E4C"/>
    <w:rsid w:val="001E212B"/>
    <w:rsid w:val="001E22A1"/>
    <w:rsid w:val="001E23D8"/>
    <w:rsid w:val="001E23FC"/>
    <w:rsid w:val="001E27B1"/>
    <w:rsid w:val="001E2A06"/>
    <w:rsid w:val="001E2D24"/>
    <w:rsid w:val="001E2E66"/>
    <w:rsid w:val="001E3012"/>
    <w:rsid w:val="001E34D4"/>
    <w:rsid w:val="001E3661"/>
    <w:rsid w:val="001E3929"/>
    <w:rsid w:val="001E39EA"/>
    <w:rsid w:val="001E3A36"/>
    <w:rsid w:val="001E3B39"/>
    <w:rsid w:val="001E3F28"/>
    <w:rsid w:val="001E4340"/>
    <w:rsid w:val="001E4343"/>
    <w:rsid w:val="001E45E9"/>
    <w:rsid w:val="001E48CA"/>
    <w:rsid w:val="001E4959"/>
    <w:rsid w:val="001E4B6B"/>
    <w:rsid w:val="001E4CF0"/>
    <w:rsid w:val="001E4EC8"/>
    <w:rsid w:val="001E4F44"/>
    <w:rsid w:val="001E4F8F"/>
    <w:rsid w:val="001E5001"/>
    <w:rsid w:val="001E526E"/>
    <w:rsid w:val="001E53FE"/>
    <w:rsid w:val="001E54BD"/>
    <w:rsid w:val="001E5AA4"/>
    <w:rsid w:val="001E5B5C"/>
    <w:rsid w:val="001E5DAE"/>
    <w:rsid w:val="001E63D9"/>
    <w:rsid w:val="001E6950"/>
    <w:rsid w:val="001E6B6E"/>
    <w:rsid w:val="001E6C8C"/>
    <w:rsid w:val="001E6D20"/>
    <w:rsid w:val="001E6DC2"/>
    <w:rsid w:val="001E6E40"/>
    <w:rsid w:val="001E6EB1"/>
    <w:rsid w:val="001E6EB7"/>
    <w:rsid w:val="001E6F81"/>
    <w:rsid w:val="001E70BB"/>
    <w:rsid w:val="001E783B"/>
    <w:rsid w:val="001E7995"/>
    <w:rsid w:val="001E7BBF"/>
    <w:rsid w:val="001E7DA2"/>
    <w:rsid w:val="001E7FA1"/>
    <w:rsid w:val="001F0031"/>
    <w:rsid w:val="001F039A"/>
    <w:rsid w:val="001F04E2"/>
    <w:rsid w:val="001F0611"/>
    <w:rsid w:val="001F0886"/>
    <w:rsid w:val="001F0E41"/>
    <w:rsid w:val="001F14B6"/>
    <w:rsid w:val="001F1AB0"/>
    <w:rsid w:val="001F1F63"/>
    <w:rsid w:val="001F216F"/>
    <w:rsid w:val="001F2868"/>
    <w:rsid w:val="001F2AA4"/>
    <w:rsid w:val="001F2CFE"/>
    <w:rsid w:val="001F2E5A"/>
    <w:rsid w:val="001F2F43"/>
    <w:rsid w:val="001F31EE"/>
    <w:rsid w:val="001F3240"/>
    <w:rsid w:val="001F3375"/>
    <w:rsid w:val="001F3703"/>
    <w:rsid w:val="001F385D"/>
    <w:rsid w:val="001F3C18"/>
    <w:rsid w:val="001F3C47"/>
    <w:rsid w:val="001F4073"/>
    <w:rsid w:val="001F440E"/>
    <w:rsid w:val="001F4679"/>
    <w:rsid w:val="001F4D81"/>
    <w:rsid w:val="001F4FB7"/>
    <w:rsid w:val="001F535A"/>
    <w:rsid w:val="001F5532"/>
    <w:rsid w:val="001F589C"/>
    <w:rsid w:val="001F5A1A"/>
    <w:rsid w:val="001F5AD4"/>
    <w:rsid w:val="001F5ECC"/>
    <w:rsid w:val="001F60B0"/>
    <w:rsid w:val="001F658C"/>
    <w:rsid w:val="001F65E4"/>
    <w:rsid w:val="001F711C"/>
    <w:rsid w:val="001F71E0"/>
    <w:rsid w:val="001F736B"/>
    <w:rsid w:val="001F79B1"/>
    <w:rsid w:val="001F7A15"/>
    <w:rsid w:val="001F7FB3"/>
    <w:rsid w:val="001F7FBE"/>
    <w:rsid w:val="00200531"/>
    <w:rsid w:val="0020063B"/>
    <w:rsid w:val="0020078F"/>
    <w:rsid w:val="00200B7C"/>
    <w:rsid w:val="00200DAC"/>
    <w:rsid w:val="00200F81"/>
    <w:rsid w:val="0020100D"/>
    <w:rsid w:val="00201014"/>
    <w:rsid w:val="0020103D"/>
    <w:rsid w:val="0020157E"/>
    <w:rsid w:val="0020164B"/>
    <w:rsid w:val="00201A0D"/>
    <w:rsid w:val="00201A2D"/>
    <w:rsid w:val="00201C1C"/>
    <w:rsid w:val="00201D01"/>
    <w:rsid w:val="002020A0"/>
    <w:rsid w:val="002020BC"/>
    <w:rsid w:val="0020240B"/>
    <w:rsid w:val="00202667"/>
    <w:rsid w:val="002027C0"/>
    <w:rsid w:val="00202B16"/>
    <w:rsid w:val="00202B75"/>
    <w:rsid w:val="00202C05"/>
    <w:rsid w:val="00202EFD"/>
    <w:rsid w:val="00203027"/>
    <w:rsid w:val="0020326A"/>
    <w:rsid w:val="00203848"/>
    <w:rsid w:val="00203A93"/>
    <w:rsid w:val="00203C3C"/>
    <w:rsid w:val="00203DEF"/>
    <w:rsid w:val="00203FE4"/>
    <w:rsid w:val="002040D9"/>
    <w:rsid w:val="0020421F"/>
    <w:rsid w:val="00204391"/>
    <w:rsid w:val="0020446E"/>
    <w:rsid w:val="0020458C"/>
    <w:rsid w:val="00204643"/>
    <w:rsid w:val="002046E3"/>
    <w:rsid w:val="00204E02"/>
    <w:rsid w:val="00204FFD"/>
    <w:rsid w:val="0020529C"/>
    <w:rsid w:val="002053A7"/>
    <w:rsid w:val="00205A4C"/>
    <w:rsid w:val="00205A83"/>
    <w:rsid w:val="00205FCF"/>
    <w:rsid w:val="002060A3"/>
    <w:rsid w:val="002060DC"/>
    <w:rsid w:val="00206418"/>
    <w:rsid w:val="0020649D"/>
    <w:rsid w:val="002065D7"/>
    <w:rsid w:val="0020663A"/>
    <w:rsid w:val="00206693"/>
    <w:rsid w:val="002067EC"/>
    <w:rsid w:val="00206859"/>
    <w:rsid w:val="00206916"/>
    <w:rsid w:val="0020699C"/>
    <w:rsid w:val="00206C9D"/>
    <w:rsid w:val="00206CC3"/>
    <w:rsid w:val="00207497"/>
    <w:rsid w:val="00207698"/>
    <w:rsid w:val="002076A9"/>
    <w:rsid w:val="002078AD"/>
    <w:rsid w:val="00207950"/>
    <w:rsid w:val="00207DB2"/>
    <w:rsid w:val="00207EC6"/>
    <w:rsid w:val="00210040"/>
    <w:rsid w:val="002101EB"/>
    <w:rsid w:val="0021028A"/>
    <w:rsid w:val="00210464"/>
    <w:rsid w:val="0021098F"/>
    <w:rsid w:val="00210FF1"/>
    <w:rsid w:val="00210FFF"/>
    <w:rsid w:val="00211406"/>
    <w:rsid w:val="00211662"/>
    <w:rsid w:val="0021171B"/>
    <w:rsid w:val="00211D43"/>
    <w:rsid w:val="00211E6F"/>
    <w:rsid w:val="00212047"/>
    <w:rsid w:val="00212CFF"/>
    <w:rsid w:val="00212E96"/>
    <w:rsid w:val="00212F6D"/>
    <w:rsid w:val="00212F78"/>
    <w:rsid w:val="002132B5"/>
    <w:rsid w:val="0021339C"/>
    <w:rsid w:val="00213473"/>
    <w:rsid w:val="002136A5"/>
    <w:rsid w:val="002136FC"/>
    <w:rsid w:val="00213EA9"/>
    <w:rsid w:val="0021400D"/>
    <w:rsid w:val="0021413E"/>
    <w:rsid w:val="0021457C"/>
    <w:rsid w:val="0021459E"/>
    <w:rsid w:val="00214B3A"/>
    <w:rsid w:val="00214EC1"/>
    <w:rsid w:val="00215110"/>
    <w:rsid w:val="00215286"/>
    <w:rsid w:val="002153F1"/>
    <w:rsid w:val="0021547F"/>
    <w:rsid w:val="00215A3C"/>
    <w:rsid w:val="00215A46"/>
    <w:rsid w:val="00215A88"/>
    <w:rsid w:val="00215F93"/>
    <w:rsid w:val="0021601E"/>
    <w:rsid w:val="0021639D"/>
    <w:rsid w:val="00216879"/>
    <w:rsid w:val="00216A19"/>
    <w:rsid w:val="00216BC3"/>
    <w:rsid w:val="00216C38"/>
    <w:rsid w:val="00216CCB"/>
    <w:rsid w:val="00216D23"/>
    <w:rsid w:val="00216F6C"/>
    <w:rsid w:val="002171DE"/>
    <w:rsid w:val="00217648"/>
    <w:rsid w:val="0021769D"/>
    <w:rsid w:val="0021781B"/>
    <w:rsid w:val="00217989"/>
    <w:rsid w:val="00217A03"/>
    <w:rsid w:val="00217A79"/>
    <w:rsid w:val="00217AA7"/>
    <w:rsid w:val="00217B7F"/>
    <w:rsid w:val="00217C34"/>
    <w:rsid w:val="00217DC7"/>
    <w:rsid w:val="0022051B"/>
    <w:rsid w:val="002208CD"/>
    <w:rsid w:val="00220A2A"/>
    <w:rsid w:val="00220D71"/>
    <w:rsid w:val="00220EF1"/>
    <w:rsid w:val="00221530"/>
    <w:rsid w:val="00221662"/>
    <w:rsid w:val="002216B2"/>
    <w:rsid w:val="0022178A"/>
    <w:rsid w:val="002217D9"/>
    <w:rsid w:val="002218D9"/>
    <w:rsid w:val="00221987"/>
    <w:rsid w:val="00222180"/>
    <w:rsid w:val="00222BE6"/>
    <w:rsid w:val="00222C2E"/>
    <w:rsid w:val="00222D5A"/>
    <w:rsid w:val="00222D65"/>
    <w:rsid w:val="0022320D"/>
    <w:rsid w:val="00223240"/>
    <w:rsid w:val="002239C1"/>
    <w:rsid w:val="00223B59"/>
    <w:rsid w:val="00223BF7"/>
    <w:rsid w:val="00223C52"/>
    <w:rsid w:val="00223DBC"/>
    <w:rsid w:val="00223DF7"/>
    <w:rsid w:val="00223EAA"/>
    <w:rsid w:val="00223F2E"/>
    <w:rsid w:val="0022418D"/>
    <w:rsid w:val="00224331"/>
    <w:rsid w:val="002247B4"/>
    <w:rsid w:val="0022486C"/>
    <w:rsid w:val="00224F9E"/>
    <w:rsid w:val="00225055"/>
    <w:rsid w:val="00225069"/>
    <w:rsid w:val="00225440"/>
    <w:rsid w:val="002257BD"/>
    <w:rsid w:val="002257ED"/>
    <w:rsid w:val="0022589C"/>
    <w:rsid w:val="00225B08"/>
    <w:rsid w:val="00226142"/>
    <w:rsid w:val="002262AB"/>
    <w:rsid w:val="002266ED"/>
    <w:rsid w:val="00226A2A"/>
    <w:rsid w:val="002270EA"/>
    <w:rsid w:val="00227382"/>
    <w:rsid w:val="00227402"/>
    <w:rsid w:val="00227D91"/>
    <w:rsid w:val="00227E68"/>
    <w:rsid w:val="00230155"/>
    <w:rsid w:val="002306D3"/>
    <w:rsid w:val="00230A40"/>
    <w:rsid w:val="00230CF8"/>
    <w:rsid w:val="00230DCF"/>
    <w:rsid w:val="00230FF7"/>
    <w:rsid w:val="00231409"/>
    <w:rsid w:val="0023151B"/>
    <w:rsid w:val="002317C4"/>
    <w:rsid w:val="00231F4D"/>
    <w:rsid w:val="0023204A"/>
    <w:rsid w:val="002321BB"/>
    <w:rsid w:val="00232334"/>
    <w:rsid w:val="0023233C"/>
    <w:rsid w:val="0023240F"/>
    <w:rsid w:val="00232519"/>
    <w:rsid w:val="0023278F"/>
    <w:rsid w:val="002329AF"/>
    <w:rsid w:val="00232A99"/>
    <w:rsid w:val="00232BAC"/>
    <w:rsid w:val="00232C4A"/>
    <w:rsid w:val="00232D1A"/>
    <w:rsid w:val="0023326C"/>
    <w:rsid w:val="0023330E"/>
    <w:rsid w:val="00233996"/>
    <w:rsid w:val="00234054"/>
    <w:rsid w:val="002340DD"/>
    <w:rsid w:val="00234320"/>
    <w:rsid w:val="00234412"/>
    <w:rsid w:val="002344BC"/>
    <w:rsid w:val="0023480E"/>
    <w:rsid w:val="0023481C"/>
    <w:rsid w:val="002348E5"/>
    <w:rsid w:val="00234AA0"/>
    <w:rsid w:val="00234B29"/>
    <w:rsid w:val="00234B5E"/>
    <w:rsid w:val="00234CDC"/>
    <w:rsid w:val="00234D28"/>
    <w:rsid w:val="00234E81"/>
    <w:rsid w:val="00234F5A"/>
    <w:rsid w:val="0023505B"/>
    <w:rsid w:val="002352D7"/>
    <w:rsid w:val="0023567D"/>
    <w:rsid w:val="00235B26"/>
    <w:rsid w:val="00235C1B"/>
    <w:rsid w:val="00235CBF"/>
    <w:rsid w:val="00235D39"/>
    <w:rsid w:val="00235D61"/>
    <w:rsid w:val="00235F8C"/>
    <w:rsid w:val="002360FD"/>
    <w:rsid w:val="00236168"/>
    <w:rsid w:val="00236891"/>
    <w:rsid w:val="00236D08"/>
    <w:rsid w:val="00236E00"/>
    <w:rsid w:val="00237085"/>
    <w:rsid w:val="00237321"/>
    <w:rsid w:val="002373BD"/>
    <w:rsid w:val="00237423"/>
    <w:rsid w:val="002375F0"/>
    <w:rsid w:val="002378A8"/>
    <w:rsid w:val="00237B60"/>
    <w:rsid w:val="00237BE1"/>
    <w:rsid w:val="00240346"/>
    <w:rsid w:val="0024035E"/>
    <w:rsid w:val="0024065B"/>
    <w:rsid w:val="002406B6"/>
    <w:rsid w:val="00240771"/>
    <w:rsid w:val="00240BDB"/>
    <w:rsid w:val="00241033"/>
    <w:rsid w:val="00241347"/>
    <w:rsid w:val="00241433"/>
    <w:rsid w:val="00241713"/>
    <w:rsid w:val="002417C8"/>
    <w:rsid w:val="002419A9"/>
    <w:rsid w:val="00241AA6"/>
    <w:rsid w:val="00241E43"/>
    <w:rsid w:val="00242214"/>
    <w:rsid w:val="002422F6"/>
    <w:rsid w:val="00242370"/>
    <w:rsid w:val="0024246C"/>
    <w:rsid w:val="002424F3"/>
    <w:rsid w:val="00242743"/>
    <w:rsid w:val="002427DA"/>
    <w:rsid w:val="00242924"/>
    <w:rsid w:val="00242AEB"/>
    <w:rsid w:val="00242B44"/>
    <w:rsid w:val="00242B83"/>
    <w:rsid w:val="00242C44"/>
    <w:rsid w:val="00242F0A"/>
    <w:rsid w:val="00242FAD"/>
    <w:rsid w:val="00242FE0"/>
    <w:rsid w:val="00243465"/>
    <w:rsid w:val="0024348E"/>
    <w:rsid w:val="002435C8"/>
    <w:rsid w:val="00243654"/>
    <w:rsid w:val="00243946"/>
    <w:rsid w:val="002439DF"/>
    <w:rsid w:val="00243DAF"/>
    <w:rsid w:val="00243EA1"/>
    <w:rsid w:val="00243EAE"/>
    <w:rsid w:val="00243F89"/>
    <w:rsid w:val="0024439C"/>
    <w:rsid w:val="00244622"/>
    <w:rsid w:val="00244754"/>
    <w:rsid w:val="00244AA9"/>
    <w:rsid w:val="00244DA3"/>
    <w:rsid w:val="00245053"/>
    <w:rsid w:val="002452E2"/>
    <w:rsid w:val="00245456"/>
    <w:rsid w:val="00245476"/>
    <w:rsid w:val="00245BB1"/>
    <w:rsid w:val="00245BCC"/>
    <w:rsid w:val="00245C01"/>
    <w:rsid w:val="00245C25"/>
    <w:rsid w:val="00245DB8"/>
    <w:rsid w:val="00245E87"/>
    <w:rsid w:val="00246041"/>
    <w:rsid w:val="00246183"/>
    <w:rsid w:val="002461C9"/>
    <w:rsid w:val="00246306"/>
    <w:rsid w:val="00246468"/>
    <w:rsid w:val="00246682"/>
    <w:rsid w:val="002468AB"/>
    <w:rsid w:val="00246917"/>
    <w:rsid w:val="002473C9"/>
    <w:rsid w:val="002474A8"/>
    <w:rsid w:val="002475FC"/>
    <w:rsid w:val="002479B0"/>
    <w:rsid w:val="0025000E"/>
    <w:rsid w:val="00250566"/>
    <w:rsid w:val="002507CF"/>
    <w:rsid w:val="00250A09"/>
    <w:rsid w:val="00250A41"/>
    <w:rsid w:val="00250AAC"/>
    <w:rsid w:val="00250EB5"/>
    <w:rsid w:val="0025108C"/>
    <w:rsid w:val="002511CB"/>
    <w:rsid w:val="0025128D"/>
    <w:rsid w:val="002518E1"/>
    <w:rsid w:val="00251936"/>
    <w:rsid w:val="00251A30"/>
    <w:rsid w:val="00251C34"/>
    <w:rsid w:val="002522A2"/>
    <w:rsid w:val="00252603"/>
    <w:rsid w:val="0025286C"/>
    <w:rsid w:val="002529FB"/>
    <w:rsid w:val="00252A1B"/>
    <w:rsid w:val="00252CC9"/>
    <w:rsid w:val="00253073"/>
    <w:rsid w:val="002532F8"/>
    <w:rsid w:val="00253511"/>
    <w:rsid w:val="0025395A"/>
    <w:rsid w:val="00253A8D"/>
    <w:rsid w:val="00253AEB"/>
    <w:rsid w:val="00253F9C"/>
    <w:rsid w:val="002544B3"/>
    <w:rsid w:val="00254CC5"/>
    <w:rsid w:val="00254DE8"/>
    <w:rsid w:val="00254E1E"/>
    <w:rsid w:val="00254E55"/>
    <w:rsid w:val="0025501A"/>
    <w:rsid w:val="00255046"/>
    <w:rsid w:val="002553DA"/>
    <w:rsid w:val="0025548C"/>
    <w:rsid w:val="002554FA"/>
    <w:rsid w:val="00255BB4"/>
    <w:rsid w:val="00255D21"/>
    <w:rsid w:val="00255DC7"/>
    <w:rsid w:val="00255F92"/>
    <w:rsid w:val="00256015"/>
    <w:rsid w:val="00256067"/>
    <w:rsid w:val="00256703"/>
    <w:rsid w:val="002568D4"/>
    <w:rsid w:val="002569EF"/>
    <w:rsid w:val="00256A18"/>
    <w:rsid w:val="00256A25"/>
    <w:rsid w:val="00256CD5"/>
    <w:rsid w:val="00256D31"/>
    <w:rsid w:val="002573CD"/>
    <w:rsid w:val="002574AF"/>
    <w:rsid w:val="00257535"/>
    <w:rsid w:val="002576EB"/>
    <w:rsid w:val="0025788B"/>
    <w:rsid w:val="00257A2C"/>
    <w:rsid w:val="00257A51"/>
    <w:rsid w:val="00260166"/>
    <w:rsid w:val="00260230"/>
    <w:rsid w:val="002604F2"/>
    <w:rsid w:val="00260798"/>
    <w:rsid w:val="00260987"/>
    <w:rsid w:val="00260A33"/>
    <w:rsid w:val="00260A69"/>
    <w:rsid w:val="00260E70"/>
    <w:rsid w:val="00260E9F"/>
    <w:rsid w:val="00260FA3"/>
    <w:rsid w:val="0026115A"/>
    <w:rsid w:val="00261229"/>
    <w:rsid w:val="002612DC"/>
    <w:rsid w:val="00261531"/>
    <w:rsid w:val="0026184E"/>
    <w:rsid w:val="0026190B"/>
    <w:rsid w:val="00261D41"/>
    <w:rsid w:val="00261DAC"/>
    <w:rsid w:val="00262247"/>
    <w:rsid w:val="0026270C"/>
    <w:rsid w:val="00262737"/>
    <w:rsid w:val="00262AB5"/>
    <w:rsid w:val="00262B4C"/>
    <w:rsid w:val="00263012"/>
    <w:rsid w:val="00263964"/>
    <w:rsid w:val="00263D52"/>
    <w:rsid w:val="00263DF9"/>
    <w:rsid w:val="0026425C"/>
    <w:rsid w:val="002642B3"/>
    <w:rsid w:val="0026454D"/>
    <w:rsid w:val="00264C56"/>
    <w:rsid w:val="00264EAA"/>
    <w:rsid w:val="00265185"/>
    <w:rsid w:val="002651F0"/>
    <w:rsid w:val="00265417"/>
    <w:rsid w:val="00265C60"/>
    <w:rsid w:val="00265D40"/>
    <w:rsid w:val="00265FE4"/>
    <w:rsid w:val="00266433"/>
    <w:rsid w:val="00266823"/>
    <w:rsid w:val="00266943"/>
    <w:rsid w:val="00266CE1"/>
    <w:rsid w:val="00266D7D"/>
    <w:rsid w:val="00266EE9"/>
    <w:rsid w:val="00266FC9"/>
    <w:rsid w:val="002675E7"/>
    <w:rsid w:val="002678C6"/>
    <w:rsid w:val="002679F8"/>
    <w:rsid w:val="00267CBE"/>
    <w:rsid w:val="00267D0E"/>
    <w:rsid w:val="00270103"/>
    <w:rsid w:val="00270394"/>
    <w:rsid w:val="002707AB"/>
    <w:rsid w:val="00270DD5"/>
    <w:rsid w:val="00270F8F"/>
    <w:rsid w:val="00271303"/>
    <w:rsid w:val="002713BA"/>
    <w:rsid w:val="00271570"/>
    <w:rsid w:val="00271619"/>
    <w:rsid w:val="0027166D"/>
    <w:rsid w:val="00271C54"/>
    <w:rsid w:val="00271CC3"/>
    <w:rsid w:val="00271CC5"/>
    <w:rsid w:val="00271D36"/>
    <w:rsid w:val="00271E1F"/>
    <w:rsid w:val="00271EF7"/>
    <w:rsid w:val="00272064"/>
    <w:rsid w:val="0027258B"/>
    <w:rsid w:val="00273140"/>
    <w:rsid w:val="00273249"/>
    <w:rsid w:val="0027345D"/>
    <w:rsid w:val="00273521"/>
    <w:rsid w:val="002735E8"/>
    <w:rsid w:val="002736F8"/>
    <w:rsid w:val="002737B8"/>
    <w:rsid w:val="00273ACC"/>
    <w:rsid w:val="00274026"/>
    <w:rsid w:val="002740D5"/>
    <w:rsid w:val="0027418C"/>
    <w:rsid w:val="002749A2"/>
    <w:rsid w:val="00274C10"/>
    <w:rsid w:val="00274D48"/>
    <w:rsid w:val="002750F5"/>
    <w:rsid w:val="002751D2"/>
    <w:rsid w:val="002753A4"/>
    <w:rsid w:val="0027586D"/>
    <w:rsid w:val="00275893"/>
    <w:rsid w:val="00275B40"/>
    <w:rsid w:val="00275B9B"/>
    <w:rsid w:val="00275BA5"/>
    <w:rsid w:val="00275D75"/>
    <w:rsid w:val="00276163"/>
    <w:rsid w:val="00276B13"/>
    <w:rsid w:val="00276C0A"/>
    <w:rsid w:val="00276C80"/>
    <w:rsid w:val="00276E1B"/>
    <w:rsid w:val="00277058"/>
    <w:rsid w:val="0027722D"/>
    <w:rsid w:val="0027775A"/>
    <w:rsid w:val="00277777"/>
    <w:rsid w:val="00277B71"/>
    <w:rsid w:val="00277C01"/>
    <w:rsid w:val="00277DEA"/>
    <w:rsid w:val="00280135"/>
    <w:rsid w:val="002804BA"/>
    <w:rsid w:val="002804C5"/>
    <w:rsid w:val="002805FE"/>
    <w:rsid w:val="002806D8"/>
    <w:rsid w:val="002807DA"/>
    <w:rsid w:val="00280AA7"/>
    <w:rsid w:val="00280CE7"/>
    <w:rsid w:val="00281069"/>
    <w:rsid w:val="00281138"/>
    <w:rsid w:val="0028131A"/>
    <w:rsid w:val="0028164A"/>
    <w:rsid w:val="002816D4"/>
    <w:rsid w:val="0028178F"/>
    <w:rsid w:val="00281D9B"/>
    <w:rsid w:val="00281E91"/>
    <w:rsid w:val="00281EED"/>
    <w:rsid w:val="00282110"/>
    <w:rsid w:val="002823DA"/>
    <w:rsid w:val="00282573"/>
    <w:rsid w:val="002829FF"/>
    <w:rsid w:val="00283300"/>
    <w:rsid w:val="00283342"/>
    <w:rsid w:val="00283446"/>
    <w:rsid w:val="002834D3"/>
    <w:rsid w:val="00283A80"/>
    <w:rsid w:val="00283D4D"/>
    <w:rsid w:val="00283E0B"/>
    <w:rsid w:val="0028405A"/>
    <w:rsid w:val="002842EF"/>
    <w:rsid w:val="00284563"/>
    <w:rsid w:val="0028464E"/>
    <w:rsid w:val="0028470C"/>
    <w:rsid w:val="002848F4"/>
    <w:rsid w:val="002849DE"/>
    <w:rsid w:val="00284AC4"/>
    <w:rsid w:val="00284BC5"/>
    <w:rsid w:val="00284C5F"/>
    <w:rsid w:val="00284D6A"/>
    <w:rsid w:val="00284DC3"/>
    <w:rsid w:val="00285501"/>
    <w:rsid w:val="0028559D"/>
    <w:rsid w:val="002855F9"/>
    <w:rsid w:val="00285604"/>
    <w:rsid w:val="00285C85"/>
    <w:rsid w:val="00285D4C"/>
    <w:rsid w:val="002862D0"/>
    <w:rsid w:val="00286513"/>
    <w:rsid w:val="002865C5"/>
    <w:rsid w:val="002868FC"/>
    <w:rsid w:val="002869BA"/>
    <w:rsid w:val="00286B63"/>
    <w:rsid w:val="00286B65"/>
    <w:rsid w:val="00286B6B"/>
    <w:rsid w:val="00286D14"/>
    <w:rsid w:val="00286F7F"/>
    <w:rsid w:val="002871FE"/>
    <w:rsid w:val="0028743D"/>
    <w:rsid w:val="002876D8"/>
    <w:rsid w:val="00287781"/>
    <w:rsid w:val="00287B36"/>
    <w:rsid w:val="00287FD5"/>
    <w:rsid w:val="002900EE"/>
    <w:rsid w:val="00290227"/>
    <w:rsid w:val="0029070C"/>
    <w:rsid w:val="00290718"/>
    <w:rsid w:val="0029093D"/>
    <w:rsid w:val="00290D39"/>
    <w:rsid w:val="00290EAD"/>
    <w:rsid w:val="00291127"/>
    <w:rsid w:val="00291143"/>
    <w:rsid w:val="00291606"/>
    <w:rsid w:val="00291607"/>
    <w:rsid w:val="002917AA"/>
    <w:rsid w:val="00291CDB"/>
    <w:rsid w:val="00291EE3"/>
    <w:rsid w:val="0029212C"/>
    <w:rsid w:val="00292149"/>
    <w:rsid w:val="00292701"/>
    <w:rsid w:val="002929D1"/>
    <w:rsid w:val="00293012"/>
    <w:rsid w:val="002932B1"/>
    <w:rsid w:val="002936F3"/>
    <w:rsid w:val="00293BD3"/>
    <w:rsid w:val="00293F45"/>
    <w:rsid w:val="00294343"/>
    <w:rsid w:val="002945EF"/>
    <w:rsid w:val="002949D0"/>
    <w:rsid w:val="00295376"/>
    <w:rsid w:val="0029548E"/>
    <w:rsid w:val="00295B35"/>
    <w:rsid w:val="00295E64"/>
    <w:rsid w:val="002964B7"/>
    <w:rsid w:val="0029651D"/>
    <w:rsid w:val="00296568"/>
    <w:rsid w:val="0029671B"/>
    <w:rsid w:val="002969D9"/>
    <w:rsid w:val="00296F57"/>
    <w:rsid w:val="0029711C"/>
    <w:rsid w:val="002972EE"/>
    <w:rsid w:val="002978AF"/>
    <w:rsid w:val="00297AD6"/>
    <w:rsid w:val="00297E39"/>
    <w:rsid w:val="00297EF3"/>
    <w:rsid w:val="002A02D4"/>
    <w:rsid w:val="002A0686"/>
    <w:rsid w:val="002A07B5"/>
    <w:rsid w:val="002A0838"/>
    <w:rsid w:val="002A090B"/>
    <w:rsid w:val="002A0AB4"/>
    <w:rsid w:val="002A1043"/>
    <w:rsid w:val="002A11A7"/>
    <w:rsid w:val="002A11CE"/>
    <w:rsid w:val="002A11E0"/>
    <w:rsid w:val="002A120C"/>
    <w:rsid w:val="002A1264"/>
    <w:rsid w:val="002A13B9"/>
    <w:rsid w:val="002A13CC"/>
    <w:rsid w:val="002A1624"/>
    <w:rsid w:val="002A1995"/>
    <w:rsid w:val="002A1D8C"/>
    <w:rsid w:val="002A2626"/>
    <w:rsid w:val="002A2691"/>
    <w:rsid w:val="002A28D2"/>
    <w:rsid w:val="002A2D63"/>
    <w:rsid w:val="002A2E70"/>
    <w:rsid w:val="002A2E80"/>
    <w:rsid w:val="002A2EC0"/>
    <w:rsid w:val="002A3315"/>
    <w:rsid w:val="002A3567"/>
    <w:rsid w:val="002A3F42"/>
    <w:rsid w:val="002A40CC"/>
    <w:rsid w:val="002A41EA"/>
    <w:rsid w:val="002A44C0"/>
    <w:rsid w:val="002A44E8"/>
    <w:rsid w:val="002A4628"/>
    <w:rsid w:val="002A4887"/>
    <w:rsid w:val="002A4A80"/>
    <w:rsid w:val="002A4A93"/>
    <w:rsid w:val="002A4AEE"/>
    <w:rsid w:val="002A4C7C"/>
    <w:rsid w:val="002A4ED0"/>
    <w:rsid w:val="002A4F9C"/>
    <w:rsid w:val="002A5193"/>
    <w:rsid w:val="002A51C4"/>
    <w:rsid w:val="002A52B8"/>
    <w:rsid w:val="002A5335"/>
    <w:rsid w:val="002A553C"/>
    <w:rsid w:val="002A5704"/>
    <w:rsid w:val="002A5A00"/>
    <w:rsid w:val="002A5ED2"/>
    <w:rsid w:val="002A6145"/>
    <w:rsid w:val="002A65D0"/>
    <w:rsid w:val="002A66D9"/>
    <w:rsid w:val="002A6A7D"/>
    <w:rsid w:val="002A7223"/>
    <w:rsid w:val="002A7286"/>
    <w:rsid w:val="002A77BD"/>
    <w:rsid w:val="002A79E9"/>
    <w:rsid w:val="002A79F2"/>
    <w:rsid w:val="002A79FA"/>
    <w:rsid w:val="002A7AA0"/>
    <w:rsid w:val="002A7B5C"/>
    <w:rsid w:val="002A7C99"/>
    <w:rsid w:val="002A7CF2"/>
    <w:rsid w:val="002A7D32"/>
    <w:rsid w:val="002A7F2C"/>
    <w:rsid w:val="002A7FCD"/>
    <w:rsid w:val="002B034D"/>
    <w:rsid w:val="002B0452"/>
    <w:rsid w:val="002B0639"/>
    <w:rsid w:val="002B072F"/>
    <w:rsid w:val="002B0D4F"/>
    <w:rsid w:val="002B12D3"/>
    <w:rsid w:val="002B13EF"/>
    <w:rsid w:val="002B154D"/>
    <w:rsid w:val="002B1776"/>
    <w:rsid w:val="002B17C1"/>
    <w:rsid w:val="002B1BF9"/>
    <w:rsid w:val="002B1E98"/>
    <w:rsid w:val="002B256F"/>
    <w:rsid w:val="002B2597"/>
    <w:rsid w:val="002B277C"/>
    <w:rsid w:val="002B2911"/>
    <w:rsid w:val="002B2960"/>
    <w:rsid w:val="002B29EF"/>
    <w:rsid w:val="002B2E50"/>
    <w:rsid w:val="002B3406"/>
    <w:rsid w:val="002B3424"/>
    <w:rsid w:val="002B3646"/>
    <w:rsid w:val="002B3770"/>
    <w:rsid w:val="002B38B4"/>
    <w:rsid w:val="002B3928"/>
    <w:rsid w:val="002B39AB"/>
    <w:rsid w:val="002B3C5E"/>
    <w:rsid w:val="002B3E29"/>
    <w:rsid w:val="002B4111"/>
    <w:rsid w:val="002B41A0"/>
    <w:rsid w:val="002B4988"/>
    <w:rsid w:val="002B4B30"/>
    <w:rsid w:val="002B4C70"/>
    <w:rsid w:val="002B4C8D"/>
    <w:rsid w:val="002B4DD5"/>
    <w:rsid w:val="002B4F89"/>
    <w:rsid w:val="002B503E"/>
    <w:rsid w:val="002B5335"/>
    <w:rsid w:val="002B5405"/>
    <w:rsid w:val="002B5490"/>
    <w:rsid w:val="002B5B29"/>
    <w:rsid w:val="002B5C07"/>
    <w:rsid w:val="002B5C6E"/>
    <w:rsid w:val="002B5F60"/>
    <w:rsid w:val="002B6027"/>
    <w:rsid w:val="002B61FF"/>
    <w:rsid w:val="002B640D"/>
    <w:rsid w:val="002B64CB"/>
    <w:rsid w:val="002B6632"/>
    <w:rsid w:val="002B677E"/>
    <w:rsid w:val="002B6FE6"/>
    <w:rsid w:val="002B709B"/>
    <w:rsid w:val="002B722E"/>
    <w:rsid w:val="002B776E"/>
    <w:rsid w:val="002B7951"/>
    <w:rsid w:val="002B7D06"/>
    <w:rsid w:val="002B7F21"/>
    <w:rsid w:val="002C0195"/>
    <w:rsid w:val="002C020C"/>
    <w:rsid w:val="002C022B"/>
    <w:rsid w:val="002C029B"/>
    <w:rsid w:val="002C050E"/>
    <w:rsid w:val="002C0597"/>
    <w:rsid w:val="002C05A8"/>
    <w:rsid w:val="002C0673"/>
    <w:rsid w:val="002C0D6C"/>
    <w:rsid w:val="002C11C2"/>
    <w:rsid w:val="002C1283"/>
    <w:rsid w:val="002C1474"/>
    <w:rsid w:val="002C15CB"/>
    <w:rsid w:val="002C1AB1"/>
    <w:rsid w:val="002C1F0A"/>
    <w:rsid w:val="002C2131"/>
    <w:rsid w:val="002C215F"/>
    <w:rsid w:val="002C2632"/>
    <w:rsid w:val="002C26DD"/>
    <w:rsid w:val="002C2941"/>
    <w:rsid w:val="002C2964"/>
    <w:rsid w:val="002C2A13"/>
    <w:rsid w:val="002C2B41"/>
    <w:rsid w:val="002C2BFB"/>
    <w:rsid w:val="002C2D4C"/>
    <w:rsid w:val="002C2D79"/>
    <w:rsid w:val="002C2ED7"/>
    <w:rsid w:val="002C2F0E"/>
    <w:rsid w:val="002C36BA"/>
    <w:rsid w:val="002C36FA"/>
    <w:rsid w:val="002C3703"/>
    <w:rsid w:val="002C380F"/>
    <w:rsid w:val="002C3AAE"/>
    <w:rsid w:val="002C41C7"/>
    <w:rsid w:val="002C43C2"/>
    <w:rsid w:val="002C4403"/>
    <w:rsid w:val="002C45C4"/>
    <w:rsid w:val="002C45D7"/>
    <w:rsid w:val="002C47DB"/>
    <w:rsid w:val="002C4AAA"/>
    <w:rsid w:val="002C4AF0"/>
    <w:rsid w:val="002C4F01"/>
    <w:rsid w:val="002C5113"/>
    <w:rsid w:val="002C51F3"/>
    <w:rsid w:val="002C558E"/>
    <w:rsid w:val="002C5832"/>
    <w:rsid w:val="002C5A68"/>
    <w:rsid w:val="002C5CF4"/>
    <w:rsid w:val="002C6D94"/>
    <w:rsid w:val="002C71C4"/>
    <w:rsid w:val="002C71D0"/>
    <w:rsid w:val="002C7412"/>
    <w:rsid w:val="002C7427"/>
    <w:rsid w:val="002C7648"/>
    <w:rsid w:val="002C77B0"/>
    <w:rsid w:val="002C788C"/>
    <w:rsid w:val="002C7B02"/>
    <w:rsid w:val="002C7BDB"/>
    <w:rsid w:val="002D05A8"/>
    <w:rsid w:val="002D0719"/>
    <w:rsid w:val="002D076A"/>
    <w:rsid w:val="002D07D2"/>
    <w:rsid w:val="002D0EF6"/>
    <w:rsid w:val="002D0FDC"/>
    <w:rsid w:val="002D1347"/>
    <w:rsid w:val="002D1373"/>
    <w:rsid w:val="002D1838"/>
    <w:rsid w:val="002D19A1"/>
    <w:rsid w:val="002D1E82"/>
    <w:rsid w:val="002D1F61"/>
    <w:rsid w:val="002D1FE4"/>
    <w:rsid w:val="002D23AE"/>
    <w:rsid w:val="002D2641"/>
    <w:rsid w:val="002D29BA"/>
    <w:rsid w:val="002D2AE0"/>
    <w:rsid w:val="002D2CF3"/>
    <w:rsid w:val="002D2DC5"/>
    <w:rsid w:val="002D2FEA"/>
    <w:rsid w:val="002D3095"/>
    <w:rsid w:val="002D30FF"/>
    <w:rsid w:val="002D322D"/>
    <w:rsid w:val="002D3320"/>
    <w:rsid w:val="002D3323"/>
    <w:rsid w:val="002D3514"/>
    <w:rsid w:val="002D353A"/>
    <w:rsid w:val="002D3718"/>
    <w:rsid w:val="002D3BCC"/>
    <w:rsid w:val="002D3C9F"/>
    <w:rsid w:val="002D3E1F"/>
    <w:rsid w:val="002D4005"/>
    <w:rsid w:val="002D4021"/>
    <w:rsid w:val="002D41E8"/>
    <w:rsid w:val="002D42FC"/>
    <w:rsid w:val="002D48B8"/>
    <w:rsid w:val="002D4926"/>
    <w:rsid w:val="002D5276"/>
    <w:rsid w:val="002D5303"/>
    <w:rsid w:val="002D536B"/>
    <w:rsid w:val="002D55DA"/>
    <w:rsid w:val="002D5A01"/>
    <w:rsid w:val="002D5B38"/>
    <w:rsid w:val="002D5B6A"/>
    <w:rsid w:val="002D5BA7"/>
    <w:rsid w:val="002D5D09"/>
    <w:rsid w:val="002D61E3"/>
    <w:rsid w:val="002D67A9"/>
    <w:rsid w:val="002D67B7"/>
    <w:rsid w:val="002D6B88"/>
    <w:rsid w:val="002D6DC8"/>
    <w:rsid w:val="002D6DF0"/>
    <w:rsid w:val="002D723E"/>
    <w:rsid w:val="002D732B"/>
    <w:rsid w:val="002D73FB"/>
    <w:rsid w:val="002D75B8"/>
    <w:rsid w:val="002D7622"/>
    <w:rsid w:val="002D76C2"/>
    <w:rsid w:val="002D77D2"/>
    <w:rsid w:val="002D784B"/>
    <w:rsid w:val="002D79D3"/>
    <w:rsid w:val="002D7C1E"/>
    <w:rsid w:val="002D7D94"/>
    <w:rsid w:val="002D7FF4"/>
    <w:rsid w:val="002E00C4"/>
    <w:rsid w:val="002E016C"/>
    <w:rsid w:val="002E018F"/>
    <w:rsid w:val="002E0381"/>
    <w:rsid w:val="002E06B6"/>
    <w:rsid w:val="002E0705"/>
    <w:rsid w:val="002E0D9D"/>
    <w:rsid w:val="002E0F9B"/>
    <w:rsid w:val="002E10E3"/>
    <w:rsid w:val="002E11D3"/>
    <w:rsid w:val="002E1227"/>
    <w:rsid w:val="002E1234"/>
    <w:rsid w:val="002E12D3"/>
    <w:rsid w:val="002E1DFB"/>
    <w:rsid w:val="002E1E37"/>
    <w:rsid w:val="002E2A8F"/>
    <w:rsid w:val="002E2F4E"/>
    <w:rsid w:val="002E2FEE"/>
    <w:rsid w:val="002E3237"/>
    <w:rsid w:val="002E325F"/>
    <w:rsid w:val="002E34EE"/>
    <w:rsid w:val="002E35C0"/>
    <w:rsid w:val="002E3806"/>
    <w:rsid w:val="002E3E3E"/>
    <w:rsid w:val="002E3F93"/>
    <w:rsid w:val="002E442E"/>
    <w:rsid w:val="002E466E"/>
    <w:rsid w:val="002E4696"/>
    <w:rsid w:val="002E46AD"/>
    <w:rsid w:val="002E4A31"/>
    <w:rsid w:val="002E4BE3"/>
    <w:rsid w:val="002E4C9A"/>
    <w:rsid w:val="002E4D75"/>
    <w:rsid w:val="002E4DE4"/>
    <w:rsid w:val="002E5103"/>
    <w:rsid w:val="002E516B"/>
    <w:rsid w:val="002E53E0"/>
    <w:rsid w:val="002E56C1"/>
    <w:rsid w:val="002E56EB"/>
    <w:rsid w:val="002E572C"/>
    <w:rsid w:val="002E57F3"/>
    <w:rsid w:val="002E598C"/>
    <w:rsid w:val="002E5BB2"/>
    <w:rsid w:val="002E5D4B"/>
    <w:rsid w:val="002E5ED9"/>
    <w:rsid w:val="002E5F82"/>
    <w:rsid w:val="002E5FD8"/>
    <w:rsid w:val="002E64F2"/>
    <w:rsid w:val="002E6520"/>
    <w:rsid w:val="002E682D"/>
    <w:rsid w:val="002E6BB5"/>
    <w:rsid w:val="002E6D88"/>
    <w:rsid w:val="002E7335"/>
    <w:rsid w:val="002E73E2"/>
    <w:rsid w:val="002E76A7"/>
    <w:rsid w:val="002E76E7"/>
    <w:rsid w:val="002E7724"/>
    <w:rsid w:val="002E776E"/>
    <w:rsid w:val="002E77DF"/>
    <w:rsid w:val="002E7AF6"/>
    <w:rsid w:val="002E7C63"/>
    <w:rsid w:val="002E7DCF"/>
    <w:rsid w:val="002E7DE7"/>
    <w:rsid w:val="002E7EFE"/>
    <w:rsid w:val="002F001D"/>
    <w:rsid w:val="002F0092"/>
    <w:rsid w:val="002F00FA"/>
    <w:rsid w:val="002F0238"/>
    <w:rsid w:val="002F053E"/>
    <w:rsid w:val="002F0C29"/>
    <w:rsid w:val="002F0C79"/>
    <w:rsid w:val="002F0DF8"/>
    <w:rsid w:val="002F1178"/>
    <w:rsid w:val="002F1357"/>
    <w:rsid w:val="002F16F6"/>
    <w:rsid w:val="002F18CB"/>
    <w:rsid w:val="002F1E2F"/>
    <w:rsid w:val="002F1E87"/>
    <w:rsid w:val="002F20A8"/>
    <w:rsid w:val="002F267C"/>
    <w:rsid w:val="002F2842"/>
    <w:rsid w:val="002F2857"/>
    <w:rsid w:val="002F28A5"/>
    <w:rsid w:val="002F2A41"/>
    <w:rsid w:val="002F2E1B"/>
    <w:rsid w:val="002F300D"/>
    <w:rsid w:val="002F3056"/>
    <w:rsid w:val="002F30E3"/>
    <w:rsid w:val="002F3736"/>
    <w:rsid w:val="002F37E0"/>
    <w:rsid w:val="002F3A60"/>
    <w:rsid w:val="002F3CD7"/>
    <w:rsid w:val="002F3CEC"/>
    <w:rsid w:val="002F4081"/>
    <w:rsid w:val="002F408E"/>
    <w:rsid w:val="002F40A7"/>
    <w:rsid w:val="002F43A6"/>
    <w:rsid w:val="002F4445"/>
    <w:rsid w:val="002F4998"/>
    <w:rsid w:val="002F4BCC"/>
    <w:rsid w:val="002F4FBD"/>
    <w:rsid w:val="002F50EF"/>
    <w:rsid w:val="002F50F2"/>
    <w:rsid w:val="002F5296"/>
    <w:rsid w:val="002F5549"/>
    <w:rsid w:val="002F56F0"/>
    <w:rsid w:val="002F5911"/>
    <w:rsid w:val="002F5A32"/>
    <w:rsid w:val="002F5EB2"/>
    <w:rsid w:val="002F61D8"/>
    <w:rsid w:val="002F661A"/>
    <w:rsid w:val="002F67BC"/>
    <w:rsid w:val="002F6877"/>
    <w:rsid w:val="002F6995"/>
    <w:rsid w:val="002F6D09"/>
    <w:rsid w:val="002F6DE2"/>
    <w:rsid w:val="002F6E99"/>
    <w:rsid w:val="002F7589"/>
    <w:rsid w:val="002F75A6"/>
    <w:rsid w:val="002F778E"/>
    <w:rsid w:val="002F7822"/>
    <w:rsid w:val="002F7852"/>
    <w:rsid w:val="002F78A1"/>
    <w:rsid w:val="002F7B78"/>
    <w:rsid w:val="002F7BA1"/>
    <w:rsid w:val="002F7CCD"/>
    <w:rsid w:val="002F7F7C"/>
    <w:rsid w:val="003000A0"/>
    <w:rsid w:val="003000E3"/>
    <w:rsid w:val="003008C8"/>
    <w:rsid w:val="003009FA"/>
    <w:rsid w:val="00300B3A"/>
    <w:rsid w:val="00300B59"/>
    <w:rsid w:val="00300CAB"/>
    <w:rsid w:val="00300DEE"/>
    <w:rsid w:val="00300FBF"/>
    <w:rsid w:val="003018BE"/>
    <w:rsid w:val="00301FC8"/>
    <w:rsid w:val="003021C7"/>
    <w:rsid w:val="00302499"/>
    <w:rsid w:val="00302582"/>
    <w:rsid w:val="00302675"/>
    <w:rsid w:val="0030276D"/>
    <w:rsid w:val="00302895"/>
    <w:rsid w:val="00303174"/>
    <w:rsid w:val="003031FD"/>
    <w:rsid w:val="00303594"/>
    <w:rsid w:val="0030359B"/>
    <w:rsid w:val="0030375A"/>
    <w:rsid w:val="003038B0"/>
    <w:rsid w:val="00303BFC"/>
    <w:rsid w:val="00303E23"/>
    <w:rsid w:val="003042E0"/>
    <w:rsid w:val="0030448E"/>
    <w:rsid w:val="00304753"/>
    <w:rsid w:val="00304838"/>
    <w:rsid w:val="0030485E"/>
    <w:rsid w:val="00304AFC"/>
    <w:rsid w:val="00304C4E"/>
    <w:rsid w:val="00304D75"/>
    <w:rsid w:val="00304E29"/>
    <w:rsid w:val="00304E91"/>
    <w:rsid w:val="00304EDB"/>
    <w:rsid w:val="00304F9A"/>
    <w:rsid w:val="00305100"/>
    <w:rsid w:val="003053F6"/>
    <w:rsid w:val="0030550B"/>
    <w:rsid w:val="0030560D"/>
    <w:rsid w:val="00305806"/>
    <w:rsid w:val="00305823"/>
    <w:rsid w:val="00305AA4"/>
    <w:rsid w:val="00305B94"/>
    <w:rsid w:val="00305C53"/>
    <w:rsid w:val="00305CAC"/>
    <w:rsid w:val="00306187"/>
    <w:rsid w:val="003061C1"/>
    <w:rsid w:val="00306368"/>
    <w:rsid w:val="00306B7A"/>
    <w:rsid w:val="00306D6F"/>
    <w:rsid w:val="00306EFA"/>
    <w:rsid w:val="0030720A"/>
    <w:rsid w:val="00307534"/>
    <w:rsid w:val="003077CF"/>
    <w:rsid w:val="003078F2"/>
    <w:rsid w:val="00307DAB"/>
    <w:rsid w:val="003100B9"/>
    <w:rsid w:val="0031025E"/>
    <w:rsid w:val="00310432"/>
    <w:rsid w:val="00310477"/>
    <w:rsid w:val="00311262"/>
    <w:rsid w:val="003112CF"/>
    <w:rsid w:val="0031151D"/>
    <w:rsid w:val="00311921"/>
    <w:rsid w:val="00311FB9"/>
    <w:rsid w:val="003121A1"/>
    <w:rsid w:val="0031228B"/>
    <w:rsid w:val="00312295"/>
    <w:rsid w:val="003123D9"/>
    <w:rsid w:val="0031279B"/>
    <w:rsid w:val="00312BE9"/>
    <w:rsid w:val="00312DCB"/>
    <w:rsid w:val="00312DDE"/>
    <w:rsid w:val="003136EC"/>
    <w:rsid w:val="00313733"/>
    <w:rsid w:val="00313B6A"/>
    <w:rsid w:val="00313CC8"/>
    <w:rsid w:val="00313F75"/>
    <w:rsid w:val="003140DD"/>
    <w:rsid w:val="0031426C"/>
    <w:rsid w:val="003142C6"/>
    <w:rsid w:val="0031437C"/>
    <w:rsid w:val="00314452"/>
    <w:rsid w:val="003149A9"/>
    <w:rsid w:val="00314A34"/>
    <w:rsid w:val="00314CB8"/>
    <w:rsid w:val="00314DEA"/>
    <w:rsid w:val="00314E0A"/>
    <w:rsid w:val="00314E2C"/>
    <w:rsid w:val="00314EA9"/>
    <w:rsid w:val="0031544C"/>
    <w:rsid w:val="0031549C"/>
    <w:rsid w:val="003157EA"/>
    <w:rsid w:val="00315A39"/>
    <w:rsid w:val="00315BFB"/>
    <w:rsid w:val="00315CA9"/>
    <w:rsid w:val="00316256"/>
    <w:rsid w:val="00316A29"/>
    <w:rsid w:val="00317A43"/>
    <w:rsid w:val="00317B00"/>
    <w:rsid w:val="00317B33"/>
    <w:rsid w:val="00317DBB"/>
    <w:rsid w:val="0032030E"/>
    <w:rsid w:val="003203CC"/>
    <w:rsid w:val="00320865"/>
    <w:rsid w:val="003208AB"/>
    <w:rsid w:val="00320A4F"/>
    <w:rsid w:val="00320B64"/>
    <w:rsid w:val="00320B7A"/>
    <w:rsid w:val="00321392"/>
    <w:rsid w:val="00321618"/>
    <w:rsid w:val="003216F7"/>
    <w:rsid w:val="0032182E"/>
    <w:rsid w:val="00321DB4"/>
    <w:rsid w:val="003221AF"/>
    <w:rsid w:val="00322368"/>
    <w:rsid w:val="003226BE"/>
    <w:rsid w:val="003227B1"/>
    <w:rsid w:val="0032289D"/>
    <w:rsid w:val="00322DE7"/>
    <w:rsid w:val="00322E1D"/>
    <w:rsid w:val="00322EBA"/>
    <w:rsid w:val="00322EF8"/>
    <w:rsid w:val="00322EF9"/>
    <w:rsid w:val="00323928"/>
    <w:rsid w:val="00323BAB"/>
    <w:rsid w:val="00323D7F"/>
    <w:rsid w:val="003244D5"/>
    <w:rsid w:val="003245BE"/>
    <w:rsid w:val="00324650"/>
    <w:rsid w:val="003247AF"/>
    <w:rsid w:val="00325238"/>
    <w:rsid w:val="003255E5"/>
    <w:rsid w:val="00325638"/>
    <w:rsid w:val="003259B9"/>
    <w:rsid w:val="003259CD"/>
    <w:rsid w:val="0032674D"/>
    <w:rsid w:val="0032693C"/>
    <w:rsid w:val="00326B05"/>
    <w:rsid w:val="00326C25"/>
    <w:rsid w:val="00326D62"/>
    <w:rsid w:val="00326EB5"/>
    <w:rsid w:val="00327314"/>
    <w:rsid w:val="00327563"/>
    <w:rsid w:val="003275EF"/>
    <w:rsid w:val="00327978"/>
    <w:rsid w:val="00327A1F"/>
    <w:rsid w:val="00327B3F"/>
    <w:rsid w:val="00327F7F"/>
    <w:rsid w:val="0033008B"/>
    <w:rsid w:val="003305D7"/>
    <w:rsid w:val="00330864"/>
    <w:rsid w:val="00330894"/>
    <w:rsid w:val="00330AFF"/>
    <w:rsid w:val="00330C4C"/>
    <w:rsid w:val="00331CD8"/>
    <w:rsid w:val="00331D97"/>
    <w:rsid w:val="00331E22"/>
    <w:rsid w:val="00332000"/>
    <w:rsid w:val="0033258F"/>
    <w:rsid w:val="00332B08"/>
    <w:rsid w:val="00332BAD"/>
    <w:rsid w:val="00332D4C"/>
    <w:rsid w:val="0033335F"/>
    <w:rsid w:val="00333469"/>
    <w:rsid w:val="003334B5"/>
    <w:rsid w:val="0033357F"/>
    <w:rsid w:val="0033370C"/>
    <w:rsid w:val="00333A3C"/>
    <w:rsid w:val="00333D66"/>
    <w:rsid w:val="00333DD9"/>
    <w:rsid w:val="00334036"/>
    <w:rsid w:val="00334355"/>
    <w:rsid w:val="00334359"/>
    <w:rsid w:val="003344D5"/>
    <w:rsid w:val="00334833"/>
    <w:rsid w:val="00334BD7"/>
    <w:rsid w:val="00334D01"/>
    <w:rsid w:val="00334F00"/>
    <w:rsid w:val="00334F71"/>
    <w:rsid w:val="00334F9D"/>
    <w:rsid w:val="00334FFF"/>
    <w:rsid w:val="00335247"/>
    <w:rsid w:val="00335432"/>
    <w:rsid w:val="003355A1"/>
    <w:rsid w:val="00335C5C"/>
    <w:rsid w:val="0033614A"/>
    <w:rsid w:val="00336291"/>
    <w:rsid w:val="00336333"/>
    <w:rsid w:val="003363EE"/>
    <w:rsid w:val="003365AF"/>
    <w:rsid w:val="003365D0"/>
    <w:rsid w:val="003367B3"/>
    <w:rsid w:val="003369E1"/>
    <w:rsid w:val="00336AC7"/>
    <w:rsid w:val="00336BA8"/>
    <w:rsid w:val="00336C14"/>
    <w:rsid w:val="003373D7"/>
    <w:rsid w:val="00337505"/>
    <w:rsid w:val="00337765"/>
    <w:rsid w:val="0033776A"/>
    <w:rsid w:val="00337D6D"/>
    <w:rsid w:val="00337D8A"/>
    <w:rsid w:val="00337D9C"/>
    <w:rsid w:val="00337E8E"/>
    <w:rsid w:val="00337F11"/>
    <w:rsid w:val="0034050C"/>
    <w:rsid w:val="003406D4"/>
    <w:rsid w:val="0034088E"/>
    <w:rsid w:val="00340A97"/>
    <w:rsid w:val="00340ACB"/>
    <w:rsid w:val="00340C1C"/>
    <w:rsid w:val="003412F8"/>
    <w:rsid w:val="003414CC"/>
    <w:rsid w:val="00341570"/>
    <w:rsid w:val="003415F9"/>
    <w:rsid w:val="003416E5"/>
    <w:rsid w:val="003419B6"/>
    <w:rsid w:val="00341D9D"/>
    <w:rsid w:val="0034224C"/>
    <w:rsid w:val="00342300"/>
    <w:rsid w:val="00342854"/>
    <w:rsid w:val="003429B1"/>
    <w:rsid w:val="00342F4E"/>
    <w:rsid w:val="00343137"/>
    <w:rsid w:val="00343219"/>
    <w:rsid w:val="0034338A"/>
    <w:rsid w:val="003433D0"/>
    <w:rsid w:val="00343553"/>
    <w:rsid w:val="003435E7"/>
    <w:rsid w:val="0034392E"/>
    <w:rsid w:val="00343979"/>
    <w:rsid w:val="00343F49"/>
    <w:rsid w:val="00344217"/>
    <w:rsid w:val="0034461A"/>
    <w:rsid w:val="00344880"/>
    <w:rsid w:val="00344C08"/>
    <w:rsid w:val="00344C9A"/>
    <w:rsid w:val="00344ED3"/>
    <w:rsid w:val="00344F9F"/>
    <w:rsid w:val="0034541D"/>
    <w:rsid w:val="003454B4"/>
    <w:rsid w:val="00345793"/>
    <w:rsid w:val="00345C22"/>
    <w:rsid w:val="00345F73"/>
    <w:rsid w:val="00346404"/>
    <w:rsid w:val="003469A3"/>
    <w:rsid w:val="00347231"/>
    <w:rsid w:val="003473D7"/>
    <w:rsid w:val="00347562"/>
    <w:rsid w:val="0034786B"/>
    <w:rsid w:val="00347A6E"/>
    <w:rsid w:val="00347B6D"/>
    <w:rsid w:val="00347D1D"/>
    <w:rsid w:val="00347D36"/>
    <w:rsid w:val="00350259"/>
    <w:rsid w:val="0035063B"/>
    <w:rsid w:val="00350747"/>
    <w:rsid w:val="00350E11"/>
    <w:rsid w:val="00350F2E"/>
    <w:rsid w:val="00351652"/>
    <w:rsid w:val="003517EB"/>
    <w:rsid w:val="003519DF"/>
    <w:rsid w:val="00351BC6"/>
    <w:rsid w:val="0035207C"/>
    <w:rsid w:val="003523E2"/>
    <w:rsid w:val="00352514"/>
    <w:rsid w:val="0035252E"/>
    <w:rsid w:val="00352559"/>
    <w:rsid w:val="003529CB"/>
    <w:rsid w:val="00352A06"/>
    <w:rsid w:val="00352B25"/>
    <w:rsid w:val="0035312A"/>
    <w:rsid w:val="00353185"/>
    <w:rsid w:val="0035339E"/>
    <w:rsid w:val="003534D6"/>
    <w:rsid w:val="0035365E"/>
    <w:rsid w:val="00353900"/>
    <w:rsid w:val="00353A71"/>
    <w:rsid w:val="003540C8"/>
    <w:rsid w:val="00354148"/>
    <w:rsid w:val="00354249"/>
    <w:rsid w:val="003542DE"/>
    <w:rsid w:val="003545CE"/>
    <w:rsid w:val="003549B8"/>
    <w:rsid w:val="00354B39"/>
    <w:rsid w:val="00354B7C"/>
    <w:rsid w:val="00354C95"/>
    <w:rsid w:val="00354D6B"/>
    <w:rsid w:val="00355134"/>
    <w:rsid w:val="0035520A"/>
    <w:rsid w:val="003552F5"/>
    <w:rsid w:val="0035556C"/>
    <w:rsid w:val="003558A0"/>
    <w:rsid w:val="003559D8"/>
    <w:rsid w:val="00355ABF"/>
    <w:rsid w:val="00355AE6"/>
    <w:rsid w:val="00355C39"/>
    <w:rsid w:val="00355CEE"/>
    <w:rsid w:val="00355DCA"/>
    <w:rsid w:val="00355E49"/>
    <w:rsid w:val="00355F46"/>
    <w:rsid w:val="0035601D"/>
    <w:rsid w:val="0035609E"/>
    <w:rsid w:val="003560DB"/>
    <w:rsid w:val="0035610C"/>
    <w:rsid w:val="0035612D"/>
    <w:rsid w:val="003563B8"/>
    <w:rsid w:val="00356467"/>
    <w:rsid w:val="00356728"/>
    <w:rsid w:val="00356753"/>
    <w:rsid w:val="003568F1"/>
    <w:rsid w:val="00356987"/>
    <w:rsid w:val="00356B63"/>
    <w:rsid w:val="00356DC1"/>
    <w:rsid w:val="00357025"/>
    <w:rsid w:val="00357773"/>
    <w:rsid w:val="003577C9"/>
    <w:rsid w:val="003578D5"/>
    <w:rsid w:val="003579E8"/>
    <w:rsid w:val="00357AA4"/>
    <w:rsid w:val="00357BA2"/>
    <w:rsid w:val="00357F18"/>
    <w:rsid w:val="003600A2"/>
    <w:rsid w:val="0036015C"/>
    <w:rsid w:val="003602B8"/>
    <w:rsid w:val="00360561"/>
    <w:rsid w:val="003609CD"/>
    <w:rsid w:val="00360BDB"/>
    <w:rsid w:val="00360C32"/>
    <w:rsid w:val="00360EFC"/>
    <w:rsid w:val="0036117E"/>
    <w:rsid w:val="003613A1"/>
    <w:rsid w:val="003615C1"/>
    <w:rsid w:val="003616A7"/>
    <w:rsid w:val="00361807"/>
    <w:rsid w:val="003618B1"/>
    <w:rsid w:val="00361C86"/>
    <w:rsid w:val="00361CE5"/>
    <w:rsid w:val="00361DEF"/>
    <w:rsid w:val="00361F7D"/>
    <w:rsid w:val="003622D5"/>
    <w:rsid w:val="00362390"/>
    <w:rsid w:val="0036269D"/>
    <w:rsid w:val="00362A0B"/>
    <w:rsid w:val="00362C09"/>
    <w:rsid w:val="00362E97"/>
    <w:rsid w:val="00362FC0"/>
    <w:rsid w:val="0036310B"/>
    <w:rsid w:val="00363299"/>
    <w:rsid w:val="003632A8"/>
    <w:rsid w:val="00363516"/>
    <w:rsid w:val="0036353C"/>
    <w:rsid w:val="003635BB"/>
    <w:rsid w:val="0036376A"/>
    <w:rsid w:val="003638E0"/>
    <w:rsid w:val="00363DB8"/>
    <w:rsid w:val="00363E70"/>
    <w:rsid w:val="00363F58"/>
    <w:rsid w:val="00364532"/>
    <w:rsid w:val="00364854"/>
    <w:rsid w:val="00364ED9"/>
    <w:rsid w:val="003650BF"/>
    <w:rsid w:val="00365139"/>
    <w:rsid w:val="00365305"/>
    <w:rsid w:val="0036535D"/>
    <w:rsid w:val="003657E1"/>
    <w:rsid w:val="00365E21"/>
    <w:rsid w:val="00366206"/>
    <w:rsid w:val="0036658F"/>
    <w:rsid w:val="003668EF"/>
    <w:rsid w:val="00366A98"/>
    <w:rsid w:val="00366B16"/>
    <w:rsid w:val="00366BBA"/>
    <w:rsid w:val="00366C98"/>
    <w:rsid w:val="00366F9F"/>
    <w:rsid w:val="003670E0"/>
    <w:rsid w:val="00367101"/>
    <w:rsid w:val="0036725E"/>
    <w:rsid w:val="00367487"/>
    <w:rsid w:val="003678FA"/>
    <w:rsid w:val="00367964"/>
    <w:rsid w:val="00367B24"/>
    <w:rsid w:val="00367BB3"/>
    <w:rsid w:val="00370430"/>
    <w:rsid w:val="00370645"/>
    <w:rsid w:val="003706EE"/>
    <w:rsid w:val="003709F4"/>
    <w:rsid w:val="00370C01"/>
    <w:rsid w:val="00370DF0"/>
    <w:rsid w:val="00370FDB"/>
    <w:rsid w:val="0037114C"/>
    <w:rsid w:val="003715DF"/>
    <w:rsid w:val="003721AB"/>
    <w:rsid w:val="0037253D"/>
    <w:rsid w:val="00372566"/>
    <w:rsid w:val="0037278B"/>
    <w:rsid w:val="00372AC4"/>
    <w:rsid w:val="00372D5A"/>
    <w:rsid w:val="0037309F"/>
    <w:rsid w:val="0037310E"/>
    <w:rsid w:val="0037318E"/>
    <w:rsid w:val="003735BA"/>
    <w:rsid w:val="00373732"/>
    <w:rsid w:val="003738E8"/>
    <w:rsid w:val="0037421E"/>
    <w:rsid w:val="003746C4"/>
    <w:rsid w:val="003747D0"/>
    <w:rsid w:val="003749A5"/>
    <w:rsid w:val="003749EA"/>
    <w:rsid w:val="00374A1C"/>
    <w:rsid w:val="00374BBB"/>
    <w:rsid w:val="00374C32"/>
    <w:rsid w:val="00374E57"/>
    <w:rsid w:val="00375392"/>
    <w:rsid w:val="003756FB"/>
    <w:rsid w:val="00375747"/>
    <w:rsid w:val="00375A54"/>
    <w:rsid w:val="00375A58"/>
    <w:rsid w:val="00375BD8"/>
    <w:rsid w:val="00375DB8"/>
    <w:rsid w:val="00375DC4"/>
    <w:rsid w:val="00376171"/>
    <w:rsid w:val="00376179"/>
    <w:rsid w:val="00376691"/>
    <w:rsid w:val="003767E5"/>
    <w:rsid w:val="00376949"/>
    <w:rsid w:val="00376B69"/>
    <w:rsid w:val="00376CBB"/>
    <w:rsid w:val="00376CC3"/>
    <w:rsid w:val="00376DC2"/>
    <w:rsid w:val="00376E7D"/>
    <w:rsid w:val="00376E8B"/>
    <w:rsid w:val="0037715B"/>
    <w:rsid w:val="003778B5"/>
    <w:rsid w:val="00377F72"/>
    <w:rsid w:val="003801F5"/>
    <w:rsid w:val="00380AB1"/>
    <w:rsid w:val="00380C1A"/>
    <w:rsid w:val="00380E1B"/>
    <w:rsid w:val="0038101D"/>
    <w:rsid w:val="003813A5"/>
    <w:rsid w:val="003813AE"/>
    <w:rsid w:val="003814E8"/>
    <w:rsid w:val="0038169E"/>
    <w:rsid w:val="00381A49"/>
    <w:rsid w:val="00381E16"/>
    <w:rsid w:val="00381EA2"/>
    <w:rsid w:val="003821F8"/>
    <w:rsid w:val="003825E8"/>
    <w:rsid w:val="00382987"/>
    <w:rsid w:val="00382ADB"/>
    <w:rsid w:val="00382B1D"/>
    <w:rsid w:val="00382B62"/>
    <w:rsid w:val="00383115"/>
    <w:rsid w:val="00383200"/>
    <w:rsid w:val="00383652"/>
    <w:rsid w:val="00383683"/>
    <w:rsid w:val="003836F0"/>
    <w:rsid w:val="00383800"/>
    <w:rsid w:val="00383840"/>
    <w:rsid w:val="00383ADE"/>
    <w:rsid w:val="00383C66"/>
    <w:rsid w:val="00383D15"/>
    <w:rsid w:val="00383EA8"/>
    <w:rsid w:val="00383FF2"/>
    <w:rsid w:val="00384123"/>
    <w:rsid w:val="003844BE"/>
    <w:rsid w:val="00384860"/>
    <w:rsid w:val="00384886"/>
    <w:rsid w:val="003849EB"/>
    <w:rsid w:val="00384BE3"/>
    <w:rsid w:val="00384D5C"/>
    <w:rsid w:val="00385337"/>
    <w:rsid w:val="00385360"/>
    <w:rsid w:val="003853AB"/>
    <w:rsid w:val="00385490"/>
    <w:rsid w:val="00385731"/>
    <w:rsid w:val="0038594F"/>
    <w:rsid w:val="003859E3"/>
    <w:rsid w:val="00385B74"/>
    <w:rsid w:val="00386049"/>
    <w:rsid w:val="00386E37"/>
    <w:rsid w:val="00386E79"/>
    <w:rsid w:val="00386FA3"/>
    <w:rsid w:val="00386FC5"/>
    <w:rsid w:val="00387780"/>
    <w:rsid w:val="00387858"/>
    <w:rsid w:val="00387937"/>
    <w:rsid w:val="00387C06"/>
    <w:rsid w:val="00387C24"/>
    <w:rsid w:val="00387CB8"/>
    <w:rsid w:val="0039025D"/>
    <w:rsid w:val="0039051D"/>
    <w:rsid w:val="00390608"/>
    <w:rsid w:val="00390648"/>
    <w:rsid w:val="00390699"/>
    <w:rsid w:val="00390939"/>
    <w:rsid w:val="00391247"/>
    <w:rsid w:val="003912D4"/>
    <w:rsid w:val="00391572"/>
    <w:rsid w:val="003916CF"/>
    <w:rsid w:val="00391CE3"/>
    <w:rsid w:val="00391F61"/>
    <w:rsid w:val="003921EE"/>
    <w:rsid w:val="003923F5"/>
    <w:rsid w:val="00392809"/>
    <w:rsid w:val="00392C64"/>
    <w:rsid w:val="00393096"/>
    <w:rsid w:val="003931EB"/>
    <w:rsid w:val="003937CC"/>
    <w:rsid w:val="00393832"/>
    <w:rsid w:val="00393A54"/>
    <w:rsid w:val="00393BD7"/>
    <w:rsid w:val="0039406D"/>
    <w:rsid w:val="00394250"/>
    <w:rsid w:val="0039431A"/>
    <w:rsid w:val="00394411"/>
    <w:rsid w:val="00394414"/>
    <w:rsid w:val="003948DA"/>
    <w:rsid w:val="00394C65"/>
    <w:rsid w:val="00394D90"/>
    <w:rsid w:val="00394D93"/>
    <w:rsid w:val="00394FC8"/>
    <w:rsid w:val="003950BA"/>
    <w:rsid w:val="00395326"/>
    <w:rsid w:val="003954F0"/>
    <w:rsid w:val="00395603"/>
    <w:rsid w:val="0039563C"/>
    <w:rsid w:val="003959D7"/>
    <w:rsid w:val="00395A06"/>
    <w:rsid w:val="00395B0F"/>
    <w:rsid w:val="00395C38"/>
    <w:rsid w:val="00395EAA"/>
    <w:rsid w:val="00395FF0"/>
    <w:rsid w:val="003963FC"/>
    <w:rsid w:val="003965C1"/>
    <w:rsid w:val="003966F3"/>
    <w:rsid w:val="003968C9"/>
    <w:rsid w:val="00396EBD"/>
    <w:rsid w:val="00397042"/>
    <w:rsid w:val="0039718A"/>
    <w:rsid w:val="003971D9"/>
    <w:rsid w:val="003973A1"/>
    <w:rsid w:val="00397685"/>
    <w:rsid w:val="003977FC"/>
    <w:rsid w:val="00397801"/>
    <w:rsid w:val="00397BE9"/>
    <w:rsid w:val="00397E4C"/>
    <w:rsid w:val="00397F33"/>
    <w:rsid w:val="003A01AE"/>
    <w:rsid w:val="003A02D1"/>
    <w:rsid w:val="003A032D"/>
    <w:rsid w:val="003A0476"/>
    <w:rsid w:val="003A0806"/>
    <w:rsid w:val="003A089E"/>
    <w:rsid w:val="003A0BC1"/>
    <w:rsid w:val="003A0D14"/>
    <w:rsid w:val="003A0EFD"/>
    <w:rsid w:val="003A107F"/>
    <w:rsid w:val="003A10CD"/>
    <w:rsid w:val="003A1155"/>
    <w:rsid w:val="003A15BC"/>
    <w:rsid w:val="003A16A9"/>
    <w:rsid w:val="003A1A2B"/>
    <w:rsid w:val="003A1B39"/>
    <w:rsid w:val="003A1D40"/>
    <w:rsid w:val="003A23C4"/>
    <w:rsid w:val="003A259E"/>
    <w:rsid w:val="003A2643"/>
    <w:rsid w:val="003A2AA0"/>
    <w:rsid w:val="003A3128"/>
    <w:rsid w:val="003A3203"/>
    <w:rsid w:val="003A3378"/>
    <w:rsid w:val="003A3398"/>
    <w:rsid w:val="003A34C3"/>
    <w:rsid w:val="003A3750"/>
    <w:rsid w:val="003A4056"/>
    <w:rsid w:val="003A40D7"/>
    <w:rsid w:val="003A40FA"/>
    <w:rsid w:val="003A44AA"/>
    <w:rsid w:val="003A4A12"/>
    <w:rsid w:val="003A4E45"/>
    <w:rsid w:val="003A5024"/>
    <w:rsid w:val="003A56AD"/>
    <w:rsid w:val="003A5816"/>
    <w:rsid w:val="003A59BC"/>
    <w:rsid w:val="003A6066"/>
    <w:rsid w:val="003A60B4"/>
    <w:rsid w:val="003A60DA"/>
    <w:rsid w:val="003A60F9"/>
    <w:rsid w:val="003A6359"/>
    <w:rsid w:val="003A63C5"/>
    <w:rsid w:val="003A68DA"/>
    <w:rsid w:val="003A6DA9"/>
    <w:rsid w:val="003A6ECF"/>
    <w:rsid w:val="003A727D"/>
    <w:rsid w:val="003A72E3"/>
    <w:rsid w:val="003A7524"/>
    <w:rsid w:val="003A7553"/>
    <w:rsid w:val="003A7C04"/>
    <w:rsid w:val="003A7C9F"/>
    <w:rsid w:val="003B01D2"/>
    <w:rsid w:val="003B0419"/>
    <w:rsid w:val="003B0B16"/>
    <w:rsid w:val="003B0B22"/>
    <w:rsid w:val="003B1086"/>
    <w:rsid w:val="003B11E7"/>
    <w:rsid w:val="003B11EA"/>
    <w:rsid w:val="003B1239"/>
    <w:rsid w:val="003B1302"/>
    <w:rsid w:val="003B146D"/>
    <w:rsid w:val="003B166B"/>
    <w:rsid w:val="003B1BCC"/>
    <w:rsid w:val="003B1C45"/>
    <w:rsid w:val="003B2160"/>
    <w:rsid w:val="003B23C5"/>
    <w:rsid w:val="003B24C1"/>
    <w:rsid w:val="003B251B"/>
    <w:rsid w:val="003B25E5"/>
    <w:rsid w:val="003B323A"/>
    <w:rsid w:val="003B3E52"/>
    <w:rsid w:val="003B4072"/>
    <w:rsid w:val="003B41FF"/>
    <w:rsid w:val="003B44B1"/>
    <w:rsid w:val="003B4BD4"/>
    <w:rsid w:val="003B4C03"/>
    <w:rsid w:val="003B4FBD"/>
    <w:rsid w:val="003B4FF9"/>
    <w:rsid w:val="003B50E4"/>
    <w:rsid w:val="003B5147"/>
    <w:rsid w:val="003B5209"/>
    <w:rsid w:val="003B56AE"/>
    <w:rsid w:val="003B57D0"/>
    <w:rsid w:val="003B589B"/>
    <w:rsid w:val="003B5FA1"/>
    <w:rsid w:val="003B5FCE"/>
    <w:rsid w:val="003B5FEE"/>
    <w:rsid w:val="003B608B"/>
    <w:rsid w:val="003B620A"/>
    <w:rsid w:val="003B62B6"/>
    <w:rsid w:val="003B6485"/>
    <w:rsid w:val="003B64FD"/>
    <w:rsid w:val="003B6817"/>
    <w:rsid w:val="003B684C"/>
    <w:rsid w:val="003B68A5"/>
    <w:rsid w:val="003B690A"/>
    <w:rsid w:val="003B69E8"/>
    <w:rsid w:val="003B6AD9"/>
    <w:rsid w:val="003B6C61"/>
    <w:rsid w:val="003B6DF9"/>
    <w:rsid w:val="003B6FF2"/>
    <w:rsid w:val="003B7113"/>
    <w:rsid w:val="003B71ED"/>
    <w:rsid w:val="003B739F"/>
    <w:rsid w:val="003B75CF"/>
    <w:rsid w:val="003B77F3"/>
    <w:rsid w:val="003B7BC6"/>
    <w:rsid w:val="003B7BD3"/>
    <w:rsid w:val="003C035D"/>
    <w:rsid w:val="003C0625"/>
    <w:rsid w:val="003C0731"/>
    <w:rsid w:val="003C08B2"/>
    <w:rsid w:val="003C0B7C"/>
    <w:rsid w:val="003C0E2C"/>
    <w:rsid w:val="003C1186"/>
    <w:rsid w:val="003C133D"/>
    <w:rsid w:val="003C16AB"/>
    <w:rsid w:val="003C1B84"/>
    <w:rsid w:val="003C1FC4"/>
    <w:rsid w:val="003C1FD9"/>
    <w:rsid w:val="003C20D1"/>
    <w:rsid w:val="003C2164"/>
    <w:rsid w:val="003C2314"/>
    <w:rsid w:val="003C256A"/>
    <w:rsid w:val="003C2762"/>
    <w:rsid w:val="003C2A15"/>
    <w:rsid w:val="003C320F"/>
    <w:rsid w:val="003C33E1"/>
    <w:rsid w:val="003C343D"/>
    <w:rsid w:val="003C3675"/>
    <w:rsid w:val="003C37CD"/>
    <w:rsid w:val="003C3892"/>
    <w:rsid w:val="003C3ACE"/>
    <w:rsid w:val="003C3BDA"/>
    <w:rsid w:val="003C3C03"/>
    <w:rsid w:val="003C3CB3"/>
    <w:rsid w:val="003C43BA"/>
    <w:rsid w:val="003C48A0"/>
    <w:rsid w:val="003C48D9"/>
    <w:rsid w:val="003C49D8"/>
    <w:rsid w:val="003C49DE"/>
    <w:rsid w:val="003C4A90"/>
    <w:rsid w:val="003C4C90"/>
    <w:rsid w:val="003C4CA6"/>
    <w:rsid w:val="003C4D93"/>
    <w:rsid w:val="003C5121"/>
    <w:rsid w:val="003C5191"/>
    <w:rsid w:val="003C52C7"/>
    <w:rsid w:val="003C5704"/>
    <w:rsid w:val="003C60E8"/>
    <w:rsid w:val="003C61B2"/>
    <w:rsid w:val="003C6396"/>
    <w:rsid w:val="003C659A"/>
    <w:rsid w:val="003C666A"/>
    <w:rsid w:val="003C681B"/>
    <w:rsid w:val="003C6D23"/>
    <w:rsid w:val="003C6E9B"/>
    <w:rsid w:val="003C6F46"/>
    <w:rsid w:val="003C760F"/>
    <w:rsid w:val="003C761E"/>
    <w:rsid w:val="003C762E"/>
    <w:rsid w:val="003C76C6"/>
    <w:rsid w:val="003C77F7"/>
    <w:rsid w:val="003C7CCA"/>
    <w:rsid w:val="003C7E59"/>
    <w:rsid w:val="003C7FE7"/>
    <w:rsid w:val="003D00A2"/>
    <w:rsid w:val="003D018D"/>
    <w:rsid w:val="003D0406"/>
    <w:rsid w:val="003D06C5"/>
    <w:rsid w:val="003D0B68"/>
    <w:rsid w:val="003D0BD2"/>
    <w:rsid w:val="003D0D58"/>
    <w:rsid w:val="003D0E3B"/>
    <w:rsid w:val="003D106C"/>
    <w:rsid w:val="003D1149"/>
    <w:rsid w:val="003D1541"/>
    <w:rsid w:val="003D18E5"/>
    <w:rsid w:val="003D1904"/>
    <w:rsid w:val="003D1ABD"/>
    <w:rsid w:val="003D1BB2"/>
    <w:rsid w:val="003D1DFC"/>
    <w:rsid w:val="003D20F2"/>
    <w:rsid w:val="003D234A"/>
    <w:rsid w:val="003D2639"/>
    <w:rsid w:val="003D26A9"/>
    <w:rsid w:val="003D2725"/>
    <w:rsid w:val="003D2797"/>
    <w:rsid w:val="003D27EF"/>
    <w:rsid w:val="003D287E"/>
    <w:rsid w:val="003D2AFC"/>
    <w:rsid w:val="003D2BE4"/>
    <w:rsid w:val="003D2E08"/>
    <w:rsid w:val="003D2E6A"/>
    <w:rsid w:val="003D2FD9"/>
    <w:rsid w:val="003D3217"/>
    <w:rsid w:val="003D3485"/>
    <w:rsid w:val="003D34CD"/>
    <w:rsid w:val="003D35CA"/>
    <w:rsid w:val="003D3A69"/>
    <w:rsid w:val="003D3D07"/>
    <w:rsid w:val="003D3E40"/>
    <w:rsid w:val="003D3F79"/>
    <w:rsid w:val="003D4032"/>
    <w:rsid w:val="003D4804"/>
    <w:rsid w:val="003D4845"/>
    <w:rsid w:val="003D4D1F"/>
    <w:rsid w:val="003D4F18"/>
    <w:rsid w:val="003D5244"/>
    <w:rsid w:val="003D52CC"/>
    <w:rsid w:val="003D5388"/>
    <w:rsid w:val="003D551A"/>
    <w:rsid w:val="003D578C"/>
    <w:rsid w:val="003D5797"/>
    <w:rsid w:val="003D57E3"/>
    <w:rsid w:val="003D5CCF"/>
    <w:rsid w:val="003D5E2B"/>
    <w:rsid w:val="003D602C"/>
    <w:rsid w:val="003D6AB0"/>
    <w:rsid w:val="003D6D0F"/>
    <w:rsid w:val="003D74E8"/>
    <w:rsid w:val="003D7834"/>
    <w:rsid w:val="003D7C08"/>
    <w:rsid w:val="003D7DBB"/>
    <w:rsid w:val="003D7FA8"/>
    <w:rsid w:val="003E005F"/>
    <w:rsid w:val="003E070A"/>
    <w:rsid w:val="003E08D2"/>
    <w:rsid w:val="003E08E5"/>
    <w:rsid w:val="003E09DB"/>
    <w:rsid w:val="003E0C1C"/>
    <w:rsid w:val="003E0C2B"/>
    <w:rsid w:val="003E0D74"/>
    <w:rsid w:val="003E0E52"/>
    <w:rsid w:val="003E14CC"/>
    <w:rsid w:val="003E1775"/>
    <w:rsid w:val="003E1829"/>
    <w:rsid w:val="003E1A48"/>
    <w:rsid w:val="003E1AAF"/>
    <w:rsid w:val="003E1B3E"/>
    <w:rsid w:val="003E1E4F"/>
    <w:rsid w:val="003E21BA"/>
    <w:rsid w:val="003E21EF"/>
    <w:rsid w:val="003E2231"/>
    <w:rsid w:val="003E227C"/>
    <w:rsid w:val="003E236B"/>
    <w:rsid w:val="003E241F"/>
    <w:rsid w:val="003E249A"/>
    <w:rsid w:val="003E285B"/>
    <w:rsid w:val="003E2956"/>
    <w:rsid w:val="003E2C71"/>
    <w:rsid w:val="003E3685"/>
    <w:rsid w:val="003E3A65"/>
    <w:rsid w:val="003E3DB1"/>
    <w:rsid w:val="003E3F07"/>
    <w:rsid w:val="003E3F19"/>
    <w:rsid w:val="003E3F5C"/>
    <w:rsid w:val="003E420A"/>
    <w:rsid w:val="003E459F"/>
    <w:rsid w:val="003E48A6"/>
    <w:rsid w:val="003E4AB9"/>
    <w:rsid w:val="003E4F65"/>
    <w:rsid w:val="003E50BC"/>
    <w:rsid w:val="003E52A8"/>
    <w:rsid w:val="003E5D23"/>
    <w:rsid w:val="003E60E8"/>
    <w:rsid w:val="003E6358"/>
    <w:rsid w:val="003E6610"/>
    <w:rsid w:val="003E66D2"/>
    <w:rsid w:val="003E6D39"/>
    <w:rsid w:val="003E70C3"/>
    <w:rsid w:val="003E7399"/>
    <w:rsid w:val="003E748B"/>
    <w:rsid w:val="003E74A4"/>
    <w:rsid w:val="003E7641"/>
    <w:rsid w:val="003E7871"/>
    <w:rsid w:val="003E7A88"/>
    <w:rsid w:val="003E7C51"/>
    <w:rsid w:val="003E7CE8"/>
    <w:rsid w:val="003E7E47"/>
    <w:rsid w:val="003E7F51"/>
    <w:rsid w:val="003E7FF6"/>
    <w:rsid w:val="003F00CF"/>
    <w:rsid w:val="003F02C9"/>
    <w:rsid w:val="003F0603"/>
    <w:rsid w:val="003F096F"/>
    <w:rsid w:val="003F0990"/>
    <w:rsid w:val="003F0AD6"/>
    <w:rsid w:val="003F0BA0"/>
    <w:rsid w:val="003F102D"/>
    <w:rsid w:val="003F10A5"/>
    <w:rsid w:val="003F169C"/>
    <w:rsid w:val="003F1797"/>
    <w:rsid w:val="003F1880"/>
    <w:rsid w:val="003F1923"/>
    <w:rsid w:val="003F19D7"/>
    <w:rsid w:val="003F1E0D"/>
    <w:rsid w:val="003F2400"/>
    <w:rsid w:val="003F25D9"/>
    <w:rsid w:val="003F27D3"/>
    <w:rsid w:val="003F299F"/>
    <w:rsid w:val="003F2B7B"/>
    <w:rsid w:val="003F2BD9"/>
    <w:rsid w:val="003F2BE9"/>
    <w:rsid w:val="003F2EB5"/>
    <w:rsid w:val="003F3085"/>
    <w:rsid w:val="003F328D"/>
    <w:rsid w:val="003F3320"/>
    <w:rsid w:val="003F33D0"/>
    <w:rsid w:val="003F3502"/>
    <w:rsid w:val="003F3755"/>
    <w:rsid w:val="003F387D"/>
    <w:rsid w:val="003F39FC"/>
    <w:rsid w:val="003F3D80"/>
    <w:rsid w:val="003F408C"/>
    <w:rsid w:val="003F4148"/>
    <w:rsid w:val="003F422C"/>
    <w:rsid w:val="003F47EB"/>
    <w:rsid w:val="003F48B4"/>
    <w:rsid w:val="003F4C64"/>
    <w:rsid w:val="003F4E57"/>
    <w:rsid w:val="003F5079"/>
    <w:rsid w:val="003F551C"/>
    <w:rsid w:val="003F5645"/>
    <w:rsid w:val="003F5787"/>
    <w:rsid w:val="003F5861"/>
    <w:rsid w:val="003F5AAE"/>
    <w:rsid w:val="003F6486"/>
    <w:rsid w:val="003F6767"/>
    <w:rsid w:val="003F6A66"/>
    <w:rsid w:val="003F6B6D"/>
    <w:rsid w:val="003F6CC4"/>
    <w:rsid w:val="003F6DC0"/>
    <w:rsid w:val="003F6E6B"/>
    <w:rsid w:val="003F6EC3"/>
    <w:rsid w:val="003F6F49"/>
    <w:rsid w:val="003F74E8"/>
    <w:rsid w:val="003F7857"/>
    <w:rsid w:val="003F78B8"/>
    <w:rsid w:val="003F7ABC"/>
    <w:rsid w:val="003F7CAC"/>
    <w:rsid w:val="003F7FB8"/>
    <w:rsid w:val="003F7FE7"/>
    <w:rsid w:val="0040018F"/>
    <w:rsid w:val="00400609"/>
    <w:rsid w:val="0040068A"/>
    <w:rsid w:val="004006A4"/>
    <w:rsid w:val="00400B41"/>
    <w:rsid w:val="00400F96"/>
    <w:rsid w:val="00401013"/>
    <w:rsid w:val="0040101C"/>
    <w:rsid w:val="004011E1"/>
    <w:rsid w:val="004014E4"/>
    <w:rsid w:val="004014F7"/>
    <w:rsid w:val="00401601"/>
    <w:rsid w:val="004019BA"/>
    <w:rsid w:val="00401C44"/>
    <w:rsid w:val="004022E4"/>
    <w:rsid w:val="00402544"/>
    <w:rsid w:val="00402782"/>
    <w:rsid w:val="004029C2"/>
    <w:rsid w:val="00402B16"/>
    <w:rsid w:val="00402CEE"/>
    <w:rsid w:val="00402E2A"/>
    <w:rsid w:val="00402F8B"/>
    <w:rsid w:val="00402FBD"/>
    <w:rsid w:val="00402FDC"/>
    <w:rsid w:val="00403072"/>
    <w:rsid w:val="0040316A"/>
    <w:rsid w:val="00403197"/>
    <w:rsid w:val="004032C7"/>
    <w:rsid w:val="004034D0"/>
    <w:rsid w:val="00403763"/>
    <w:rsid w:val="004038E3"/>
    <w:rsid w:val="00403B7E"/>
    <w:rsid w:val="00403CF7"/>
    <w:rsid w:val="00403F66"/>
    <w:rsid w:val="004040BE"/>
    <w:rsid w:val="0040443F"/>
    <w:rsid w:val="00404523"/>
    <w:rsid w:val="004047C5"/>
    <w:rsid w:val="00404F0E"/>
    <w:rsid w:val="0040500B"/>
    <w:rsid w:val="004058C3"/>
    <w:rsid w:val="004058FE"/>
    <w:rsid w:val="0040597A"/>
    <w:rsid w:val="00405B45"/>
    <w:rsid w:val="00405CA1"/>
    <w:rsid w:val="00405F0C"/>
    <w:rsid w:val="0040624D"/>
    <w:rsid w:val="004063C0"/>
    <w:rsid w:val="00406F45"/>
    <w:rsid w:val="004072D6"/>
    <w:rsid w:val="00407316"/>
    <w:rsid w:val="00407C2B"/>
    <w:rsid w:val="00410199"/>
    <w:rsid w:val="004102D1"/>
    <w:rsid w:val="0041030D"/>
    <w:rsid w:val="0041044E"/>
    <w:rsid w:val="0041087C"/>
    <w:rsid w:val="004109F3"/>
    <w:rsid w:val="00410BEC"/>
    <w:rsid w:val="00410C43"/>
    <w:rsid w:val="00410CED"/>
    <w:rsid w:val="00410F2E"/>
    <w:rsid w:val="004114F3"/>
    <w:rsid w:val="00411734"/>
    <w:rsid w:val="00411822"/>
    <w:rsid w:val="00411839"/>
    <w:rsid w:val="00411B6A"/>
    <w:rsid w:val="00411EBF"/>
    <w:rsid w:val="00412164"/>
    <w:rsid w:val="004121AD"/>
    <w:rsid w:val="004121C1"/>
    <w:rsid w:val="0041263B"/>
    <w:rsid w:val="004127F6"/>
    <w:rsid w:val="0041325C"/>
    <w:rsid w:val="00413318"/>
    <w:rsid w:val="00413589"/>
    <w:rsid w:val="004135A2"/>
    <w:rsid w:val="004135FC"/>
    <w:rsid w:val="004137F4"/>
    <w:rsid w:val="004137FA"/>
    <w:rsid w:val="00413861"/>
    <w:rsid w:val="00413A17"/>
    <w:rsid w:val="00413A82"/>
    <w:rsid w:val="00413D80"/>
    <w:rsid w:val="00413DB8"/>
    <w:rsid w:val="00413F39"/>
    <w:rsid w:val="00413F3D"/>
    <w:rsid w:val="00413F5F"/>
    <w:rsid w:val="00414031"/>
    <w:rsid w:val="00414072"/>
    <w:rsid w:val="004140A5"/>
    <w:rsid w:val="004143C8"/>
    <w:rsid w:val="0041440C"/>
    <w:rsid w:val="0041456E"/>
    <w:rsid w:val="0041469E"/>
    <w:rsid w:val="0041476A"/>
    <w:rsid w:val="00414A45"/>
    <w:rsid w:val="00414AD1"/>
    <w:rsid w:val="00414FBD"/>
    <w:rsid w:val="004150B3"/>
    <w:rsid w:val="0041514F"/>
    <w:rsid w:val="0041517D"/>
    <w:rsid w:val="0041522F"/>
    <w:rsid w:val="0041533B"/>
    <w:rsid w:val="004159DE"/>
    <w:rsid w:val="00415F1C"/>
    <w:rsid w:val="0041606A"/>
    <w:rsid w:val="004162BD"/>
    <w:rsid w:val="00416311"/>
    <w:rsid w:val="00416443"/>
    <w:rsid w:val="004164D2"/>
    <w:rsid w:val="00416A70"/>
    <w:rsid w:val="00416DB8"/>
    <w:rsid w:val="00416DDE"/>
    <w:rsid w:val="00416E02"/>
    <w:rsid w:val="00416EFE"/>
    <w:rsid w:val="004170F0"/>
    <w:rsid w:val="00417286"/>
    <w:rsid w:val="00417444"/>
    <w:rsid w:val="004174F6"/>
    <w:rsid w:val="00417B27"/>
    <w:rsid w:val="00417BDC"/>
    <w:rsid w:val="00417BDF"/>
    <w:rsid w:val="00417EBD"/>
    <w:rsid w:val="00420108"/>
    <w:rsid w:val="004205D4"/>
    <w:rsid w:val="00420739"/>
    <w:rsid w:val="0042084C"/>
    <w:rsid w:val="00420925"/>
    <w:rsid w:val="00420EA2"/>
    <w:rsid w:val="00420FBC"/>
    <w:rsid w:val="00420FD3"/>
    <w:rsid w:val="00421215"/>
    <w:rsid w:val="004215BE"/>
    <w:rsid w:val="00421B09"/>
    <w:rsid w:val="00421E56"/>
    <w:rsid w:val="00421EAC"/>
    <w:rsid w:val="0042224B"/>
    <w:rsid w:val="0042228C"/>
    <w:rsid w:val="004222BA"/>
    <w:rsid w:val="00422426"/>
    <w:rsid w:val="004226D9"/>
    <w:rsid w:val="0042284B"/>
    <w:rsid w:val="0042296B"/>
    <w:rsid w:val="00422B96"/>
    <w:rsid w:val="00422CE8"/>
    <w:rsid w:val="0042306E"/>
    <w:rsid w:val="004231E3"/>
    <w:rsid w:val="00423332"/>
    <w:rsid w:val="004236D9"/>
    <w:rsid w:val="0042372A"/>
    <w:rsid w:val="00423941"/>
    <w:rsid w:val="00423BEA"/>
    <w:rsid w:val="00423D22"/>
    <w:rsid w:val="00423DAE"/>
    <w:rsid w:val="00423E71"/>
    <w:rsid w:val="00423F11"/>
    <w:rsid w:val="00424043"/>
    <w:rsid w:val="00424218"/>
    <w:rsid w:val="00424256"/>
    <w:rsid w:val="00424307"/>
    <w:rsid w:val="004244FA"/>
    <w:rsid w:val="004247F2"/>
    <w:rsid w:val="0042486B"/>
    <w:rsid w:val="00424975"/>
    <w:rsid w:val="00424A21"/>
    <w:rsid w:val="00424D98"/>
    <w:rsid w:val="00424F41"/>
    <w:rsid w:val="004250BA"/>
    <w:rsid w:val="0042579B"/>
    <w:rsid w:val="00425986"/>
    <w:rsid w:val="00425F37"/>
    <w:rsid w:val="00425FA2"/>
    <w:rsid w:val="00426384"/>
    <w:rsid w:val="004263EB"/>
    <w:rsid w:val="00426648"/>
    <w:rsid w:val="00426B70"/>
    <w:rsid w:val="00426D43"/>
    <w:rsid w:val="00426D75"/>
    <w:rsid w:val="004270A7"/>
    <w:rsid w:val="00427447"/>
    <w:rsid w:val="00427652"/>
    <w:rsid w:val="00427665"/>
    <w:rsid w:val="00427764"/>
    <w:rsid w:val="004277C0"/>
    <w:rsid w:val="00430068"/>
    <w:rsid w:val="0043019A"/>
    <w:rsid w:val="004301BF"/>
    <w:rsid w:val="004305D2"/>
    <w:rsid w:val="00430665"/>
    <w:rsid w:val="00430A6F"/>
    <w:rsid w:val="00430B62"/>
    <w:rsid w:val="00430DB6"/>
    <w:rsid w:val="00430DC3"/>
    <w:rsid w:val="00430E1A"/>
    <w:rsid w:val="00431104"/>
    <w:rsid w:val="004312B1"/>
    <w:rsid w:val="004312F2"/>
    <w:rsid w:val="004313BC"/>
    <w:rsid w:val="00431A23"/>
    <w:rsid w:val="00431A2B"/>
    <w:rsid w:val="00431C25"/>
    <w:rsid w:val="00431C8C"/>
    <w:rsid w:val="00431CAD"/>
    <w:rsid w:val="00431D07"/>
    <w:rsid w:val="00431D5E"/>
    <w:rsid w:val="00431E2C"/>
    <w:rsid w:val="00432190"/>
    <w:rsid w:val="0043251F"/>
    <w:rsid w:val="00432535"/>
    <w:rsid w:val="00432573"/>
    <w:rsid w:val="004325DB"/>
    <w:rsid w:val="00432858"/>
    <w:rsid w:val="00432871"/>
    <w:rsid w:val="004328FD"/>
    <w:rsid w:val="00432A16"/>
    <w:rsid w:val="00432ABC"/>
    <w:rsid w:val="00432D7A"/>
    <w:rsid w:val="00432D98"/>
    <w:rsid w:val="00432DD9"/>
    <w:rsid w:val="00432E06"/>
    <w:rsid w:val="00432EE3"/>
    <w:rsid w:val="00433344"/>
    <w:rsid w:val="004333B7"/>
    <w:rsid w:val="004335E9"/>
    <w:rsid w:val="004335EC"/>
    <w:rsid w:val="004336F9"/>
    <w:rsid w:val="00433729"/>
    <w:rsid w:val="00433A3A"/>
    <w:rsid w:val="00433AD2"/>
    <w:rsid w:val="00433B4B"/>
    <w:rsid w:val="00433BF9"/>
    <w:rsid w:val="00433DD8"/>
    <w:rsid w:val="004341A3"/>
    <w:rsid w:val="0043437F"/>
    <w:rsid w:val="0043487D"/>
    <w:rsid w:val="004348D1"/>
    <w:rsid w:val="00434A71"/>
    <w:rsid w:val="00434B91"/>
    <w:rsid w:val="00434C83"/>
    <w:rsid w:val="00434DF0"/>
    <w:rsid w:val="00434F36"/>
    <w:rsid w:val="0043547C"/>
    <w:rsid w:val="004354C5"/>
    <w:rsid w:val="00435537"/>
    <w:rsid w:val="0043554B"/>
    <w:rsid w:val="0043566A"/>
    <w:rsid w:val="00435684"/>
    <w:rsid w:val="0043586B"/>
    <w:rsid w:val="004358A2"/>
    <w:rsid w:val="00435CF6"/>
    <w:rsid w:val="00435D09"/>
    <w:rsid w:val="004361F2"/>
    <w:rsid w:val="00436462"/>
    <w:rsid w:val="0043650D"/>
    <w:rsid w:val="0043672A"/>
    <w:rsid w:val="00436980"/>
    <w:rsid w:val="00436D57"/>
    <w:rsid w:val="00436DE8"/>
    <w:rsid w:val="004372BF"/>
    <w:rsid w:val="0043792C"/>
    <w:rsid w:val="004379F1"/>
    <w:rsid w:val="00437AA5"/>
    <w:rsid w:val="00437D5F"/>
    <w:rsid w:val="00437E90"/>
    <w:rsid w:val="00437FCD"/>
    <w:rsid w:val="00440218"/>
    <w:rsid w:val="0044029F"/>
    <w:rsid w:val="00440850"/>
    <w:rsid w:val="004408FA"/>
    <w:rsid w:val="004409E3"/>
    <w:rsid w:val="00440A8D"/>
    <w:rsid w:val="004413DF"/>
    <w:rsid w:val="004417D6"/>
    <w:rsid w:val="0044183D"/>
    <w:rsid w:val="00441C03"/>
    <w:rsid w:val="00441FD7"/>
    <w:rsid w:val="00442146"/>
    <w:rsid w:val="004424F6"/>
    <w:rsid w:val="0044258A"/>
    <w:rsid w:val="0044286F"/>
    <w:rsid w:val="00442B0C"/>
    <w:rsid w:val="00442F82"/>
    <w:rsid w:val="00443177"/>
    <w:rsid w:val="00443201"/>
    <w:rsid w:val="0044320C"/>
    <w:rsid w:val="00443640"/>
    <w:rsid w:val="00443785"/>
    <w:rsid w:val="004438FF"/>
    <w:rsid w:val="00443990"/>
    <w:rsid w:val="00443CD7"/>
    <w:rsid w:val="00443DE2"/>
    <w:rsid w:val="00443DE8"/>
    <w:rsid w:val="004443C4"/>
    <w:rsid w:val="004444A7"/>
    <w:rsid w:val="0044457F"/>
    <w:rsid w:val="00444755"/>
    <w:rsid w:val="00444875"/>
    <w:rsid w:val="00444C98"/>
    <w:rsid w:val="00444D11"/>
    <w:rsid w:val="00444FE7"/>
    <w:rsid w:val="00445011"/>
    <w:rsid w:val="0044570B"/>
    <w:rsid w:val="0044571B"/>
    <w:rsid w:val="00445CAD"/>
    <w:rsid w:val="00446068"/>
    <w:rsid w:val="00446343"/>
    <w:rsid w:val="004463F7"/>
    <w:rsid w:val="004464A5"/>
    <w:rsid w:val="00446501"/>
    <w:rsid w:val="00446518"/>
    <w:rsid w:val="0044653B"/>
    <w:rsid w:val="00446578"/>
    <w:rsid w:val="004465F4"/>
    <w:rsid w:val="00446641"/>
    <w:rsid w:val="004467F5"/>
    <w:rsid w:val="00446856"/>
    <w:rsid w:val="00446C8C"/>
    <w:rsid w:val="00446D35"/>
    <w:rsid w:val="00446EB1"/>
    <w:rsid w:val="00446ECE"/>
    <w:rsid w:val="00447146"/>
    <w:rsid w:val="004471FC"/>
    <w:rsid w:val="00447424"/>
    <w:rsid w:val="004474B5"/>
    <w:rsid w:val="0044768C"/>
    <w:rsid w:val="004477FB"/>
    <w:rsid w:val="004478DD"/>
    <w:rsid w:val="00447C77"/>
    <w:rsid w:val="00447D44"/>
    <w:rsid w:val="00447D63"/>
    <w:rsid w:val="00447D9F"/>
    <w:rsid w:val="00450484"/>
    <w:rsid w:val="00450683"/>
    <w:rsid w:val="00450842"/>
    <w:rsid w:val="00450B6E"/>
    <w:rsid w:val="00450BBF"/>
    <w:rsid w:val="00450D65"/>
    <w:rsid w:val="00450E94"/>
    <w:rsid w:val="0045117D"/>
    <w:rsid w:val="004511EA"/>
    <w:rsid w:val="00451376"/>
    <w:rsid w:val="004513B6"/>
    <w:rsid w:val="00451A66"/>
    <w:rsid w:val="004522C7"/>
    <w:rsid w:val="00452513"/>
    <w:rsid w:val="00452917"/>
    <w:rsid w:val="00452ADE"/>
    <w:rsid w:val="00452BAB"/>
    <w:rsid w:val="00452C35"/>
    <w:rsid w:val="00452F39"/>
    <w:rsid w:val="004531BC"/>
    <w:rsid w:val="0045356E"/>
    <w:rsid w:val="0045396B"/>
    <w:rsid w:val="00453AEF"/>
    <w:rsid w:val="00453B84"/>
    <w:rsid w:val="00453E87"/>
    <w:rsid w:val="00453EAE"/>
    <w:rsid w:val="00454026"/>
    <w:rsid w:val="00454058"/>
    <w:rsid w:val="00454167"/>
    <w:rsid w:val="00454207"/>
    <w:rsid w:val="00454246"/>
    <w:rsid w:val="0045563E"/>
    <w:rsid w:val="00455830"/>
    <w:rsid w:val="00455C7F"/>
    <w:rsid w:val="00455D17"/>
    <w:rsid w:val="00455D1B"/>
    <w:rsid w:val="00455DDA"/>
    <w:rsid w:val="00455F11"/>
    <w:rsid w:val="00455FD1"/>
    <w:rsid w:val="0045607F"/>
    <w:rsid w:val="004563C1"/>
    <w:rsid w:val="004565DE"/>
    <w:rsid w:val="00456791"/>
    <w:rsid w:val="004568C5"/>
    <w:rsid w:val="004568E9"/>
    <w:rsid w:val="004568FA"/>
    <w:rsid w:val="00456A7C"/>
    <w:rsid w:val="00456D53"/>
    <w:rsid w:val="004572CD"/>
    <w:rsid w:val="00457A0A"/>
    <w:rsid w:val="00457DCA"/>
    <w:rsid w:val="00460DBA"/>
    <w:rsid w:val="004613C7"/>
    <w:rsid w:val="00461543"/>
    <w:rsid w:val="00461616"/>
    <w:rsid w:val="00461997"/>
    <w:rsid w:val="00461A2D"/>
    <w:rsid w:val="00461BED"/>
    <w:rsid w:val="00461D6B"/>
    <w:rsid w:val="00461D9B"/>
    <w:rsid w:val="00461F63"/>
    <w:rsid w:val="00462224"/>
    <w:rsid w:val="00462409"/>
    <w:rsid w:val="0046245B"/>
    <w:rsid w:val="0046250E"/>
    <w:rsid w:val="004625EF"/>
    <w:rsid w:val="00462619"/>
    <w:rsid w:val="004627EE"/>
    <w:rsid w:val="00462D08"/>
    <w:rsid w:val="00463080"/>
    <w:rsid w:val="0046327F"/>
    <w:rsid w:val="0046328B"/>
    <w:rsid w:val="0046333E"/>
    <w:rsid w:val="0046345F"/>
    <w:rsid w:val="004634B9"/>
    <w:rsid w:val="004634C4"/>
    <w:rsid w:val="004634FC"/>
    <w:rsid w:val="0046361F"/>
    <w:rsid w:val="0046370B"/>
    <w:rsid w:val="0046379A"/>
    <w:rsid w:val="004639DA"/>
    <w:rsid w:val="00463E3C"/>
    <w:rsid w:val="00463F52"/>
    <w:rsid w:val="004640C4"/>
    <w:rsid w:val="00464396"/>
    <w:rsid w:val="00464C24"/>
    <w:rsid w:val="00464E05"/>
    <w:rsid w:val="00464E73"/>
    <w:rsid w:val="00464FB2"/>
    <w:rsid w:val="00465029"/>
    <w:rsid w:val="00465371"/>
    <w:rsid w:val="004654B2"/>
    <w:rsid w:val="0046575F"/>
    <w:rsid w:val="00465ACD"/>
    <w:rsid w:val="00465C73"/>
    <w:rsid w:val="00465D56"/>
    <w:rsid w:val="00466007"/>
    <w:rsid w:val="0046613A"/>
    <w:rsid w:val="00466150"/>
    <w:rsid w:val="0046619A"/>
    <w:rsid w:val="004666D3"/>
    <w:rsid w:val="00467219"/>
    <w:rsid w:val="004673D6"/>
    <w:rsid w:val="0046747C"/>
    <w:rsid w:val="0046748F"/>
    <w:rsid w:val="0046788D"/>
    <w:rsid w:val="004678D6"/>
    <w:rsid w:val="00467E6C"/>
    <w:rsid w:val="004701F1"/>
    <w:rsid w:val="00470627"/>
    <w:rsid w:val="00470879"/>
    <w:rsid w:val="00470BA4"/>
    <w:rsid w:val="00470CC1"/>
    <w:rsid w:val="00470CD6"/>
    <w:rsid w:val="00470E5D"/>
    <w:rsid w:val="00470E99"/>
    <w:rsid w:val="00470E9D"/>
    <w:rsid w:val="0047105D"/>
    <w:rsid w:val="0047115B"/>
    <w:rsid w:val="004714BD"/>
    <w:rsid w:val="00471556"/>
    <w:rsid w:val="004716C3"/>
    <w:rsid w:val="004717DA"/>
    <w:rsid w:val="00471993"/>
    <w:rsid w:val="00471AAF"/>
    <w:rsid w:val="00472287"/>
    <w:rsid w:val="0047271A"/>
    <w:rsid w:val="00472928"/>
    <w:rsid w:val="00472D35"/>
    <w:rsid w:val="00472DCF"/>
    <w:rsid w:val="004737F4"/>
    <w:rsid w:val="00473920"/>
    <w:rsid w:val="0047428B"/>
    <w:rsid w:val="00474451"/>
    <w:rsid w:val="00474463"/>
    <w:rsid w:val="00474ACD"/>
    <w:rsid w:val="00474C9D"/>
    <w:rsid w:val="00474CC3"/>
    <w:rsid w:val="00474D8D"/>
    <w:rsid w:val="00474F89"/>
    <w:rsid w:val="0047518F"/>
    <w:rsid w:val="004754E0"/>
    <w:rsid w:val="004755E4"/>
    <w:rsid w:val="00475765"/>
    <w:rsid w:val="004758DB"/>
    <w:rsid w:val="00475B5A"/>
    <w:rsid w:val="00475B7F"/>
    <w:rsid w:val="0047634D"/>
    <w:rsid w:val="004764B0"/>
    <w:rsid w:val="004767FB"/>
    <w:rsid w:val="00476808"/>
    <w:rsid w:val="00476DAC"/>
    <w:rsid w:val="00476F32"/>
    <w:rsid w:val="00477346"/>
    <w:rsid w:val="00477428"/>
    <w:rsid w:val="0047765C"/>
    <w:rsid w:val="004779A3"/>
    <w:rsid w:val="00477A40"/>
    <w:rsid w:val="00477B95"/>
    <w:rsid w:val="00477BD0"/>
    <w:rsid w:val="00477F47"/>
    <w:rsid w:val="004801B1"/>
    <w:rsid w:val="00480495"/>
    <w:rsid w:val="004808DB"/>
    <w:rsid w:val="00480AAE"/>
    <w:rsid w:val="00481612"/>
    <w:rsid w:val="004817BE"/>
    <w:rsid w:val="00481809"/>
    <w:rsid w:val="004823CC"/>
    <w:rsid w:val="00482957"/>
    <w:rsid w:val="0048363E"/>
    <w:rsid w:val="00483D4A"/>
    <w:rsid w:val="00483DC8"/>
    <w:rsid w:val="00484213"/>
    <w:rsid w:val="004843F6"/>
    <w:rsid w:val="00484634"/>
    <w:rsid w:val="0048485B"/>
    <w:rsid w:val="00484A2F"/>
    <w:rsid w:val="00484B7C"/>
    <w:rsid w:val="00484C05"/>
    <w:rsid w:val="00485A22"/>
    <w:rsid w:val="00485E80"/>
    <w:rsid w:val="00485EFA"/>
    <w:rsid w:val="0048611A"/>
    <w:rsid w:val="00486277"/>
    <w:rsid w:val="0048641B"/>
    <w:rsid w:val="004866AC"/>
    <w:rsid w:val="004866EF"/>
    <w:rsid w:val="004868A0"/>
    <w:rsid w:val="0048697A"/>
    <w:rsid w:val="00486AC4"/>
    <w:rsid w:val="00486D02"/>
    <w:rsid w:val="00486EB3"/>
    <w:rsid w:val="004878F1"/>
    <w:rsid w:val="00487A60"/>
    <w:rsid w:val="00487AA2"/>
    <w:rsid w:val="00487B2A"/>
    <w:rsid w:val="00487D30"/>
    <w:rsid w:val="0049000C"/>
    <w:rsid w:val="00490042"/>
    <w:rsid w:val="0049080E"/>
    <w:rsid w:val="004908E5"/>
    <w:rsid w:val="00490A13"/>
    <w:rsid w:val="00490A3B"/>
    <w:rsid w:val="00490B88"/>
    <w:rsid w:val="00490D01"/>
    <w:rsid w:val="00490D39"/>
    <w:rsid w:val="004911AF"/>
    <w:rsid w:val="004913A1"/>
    <w:rsid w:val="00491502"/>
    <w:rsid w:val="00491821"/>
    <w:rsid w:val="00491A08"/>
    <w:rsid w:val="00491B6D"/>
    <w:rsid w:val="00491C4A"/>
    <w:rsid w:val="00491D1E"/>
    <w:rsid w:val="00491EFA"/>
    <w:rsid w:val="00491F1E"/>
    <w:rsid w:val="0049213F"/>
    <w:rsid w:val="00492159"/>
    <w:rsid w:val="00492331"/>
    <w:rsid w:val="00492332"/>
    <w:rsid w:val="004923D2"/>
    <w:rsid w:val="004923EA"/>
    <w:rsid w:val="0049244C"/>
    <w:rsid w:val="004924C2"/>
    <w:rsid w:val="004924D9"/>
    <w:rsid w:val="0049271B"/>
    <w:rsid w:val="00492758"/>
    <w:rsid w:val="004928D9"/>
    <w:rsid w:val="00492998"/>
    <w:rsid w:val="00492D80"/>
    <w:rsid w:val="00492E0F"/>
    <w:rsid w:val="00492F28"/>
    <w:rsid w:val="00493290"/>
    <w:rsid w:val="004933A5"/>
    <w:rsid w:val="0049345B"/>
    <w:rsid w:val="004934D0"/>
    <w:rsid w:val="0049360B"/>
    <w:rsid w:val="00493645"/>
    <w:rsid w:val="004937F3"/>
    <w:rsid w:val="00493927"/>
    <w:rsid w:val="00493A67"/>
    <w:rsid w:val="00493B95"/>
    <w:rsid w:val="00493D0E"/>
    <w:rsid w:val="00493EB6"/>
    <w:rsid w:val="00493F86"/>
    <w:rsid w:val="00494142"/>
    <w:rsid w:val="0049417E"/>
    <w:rsid w:val="004945B8"/>
    <w:rsid w:val="0049462A"/>
    <w:rsid w:val="004947CF"/>
    <w:rsid w:val="00494A2E"/>
    <w:rsid w:val="00494AF9"/>
    <w:rsid w:val="00494BAC"/>
    <w:rsid w:val="00494D7D"/>
    <w:rsid w:val="00494E8F"/>
    <w:rsid w:val="00495332"/>
    <w:rsid w:val="004955A9"/>
    <w:rsid w:val="00495BFC"/>
    <w:rsid w:val="00495E1F"/>
    <w:rsid w:val="00495E26"/>
    <w:rsid w:val="00495F46"/>
    <w:rsid w:val="00496020"/>
    <w:rsid w:val="004965DF"/>
    <w:rsid w:val="00496847"/>
    <w:rsid w:val="004968AE"/>
    <w:rsid w:val="00496A22"/>
    <w:rsid w:val="00496A44"/>
    <w:rsid w:val="00496AC4"/>
    <w:rsid w:val="00496C42"/>
    <w:rsid w:val="00496E07"/>
    <w:rsid w:val="00496F23"/>
    <w:rsid w:val="0049759B"/>
    <w:rsid w:val="004976C2"/>
    <w:rsid w:val="00497D61"/>
    <w:rsid w:val="004A0303"/>
    <w:rsid w:val="004A0576"/>
    <w:rsid w:val="004A075D"/>
    <w:rsid w:val="004A08D7"/>
    <w:rsid w:val="004A08E0"/>
    <w:rsid w:val="004A0943"/>
    <w:rsid w:val="004A0A6E"/>
    <w:rsid w:val="004A0CCF"/>
    <w:rsid w:val="004A0D2E"/>
    <w:rsid w:val="004A13CC"/>
    <w:rsid w:val="004A14C8"/>
    <w:rsid w:val="004A18B3"/>
    <w:rsid w:val="004A1BCC"/>
    <w:rsid w:val="004A1C28"/>
    <w:rsid w:val="004A1C35"/>
    <w:rsid w:val="004A22E6"/>
    <w:rsid w:val="004A24A3"/>
    <w:rsid w:val="004A258D"/>
    <w:rsid w:val="004A281C"/>
    <w:rsid w:val="004A2AE0"/>
    <w:rsid w:val="004A2B4E"/>
    <w:rsid w:val="004A2BF7"/>
    <w:rsid w:val="004A2C20"/>
    <w:rsid w:val="004A2CA5"/>
    <w:rsid w:val="004A2E47"/>
    <w:rsid w:val="004A33DA"/>
    <w:rsid w:val="004A35C7"/>
    <w:rsid w:val="004A363A"/>
    <w:rsid w:val="004A388F"/>
    <w:rsid w:val="004A3F84"/>
    <w:rsid w:val="004A3FC1"/>
    <w:rsid w:val="004A406D"/>
    <w:rsid w:val="004A4071"/>
    <w:rsid w:val="004A41E2"/>
    <w:rsid w:val="004A4560"/>
    <w:rsid w:val="004A4621"/>
    <w:rsid w:val="004A4A3E"/>
    <w:rsid w:val="004A4A79"/>
    <w:rsid w:val="004A4CFB"/>
    <w:rsid w:val="004A4F3E"/>
    <w:rsid w:val="004A5163"/>
    <w:rsid w:val="004A555E"/>
    <w:rsid w:val="004A5861"/>
    <w:rsid w:val="004A5925"/>
    <w:rsid w:val="004A5A80"/>
    <w:rsid w:val="004A5BA7"/>
    <w:rsid w:val="004A5C9D"/>
    <w:rsid w:val="004A5FC5"/>
    <w:rsid w:val="004A6893"/>
    <w:rsid w:val="004A6AB7"/>
    <w:rsid w:val="004A6E22"/>
    <w:rsid w:val="004A7063"/>
    <w:rsid w:val="004A7608"/>
    <w:rsid w:val="004A76AA"/>
    <w:rsid w:val="004B0098"/>
    <w:rsid w:val="004B00E0"/>
    <w:rsid w:val="004B02BF"/>
    <w:rsid w:val="004B0325"/>
    <w:rsid w:val="004B04E9"/>
    <w:rsid w:val="004B05E6"/>
    <w:rsid w:val="004B0B5D"/>
    <w:rsid w:val="004B0DC1"/>
    <w:rsid w:val="004B1047"/>
    <w:rsid w:val="004B131C"/>
    <w:rsid w:val="004B16F5"/>
    <w:rsid w:val="004B1A69"/>
    <w:rsid w:val="004B1B1D"/>
    <w:rsid w:val="004B1D6D"/>
    <w:rsid w:val="004B1E91"/>
    <w:rsid w:val="004B215E"/>
    <w:rsid w:val="004B24F2"/>
    <w:rsid w:val="004B25AB"/>
    <w:rsid w:val="004B25B1"/>
    <w:rsid w:val="004B2D1A"/>
    <w:rsid w:val="004B2D8D"/>
    <w:rsid w:val="004B331D"/>
    <w:rsid w:val="004B342D"/>
    <w:rsid w:val="004B347B"/>
    <w:rsid w:val="004B3545"/>
    <w:rsid w:val="004B37AC"/>
    <w:rsid w:val="004B3C22"/>
    <w:rsid w:val="004B3F51"/>
    <w:rsid w:val="004B3FDE"/>
    <w:rsid w:val="004B4063"/>
    <w:rsid w:val="004B48C9"/>
    <w:rsid w:val="004B48F5"/>
    <w:rsid w:val="004B4934"/>
    <w:rsid w:val="004B5279"/>
    <w:rsid w:val="004B57E9"/>
    <w:rsid w:val="004B5827"/>
    <w:rsid w:val="004B594F"/>
    <w:rsid w:val="004B5C9E"/>
    <w:rsid w:val="004B6470"/>
    <w:rsid w:val="004B647F"/>
    <w:rsid w:val="004B64BD"/>
    <w:rsid w:val="004B67E8"/>
    <w:rsid w:val="004B6AC8"/>
    <w:rsid w:val="004B6D7A"/>
    <w:rsid w:val="004B7184"/>
    <w:rsid w:val="004B75D0"/>
    <w:rsid w:val="004B778A"/>
    <w:rsid w:val="004B7B2E"/>
    <w:rsid w:val="004B7F45"/>
    <w:rsid w:val="004B7FD1"/>
    <w:rsid w:val="004C0054"/>
    <w:rsid w:val="004C00D1"/>
    <w:rsid w:val="004C01C3"/>
    <w:rsid w:val="004C0367"/>
    <w:rsid w:val="004C0681"/>
    <w:rsid w:val="004C075B"/>
    <w:rsid w:val="004C08DD"/>
    <w:rsid w:val="004C0B78"/>
    <w:rsid w:val="004C0CF7"/>
    <w:rsid w:val="004C108E"/>
    <w:rsid w:val="004C1144"/>
    <w:rsid w:val="004C163B"/>
    <w:rsid w:val="004C183D"/>
    <w:rsid w:val="004C1A4A"/>
    <w:rsid w:val="004C1FA7"/>
    <w:rsid w:val="004C1FB4"/>
    <w:rsid w:val="004C25A8"/>
    <w:rsid w:val="004C25F5"/>
    <w:rsid w:val="004C275E"/>
    <w:rsid w:val="004C27DE"/>
    <w:rsid w:val="004C2C07"/>
    <w:rsid w:val="004C2CB7"/>
    <w:rsid w:val="004C2D63"/>
    <w:rsid w:val="004C2E4F"/>
    <w:rsid w:val="004C2F2A"/>
    <w:rsid w:val="004C2FBC"/>
    <w:rsid w:val="004C312D"/>
    <w:rsid w:val="004C3148"/>
    <w:rsid w:val="004C3645"/>
    <w:rsid w:val="004C3748"/>
    <w:rsid w:val="004C37BF"/>
    <w:rsid w:val="004C38CC"/>
    <w:rsid w:val="004C3A9E"/>
    <w:rsid w:val="004C47C7"/>
    <w:rsid w:val="004C4C44"/>
    <w:rsid w:val="004C4D5F"/>
    <w:rsid w:val="004C5276"/>
    <w:rsid w:val="004C5530"/>
    <w:rsid w:val="004C58EA"/>
    <w:rsid w:val="004C5910"/>
    <w:rsid w:val="004C5C40"/>
    <w:rsid w:val="004C5CCA"/>
    <w:rsid w:val="004C5D37"/>
    <w:rsid w:val="004C6334"/>
    <w:rsid w:val="004C64C5"/>
    <w:rsid w:val="004C656D"/>
    <w:rsid w:val="004C6921"/>
    <w:rsid w:val="004C6A9F"/>
    <w:rsid w:val="004C6ACC"/>
    <w:rsid w:val="004C6CAB"/>
    <w:rsid w:val="004C6E0B"/>
    <w:rsid w:val="004C6E8E"/>
    <w:rsid w:val="004C7140"/>
    <w:rsid w:val="004C7219"/>
    <w:rsid w:val="004C7229"/>
    <w:rsid w:val="004C7582"/>
    <w:rsid w:val="004C75D2"/>
    <w:rsid w:val="004C7BD6"/>
    <w:rsid w:val="004C7D27"/>
    <w:rsid w:val="004C7DC2"/>
    <w:rsid w:val="004C7F85"/>
    <w:rsid w:val="004D02C7"/>
    <w:rsid w:val="004D0378"/>
    <w:rsid w:val="004D05DE"/>
    <w:rsid w:val="004D07F1"/>
    <w:rsid w:val="004D084B"/>
    <w:rsid w:val="004D0D66"/>
    <w:rsid w:val="004D104C"/>
    <w:rsid w:val="004D10AE"/>
    <w:rsid w:val="004D1159"/>
    <w:rsid w:val="004D16B9"/>
    <w:rsid w:val="004D1784"/>
    <w:rsid w:val="004D1B3F"/>
    <w:rsid w:val="004D22C7"/>
    <w:rsid w:val="004D2322"/>
    <w:rsid w:val="004D23EB"/>
    <w:rsid w:val="004D29A8"/>
    <w:rsid w:val="004D2A46"/>
    <w:rsid w:val="004D2AE4"/>
    <w:rsid w:val="004D2C76"/>
    <w:rsid w:val="004D2F73"/>
    <w:rsid w:val="004D2FA0"/>
    <w:rsid w:val="004D34DB"/>
    <w:rsid w:val="004D36F5"/>
    <w:rsid w:val="004D37A6"/>
    <w:rsid w:val="004D37CE"/>
    <w:rsid w:val="004D3878"/>
    <w:rsid w:val="004D388A"/>
    <w:rsid w:val="004D388D"/>
    <w:rsid w:val="004D3D27"/>
    <w:rsid w:val="004D3EE8"/>
    <w:rsid w:val="004D45F7"/>
    <w:rsid w:val="004D4995"/>
    <w:rsid w:val="004D49C4"/>
    <w:rsid w:val="004D4DFD"/>
    <w:rsid w:val="004D4E9F"/>
    <w:rsid w:val="004D5016"/>
    <w:rsid w:val="004D50B5"/>
    <w:rsid w:val="004D528C"/>
    <w:rsid w:val="004D5503"/>
    <w:rsid w:val="004D5547"/>
    <w:rsid w:val="004D5A10"/>
    <w:rsid w:val="004D5C87"/>
    <w:rsid w:val="004D5DF7"/>
    <w:rsid w:val="004D5E12"/>
    <w:rsid w:val="004D5F2A"/>
    <w:rsid w:val="004D6227"/>
    <w:rsid w:val="004D6326"/>
    <w:rsid w:val="004D64B1"/>
    <w:rsid w:val="004D64BB"/>
    <w:rsid w:val="004D64DE"/>
    <w:rsid w:val="004D6634"/>
    <w:rsid w:val="004D679A"/>
    <w:rsid w:val="004D6816"/>
    <w:rsid w:val="004D6826"/>
    <w:rsid w:val="004D6F8B"/>
    <w:rsid w:val="004D72A9"/>
    <w:rsid w:val="004D76BD"/>
    <w:rsid w:val="004D792B"/>
    <w:rsid w:val="004D7D2E"/>
    <w:rsid w:val="004D7E44"/>
    <w:rsid w:val="004D7E9F"/>
    <w:rsid w:val="004E00FB"/>
    <w:rsid w:val="004E049F"/>
    <w:rsid w:val="004E0544"/>
    <w:rsid w:val="004E07EB"/>
    <w:rsid w:val="004E07ED"/>
    <w:rsid w:val="004E0A7C"/>
    <w:rsid w:val="004E0A95"/>
    <w:rsid w:val="004E0BFE"/>
    <w:rsid w:val="004E0CCB"/>
    <w:rsid w:val="004E0CEA"/>
    <w:rsid w:val="004E0D5F"/>
    <w:rsid w:val="004E0E0D"/>
    <w:rsid w:val="004E1081"/>
    <w:rsid w:val="004E1272"/>
    <w:rsid w:val="004E129E"/>
    <w:rsid w:val="004E13B8"/>
    <w:rsid w:val="004E170E"/>
    <w:rsid w:val="004E1ADB"/>
    <w:rsid w:val="004E22D0"/>
    <w:rsid w:val="004E2382"/>
    <w:rsid w:val="004E2AEB"/>
    <w:rsid w:val="004E2C41"/>
    <w:rsid w:val="004E2F70"/>
    <w:rsid w:val="004E31AE"/>
    <w:rsid w:val="004E3297"/>
    <w:rsid w:val="004E3427"/>
    <w:rsid w:val="004E3684"/>
    <w:rsid w:val="004E386F"/>
    <w:rsid w:val="004E3DA3"/>
    <w:rsid w:val="004E415A"/>
    <w:rsid w:val="004E4206"/>
    <w:rsid w:val="004E485B"/>
    <w:rsid w:val="004E4C58"/>
    <w:rsid w:val="004E4C63"/>
    <w:rsid w:val="004E4D57"/>
    <w:rsid w:val="004E4D69"/>
    <w:rsid w:val="004E4E7D"/>
    <w:rsid w:val="004E501C"/>
    <w:rsid w:val="004E50FA"/>
    <w:rsid w:val="004E5961"/>
    <w:rsid w:val="004E5C3A"/>
    <w:rsid w:val="004E5DD5"/>
    <w:rsid w:val="004E5DF1"/>
    <w:rsid w:val="004E5E63"/>
    <w:rsid w:val="004E6079"/>
    <w:rsid w:val="004E62CA"/>
    <w:rsid w:val="004E647C"/>
    <w:rsid w:val="004E6587"/>
    <w:rsid w:val="004E6671"/>
    <w:rsid w:val="004E67B0"/>
    <w:rsid w:val="004E6B84"/>
    <w:rsid w:val="004E6B87"/>
    <w:rsid w:val="004E6BFA"/>
    <w:rsid w:val="004E73E4"/>
    <w:rsid w:val="004E75DD"/>
    <w:rsid w:val="004E761A"/>
    <w:rsid w:val="004E763B"/>
    <w:rsid w:val="004E7781"/>
    <w:rsid w:val="004E778F"/>
    <w:rsid w:val="004E78D2"/>
    <w:rsid w:val="004E7ACD"/>
    <w:rsid w:val="004E7D48"/>
    <w:rsid w:val="004E7D4B"/>
    <w:rsid w:val="004E7E6E"/>
    <w:rsid w:val="004E7EEC"/>
    <w:rsid w:val="004F0151"/>
    <w:rsid w:val="004F033E"/>
    <w:rsid w:val="004F03D5"/>
    <w:rsid w:val="004F069D"/>
    <w:rsid w:val="004F07F3"/>
    <w:rsid w:val="004F08EB"/>
    <w:rsid w:val="004F09BA"/>
    <w:rsid w:val="004F0D45"/>
    <w:rsid w:val="004F0DF8"/>
    <w:rsid w:val="004F0E68"/>
    <w:rsid w:val="004F1164"/>
    <w:rsid w:val="004F11EE"/>
    <w:rsid w:val="004F1264"/>
    <w:rsid w:val="004F12FA"/>
    <w:rsid w:val="004F133E"/>
    <w:rsid w:val="004F140E"/>
    <w:rsid w:val="004F16F0"/>
    <w:rsid w:val="004F17CE"/>
    <w:rsid w:val="004F18AA"/>
    <w:rsid w:val="004F1B97"/>
    <w:rsid w:val="004F2200"/>
    <w:rsid w:val="004F2452"/>
    <w:rsid w:val="004F24C0"/>
    <w:rsid w:val="004F28AD"/>
    <w:rsid w:val="004F2D33"/>
    <w:rsid w:val="004F2E36"/>
    <w:rsid w:val="004F30AF"/>
    <w:rsid w:val="004F30CB"/>
    <w:rsid w:val="004F3103"/>
    <w:rsid w:val="004F31BA"/>
    <w:rsid w:val="004F34A5"/>
    <w:rsid w:val="004F3AF8"/>
    <w:rsid w:val="004F3F21"/>
    <w:rsid w:val="004F4587"/>
    <w:rsid w:val="004F4BCE"/>
    <w:rsid w:val="004F50A2"/>
    <w:rsid w:val="004F5B1F"/>
    <w:rsid w:val="004F5C7B"/>
    <w:rsid w:val="004F61BF"/>
    <w:rsid w:val="004F627B"/>
    <w:rsid w:val="004F6311"/>
    <w:rsid w:val="004F63F3"/>
    <w:rsid w:val="004F6523"/>
    <w:rsid w:val="004F658C"/>
    <w:rsid w:val="004F6807"/>
    <w:rsid w:val="004F682E"/>
    <w:rsid w:val="004F6AF4"/>
    <w:rsid w:val="004F6F2A"/>
    <w:rsid w:val="004F6FB0"/>
    <w:rsid w:val="004F748D"/>
    <w:rsid w:val="004F7813"/>
    <w:rsid w:val="005002D8"/>
    <w:rsid w:val="005004EF"/>
    <w:rsid w:val="005007C4"/>
    <w:rsid w:val="00500917"/>
    <w:rsid w:val="00500D01"/>
    <w:rsid w:val="005010C9"/>
    <w:rsid w:val="00501177"/>
    <w:rsid w:val="005011B7"/>
    <w:rsid w:val="00501248"/>
    <w:rsid w:val="005014A5"/>
    <w:rsid w:val="005017A4"/>
    <w:rsid w:val="00501832"/>
    <w:rsid w:val="00501C1A"/>
    <w:rsid w:val="00501C71"/>
    <w:rsid w:val="00501FAA"/>
    <w:rsid w:val="00502050"/>
    <w:rsid w:val="00502283"/>
    <w:rsid w:val="005022AA"/>
    <w:rsid w:val="005022F8"/>
    <w:rsid w:val="00502457"/>
    <w:rsid w:val="005028D2"/>
    <w:rsid w:val="005028F3"/>
    <w:rsid w:val="00502BE3"/>
    <w:rsid w:val="00503300"/>
    <w:rsid w:val="00503653"/>
    <w:rsid w:val="005036CD"/>
    <w:rsid w:val="005038F7"/>
    <w:rsid w:val="00503B0B"/>
    <w:rsid w:val="00503D77"/>
    <w:rsid w:val="00503DDD"/>
    <w:rsid w:val="00503EF0"/>
    <w:rsid w:val="00503FBF"/>
    <w:rsid w:val="005042F8"/>
    <w:rsid w:val="005043F1"/>
    <w:rsid w:val="00504743"/>
    <w:rsid w:val="00504AE5"/>
    <w:rsid w:val="00504B01"/>
    <w:rsid w:val="00504F7E"/>
    <w:rsid w:val="00505340"/>
    <w:rsid w:val="005053A3"/>
    <w:rsid w:val="00505A17"/>
    <w:rsid w:val="00505C06"/>
    <w:rsid w:val="0050628E"/>
    <w:rsid w:val="0050660B"/>
    <w:rsid w:val="00506DE3"/>
    <w:rsid w:val="00507183"/>
    <w:rsid w:val="005072D8"/>
    <w:rsid w:val="005074A2"/>
    <w:rsid w:val="005074AB"/>
    <w:rsid w:val="005075CD"/>
    <w:rsid w:val="00507C5B"/>
    <w:rsid w:val="00507CA0"/>
    <w:rsid w:val="00507D16"/>
    <w:rsid w:val="00507E9D"/>
    <w:rsid w:val="00507EF6"/>
    <w:rsid w:val="005101BB"/>
    <w:rsid w:val="00510988"/>
    <w:rsid w:val="00510A85"/>
    <w:rsid w:val="00510C76"/>
    <w:rsid w:val="00510D26"/>
    <w:rsid w:val="005110FC"/>
    <w:rsid w:val="00511556"/>
    <w:rsid w:val="005117CA"/>
    <w:rsid w:val="00511E3F"/>
    <w:rsid w:val="0051240E"/>
    <w:rsid w:val="00512749"/>
    <w:rsid w:val="005127B4"/>
    <w:rsid w:val="00512847"/>
    <w:rsid w:val="00512A97"/>
    <w:rsid w:val="00512B81"/>
    <w:rsid w:val="00512C98"/>
    <w:rsid w:val="00512E6A"/>
    <w:rsid w:val="005132BD"/>
    <w:rsid w:val="005136A8"/>
    <w:rsid w:val="00513A3F"/>
    <w:rsid w:val="00513B29"/>
    <w:rsid w:val="00513B7C"/>
    <w:rsid w:val="00513C70"/>
    <w:rsid w:val="00513CD7"/>
    <w:rsid w:val="00513D11"/>
    <w:rsid w:val="00513D35"/>
    <w:rsid w:val="00513D56"/>
    <w:rsid w:val="00513D70"/>
    <w:rsid w:val="00514117"/>
    <w:rsid w:val="005141A8"/>
    <w:rsid w:val="00514340"/>
    <w:rsid w:val="0051485B"/>
    <w:rsid w:val="005148E1"/>
    <w:rsid w:val="00514955"/>
    <w:rsid w:val="00514AAC"/>
    <w:rsid w:val="00515526"/>
    <w:rsid w:val="005155DD"/>
    <w:rsid w:val="0051581C"/>
    <w:rsid w:val="005159E6"/>
    <w:rsid w:val="00515FCF"/>
    <w:rsid w:val="00515FD5"/>
    <w:rsid w:val="0051616B"/>
    <w:rsid w:val="005163D0"/>
    <w:rsid w:val="00516814"/>
    <w:rsid w:val="00516A28"/>
    <w:rsid w:val="00516AC4"/>
    <w:rsid w:val="00516B63"/>
    <w:rsid w:val="0051703E"/>
    <w:rsid w:val="00517238"/>
    <w:rsid w:val="00517423"/>
    <w:rsid w:val="00517969"/>
    <w:rsid w:val="005203DF"/>
    <w:rsid w:val="00520459"/>
    <w:rsid w:val="00520811"/>
    <w:rsid w:val="00520A5A"/>
    <w:rsid w:val="00520A65"/>
    <w:rsid w:val="00520F37"/>
    <w:rsid w:val="005214CE"/>
    <w:rsid w:val="00521527"/>
    <w:rsid w:val="00521644"/>
    <w:rsid w:val="005217BE"/>
    <w:rsid w:val="005218AD"/>
    <w:rsid w:val="00521DAB"/>
    <w:rsid w:val="00521E58"/>
    <w:rsid w:val="0052238D"/>
    <w:rsid w:val="00522449"/>
    <w:rsid w:val="00522626"/>
    <w:rsid w:val="0052269F"/>
    <w:rsid w:val="005228ED"/>
    <w:rsid w:val="00522C6F"/>
    <w:rsid w:val="005231A3"/>
    <w:rsid w:val="005235AE"/>
    <w:rsid w:val="005235B4"/>
    <w:rsid w:val="00523A30"/>
    <w:rsid w:val="00523C7A"/>
    <w:rsid w:val="0052408C"/>
    <w:rsid w:val="005244F9"/>
    <w:rsid w:val="00524586"/>
    <w:rsid w:val="00524616"/>
    <w:rsid w:val="00524668"/>
    <w:rsid w:val="00524872"/>
    <w:rsid w:val="0052489C"/>
    <w:rsid w:val="00524911"/>
    <w:rsid w:val="0052491E"/>
    <w:rsid w:val="00524A99"/>
    <w:rsid w:val="00524BFD"/>
    <w:rsid w:val="00524D28"/>
    <w:rsid w:val="0052504F"/>
    <w:rsid w:val="005259D1"/>
    <w:rsid w:val="005262F3"/>
    <w:rsid w:val="00526502"/>
    <w:rsid w:val="00526615"/>
    <w:rsid w:val="005268FE"/>
    <w:rsid w:val="005270E0"/>
    <w:rsid w:val="00527247"/>
    <w:rsid w:val="005272B9"/>
    <w:rsid w:val="005275F0"/>
    <w:rsid w:val="0052788C"/>
    <w:rsid w:val="0052788D"/>
    <w:rsid w:val="00527BD8"/>
    <w:rsid w:val="00527C83"/>
    <w:rsid w:val="00527E8E"/>
    <w:rsid w:val="00527FAA"/>
    <w:rsid w:val="0053001A"/>
    <w:rsid w:val="00530021"/>
    <w:rsid w:val="005300E4"/>
    <w:rsid w:val="00530410"/>
    <w:rsid w:val="00530575"/>
    <w:rsid w:val="005305BD"/>
    <w:rsid w:val="005308E5"/>
    <w:rsid w:val="00530962"/>
    <w:rsid w:val="00531193"/>
    <w:rsid w:val="0053130E"/>
    <w:rsid w:val="00531382"/>
    <w:rsid w:val="005313F8"/>
    <w:rsid w:val="00531465"/>
    <w:rsid w:val="0053198B"/>
    <w:rsid w:val="00531E06"/>
    <w:rsid w:val="00531E4F"/>
    <w:rsid w:val="005320E5"/>
    <w:rsid w:val="005322A1"/>
    <w:rsid w:val="005322C7"/>
    <w:rsid w:val="00532346"/>
    <w:rsid w:val="005325D2"/>
    <w:rsid w:val="0053281D"/>
    <w:rsid w:val="0053282A"/>
    <w:rsid w:val="005328F8"/>
    <w:rsid w:val="00532A3A"/>
    <w:rsid w:val="00532D15"/>
    <w:rsid w:val="00532DDB"/>
    <w:rsid w:val="00532E9B"/>
    <w:rsid w:val="00533203"/>
    <w:rsid w:val="00533861"/>
    <w:rsid w:val="00533B83"/>
    <w:rsid w:val="00533CBE"/>
    <w:rsid w:val="005341BC"/>
    <w:rsid w:val="0053427B"/>
    <w:rsid w:val="005342F3"/>
    <w:rsid w:val="00534347"/>
    <w:rsid w:val="0053489F"/>
    <w:rsid w:val="00534A3D"/>
    <w:rsid w:val="00534DF6"/>
    <w:rsid w:val="00534E64"/>
    <w:rsid w:val="00534E75"/>
    <w:rsid w:val="00534FC3"/>
    <w:rsid w:val="00535274"/>
    <w:rsid w:val="00535386"/>
    <w:rsid w:val="005353D5"/>
    <w:rsid w:val="005358D2"/>
    <w:rsid w:val="00535B14"/>
    <w:rsid w:val="00535B7C"/>
    <w:rsid w:val="00535F0A"/>
    <w:rsid w:val="00535FA1"/>
    <w:rsid w:val="0053602F"/>
    <w:rsid w:val="005360D5"/>
    <w:rsid w:val="00536248"/>
    <w:rsid w:val="005368EA"/>
    <w:rsid w:val="00536A7B"/>
    <w:rsid w:val="00536C98"/>
    <w:rsid w:val="00536D50"/>
    <w:rsid w:val="00536F5A"/>
    <w:rsid w:val="0053745B"/>
    <w:rsid w:val="005375BE"/>
    <w:rsid w:val="005378DF"/>
    <w:rsid w:val="00537A2A"/>
    <w:rsid w:val="00537D1D"/>
    <w:rsid w:val="005400DB"/>
    <w:rsid w:val="00540388"/>
    <w:rsid w:val="00540557"/>
    <w:rsid w:val="005406D7"/>
    <w:rsid w:val="0054078E"/>
    <w:rsid w:val="005407E8"/>
    <w:rsid w:val="00540B78"/>
    <w:rsid w:val="00542A5D"/>
    <w:rsid w:val="00542D6D"/>
    <w:rsid w:val="00542E11"/>
    <w:rsid w:val="00542F0D"/>
    <w:rsid w:val="00542F50"/>
    <w:rsid w:val="005430A5"/>
    <w:rsid w:val="0054327C"/>
    <w:rsid w:val="005432C3"/>
    <w:rsid w:val="005437AD"/>
    <w:rsid w:val="005439B4"/>
    <w:rsid w:val="00543D06"/>
    <w:rsid w:val="00543DE9"/>
    <w:rsid w:val="005442D4"/>
    <w:rsid w:val="0054499F"/>
    <w:rsid w:val="00545037"/>
    <w:rsid w:val="005451A7"/>
    <w:rsid w:val="005453A5"/>
    <w:rsid w:val="00545583"/>
    <w:rsid w:val="005456A3"/>
    <w:rsid w:val="00545936"/>
    <w:rsid w:val="00545B58"/>
    <w:rsid w:val="0054665A"/>
    <w:rsid w:val="0054679A"/>
    <w:rsid w:val="00546B29"/>
    <w:rsid w:val="00546B7F"/>
    <w:rsid w:val="00546D57"/>
    <w:rsid w:val="00547690"/>
    <w:rsid w:val="00547735"/>
    <w:rsid w:val="00547B28"/>
    <w:rsid w:val="00547C72"/>
    <w:rsid w:val="00547DFA"/>
    <w:rsid w:val="00547FCC"/>
    <w:rsid w:val="00550646"/>
    <w:rsid w:val="0055088E"/>
    <w:rsid w:val="0055090C"/>
    <w:rsid w:val="00550C2F"/>
    <w:rsid w:val="00550CE0"/>
    <w:rsid w:val="00551215"/>
    <w:rsid w:val="00551380"/>
    <w:rsid w:val="00551458"/>
    <w:rsid w:val="0055166F"/>
    <w:rsid w:val="0055170C"/>
    <w:rsid w:val="005518BF"/>
    <w:rsid w:val="00551C06"/>
    <w:rsid w:val="00551C14"/>
    <w:rsid w:val="00551E65"/>
    <w:rsid w:val="00551E87"/>
    <w:rsid w:val="0055270A"/>
    <w:rsid w:val="00552995"/>
    <w:rsid w:val="00552A24"/>
    <w:rsid w:val="00552F41"/>
    <w:rsid w:val="00553026"/>
    <w:rsid w:val="005531B0"/>
    <w:rsid w:val="0055342F"/>
    <w:rsid w:val="005535FA"/>
    <w:rsid w:val="00553807"/>
    <w:rsid w:val="00553A5E"/>
    <w:rsid w:val="00553A8C"/>
    <w:rsid w:val="00553B66"/>
    <w:rsid w:val="00553E2E"/>
    <w:rsid w:val="00553ED8"/>
    <w:rsid w:val="00554167"/>
    <w:rsid w:val="00554325"/>
    <w:rsid w:val="00554333"/>
    <w:rsid w:val="005544D8"/>
    <w:rsid w:val="005548AF"/>
    <w:rsid w:val="00554AF4"/>
    <w:rsid w:val="00554CC4"/>
    <w:rsid w:val="00555033"/>
    <w:rsid w:val="00555305"/>
    <w:rsid w:val="0055530C"/>
    <w:rsid w:val="0055532D"/>
    <w:rsid w:val="00555C43"/>
    <w:rsid w:val="00555D29"/>
    <w:rsid w:val="0055606A"/>
    <w:rsid w:val="005560C9"/>
    <w:rsid w:val="0055654E"/>
    <w:rsid w:val="00556618"/>
    <w:rsid w:val="005569E1"/>
    <w:rsid w:val="00556D05"/>
    <w:rsid w:val="00557139"/>
    <w:rsid w:val="00557181"/>
    <w:rsid w:val="0055726B"/>
    <w:rsid w:val="0055733B"/>
    <w:rsid w:val="005573BB"/>
    <w:rsid w:val="0055787A"/>
    <w:rsid w:val="005579BA"/>
    <w:rsid w:val="00557AAD"/>
    <w:rsid w:val="00557AEE"/>
    <w:rsid w:val="00557C3B"/>
    <w:rsid w:val="00557D25"/>
    <w:rsid w:val="00557FA0"/>
    <w:rsid w:val="0056075D"/>
    <w:rsid w:val="00560C4D"/>
    <w:rsid w:val="00560C5E"/>
    <w:rsid w:val="00561120"/>
    <w:rsid w:val="00561194"/>
    <w:rsid w:val="00561205"/>
    <w:rsid w:val="005613F6"/>
    <w:rsid w:val="005614E4"/>
    <w:rsid w:val="00561B59"/>
    <w:rsid w:val="00561DDF"/>
    <w:rsid w:val="00561EDD"/>
    <w:rsid w:val="005620BE"/>
    <w:rsid w:val="005622D8"/>
    <w:rsid w:val="00563339"/>
    <w:rsid w:val="00563470"/>
    <w:rsid w:val="0056355F"/>
    <w:rsid w:val="00563741"/>
    <w:rsid w:val="00563C24"/>
    <w:rsid w:val="00563C73"/>
    <w:rsid w:val="00563CFF"/>
    <w:rsid w:val="00563DB9"/>
    <w:rsid w:val="00563E02"/>
    <w:rsid w:val="00564C09"/>
    <w:rsid w:val="00564ED3"/>
    <w:rsid w:val="00565226"/>
    <w:rsid w:val="00565320"/>
    <w:rsid w:val="005654C8"/>
    <w:rsid w:val="0056559C"/>
    <w:rsid w:val="00565715"/>
    <w:rsid w:val="0056571D"/>
    <w:rsid w:val="00565911"/>
    <w:rsid w:val="00565921"/>
    <w:rsid w:val="00565979"/>
    <w:rsid w:val="00565B0E"/>
    <w:rsid w:val="00565BAD"/>
    <w:rsid w:val="00565C1C"/>
    <w:rsid w:val="00565FE2"/>
    <w:rsid w:val="00566053"/>
    <w:rsid w:val="00566366"/>
    <w:rsid w:val="0056638D"/>
    <w:rsid w:val="00566940"/>
    <w:rsid w:val="00566956"/>
    <w:rsid w:val="00566B2A"/>
    <w:rsid w:val="00566C7C"/>
    <w:rsid w:val="00566E14"/>
    <w:rsid w:val="00566E1F"/>
    <w:rsid w:val="00566E64"/>
    <w:rsid w:val="00566EC6"/>
    <w:rsid w:val="00567958"/>
    <w:rsid w:val="00567C00"/>
    <w:rsid w:val="00567D4F"/>
    <w:rsid w:val="00567DDA"/>
    <w:rsid w:val="005703D2"/>
    <w:rsid w:val="00570580"/>
    <w:rsid w:val="005705C5"/>
    <w:rsid w:val="00570CAE"/>
    <w:rsid w:val="00570E25"/>
    <w:rsid w:val="00570F72"/>
    <w:rsid w:val="005711AE"/>
    <w:rsid w:val="005715B1"/>
    <w:rsid w:val="005716C2"/>
    <w:rsid w:val="00571CB2"/>
    <w:rsid w:val="00572206"/>
    <w:rsid w:val="00572229"/>
    <w:rsid w:val="00572545"/>
    <w:rsid w:val="005725B2"/>
    <w:rsid w:val="005727F5"/>
    <w:rsid w:val="005727F8"/>
    <w:rsid w:val="0057280B"/>
    <w:rsid w:val="00572B04"/>
    <w:rsid w:val="00573350"/>
    <w:rsid w:val="00573647"/>
    <w:rsid w:val="00573A74"/>
    <w:rsid w:val="00573B3A"/>
    <w:rsid w:val="0057407D"/>
    <w:rsid w:val="0057417B"/>
    <w:rsid w:val="005741A8"/>
    <w:rsid w:val="00574748"/>
    <w:rsid w:val="0057476E"/>
    <w:rsid w:val="00574841"/>
    <w:rsid w:val="00574B85"/>
    <w:rsid w:val="00574CCF"/>
    <w:rsid w:val="00574DF9"/>
    <w:rsid w:val="00574EE1"/>
    <w:rsid w:val="00574F72"/>
    <w:rsid w:val="005752B5"/>
    <w:rsid w:val="0057549A"/>
    <w:rsid w:val="0057564A"/>
    <w:rsid w:val="00575934"/>
    <w:rsid w:val="00575984"/>
    <w:rsid w:val="00575F12"/>
    <w:rsid w:val="0057633D"/>
    <w:rsid w:val="00576393"/>
    <w:rsid w:val="005764F5"/>
    <w:rsid w:val="005766D4"/>
    <w:rsid w:val="005767CA"/>
    <w:rsid w:val="00576A2A"/>
    <w:rsid w:val="00576A43"/>
    <w:rsid w:val="00576AA9"/>
    <w:rsid w:val="00576B6C"/>
    <w:rsid w:val="00576B79"/>
    <w:rsid w:val="00576DB9"/>
    <w:rsid w:val="00576F48"/>
    <w:rsid w:val="00577333"/>
    <w:rsid w:val="00577369"/>
    <w:rsid w:val="0057771A"/>
    <w:rsid w:val="00577D39"/>
    <w:rsid w:val="00577DCD"/>
    <w:rsid w:val="0058004F"/>
    <w:rsid w:val="005801C1"/>
    <w:rsid w:val="005802FC"/>
    <w:rsid w:val="0058040E"/>
    <w:rsid w:val="005805B9"/>
    <w:rsid w:val="0058073A"/>
    <w:rsid w:val="00580AB5"/>
    <w:rsid w:val="00580AC0"/>
    <w:rsid w:val="0058104E"/>
    <w:rsid w:val="005811D4"/>
    <w:rsid w:val="00581542"/>
    <w:rsid w:val="00581B05"/>
    <w:rsid w:val="00581B63"/>
    <w:rsid w:val="00582152"/>
    <w:rsid w:val="00582344"/>
    <w:rsid w:val="005824D3"/>
    <w:rsid w:val="00582774"/>
    <w:rsid w:val="005828E9"/>
    <w:rsid w:val="0058297E"/>
    <w:rsid w:val="00582A56"/>
    <w:rsid w:val="00582C98"/>
    <w:rsid w:val="00583071"/>
    <w:rsid w:val="00583164"/>
    <w:rsid w:val="0058326F"/>
    <w:rsid w:val="005832E8"/>
    <w:rsid w:val="0058331C"/>
    <w:rsid w:val="005833C3"/>
    <w:rsid w:val="005839B3"/>
    <w:rsid w:val="00583AC7"/>
    <w:rsid w:val="00583B60"/>
    <w:rsid w:val="00584633"/>
    <w:rsid w:val="00584A4A"/>
    <w:rsid w:val="00584A54"/>
    <w:rsid w:val="00584AF5"/>
    <w:rsid w:val="00584B8B"/>
    <w:rsid w:val="00584F49"/>
    <w:rsid w:val="005850F9"/>
    <w:rsid w:val="0058510A"/>
    <w:rsid w:val="0058567F"/>
    <w:rsid w:val="005857FB"/>
    <w:rsid w:val="00585900"/>
    <w:rsid w:val="00585971"/>
    <w:rsid w:val="005859DB"/>
    <w:rsid w:val="00585A21"/>
    <w:rsid w:val="00585D68"/>
    <w:rsid w:val="00585D78"/>
    <w:rsid w:val="005860AB"/>
    <w:rsid w:val="0058630A"/>
    <w:rsid w:val="0058642D"/>
    <w:rsid w:val="00586589"/>
    <w:rsid w:val="0058699D"/>
    <w:rsid w:val="00586FC3"/>
    <w:rsid w:val="00587327"/>
    <w:rsid w:val="00587BB8"/>
    <w:rsid w:val="0059021B"/>
    <w:rsid w:val="005905AF"/>
    <w:rsid w:val="0059064F"/>
    <w:rsid w:val="0059080C"/>
    <w:rsid w:val="00591304"/>
    <w:rsid w:val="00591392"/>
    <w:rsid w:val="00591413"/>
    <w:rsid w:val="00591920"/>
    <w:rsid w:val="00591C55"/>
    <w:rsid w:val="005920FA"/>
    <w:rsid w:val="0059265F"/>
    <w:rsid w:val="00592695"/>
    <w:rsid w:val="00592796"/>
    <w:rsid w:val="0059283F"/>
    <w:rsid w:val="00592905"/>
    <w:rsid w:val="00592D13"/>
    <w:rsid w:val="00592D83"/>
    <w:rsid w:val="00592DF0"/>
    <w:rsid w:val="005936A8"/>
    <w:rsid w:val="00593822"/>
    <w:rsid w:val="00593897"/>
    <w:rsid w:val="00593BC9"/>
    <w:rsid w:val="00593C06"/>
    <w:rsid w:val="00593E04"/>
    <w:rsid w:val="00593FDD"/>
    <w:rsid w:val="00594099"/>
    <w:rsid w:val="0059433E"/>
    <w:rsid w:val="00594503"/>
    <w:rsid w:val="00594776"/>
    <w:rsid w:val="00594A36"/>
    <w:rsid w:val="00594A57"/>
    <w:rsid w:val="00594EF9"/>
    <w:rsid w:val="00595264"/>
    <w:rsid w:val="00595866"/>
    <w:rsid w:val="00595A23"/>
    <w:rsid w:val="00596407"/>
    <w:rsid w:val="00596653"/>
    <w:rsid w:val="00596A0F"/>
    <w:rsid w:val="00596C58"/>
    <w:rsid w:val="00596CCA"/>
    <w:rsid w:val="00596E89"/>
    <w:rsid w:val="00597AA0"/>
    <w:rsid w:val="00597D18"/>
    <w:rsid w:val="005A0007"/>
    <w:rsid w:val="005A0061"/>
    <w:rsid w:val="005A00CD"/>
    <w:rsid w:val="005A01DE"/>
    <w:rsid w:val="005A0239"/>
    <w:rsid w:val="005A0293"/>
    <w:rsid w:val="005A0310"/>
    <w:rsid w:val="005A066F"/>
    <w:rsid w:val="005A0681"/>
    <w:rsid w:val="005A0A67"/>
    <w:rsid w:val="005A0BDD"/>
    <w:rsid w:val="005A0D9F"/>
    <w:rsid w:val="005A0E59"/>
    <w:rsid w:val="005A0ECD"/>
    <w:rsid w:val="005A1029"/>
    <w:rsid w:val="005A1109"/>
    <w:rsid w:val="005A17FD"/>
    <w:rsid w:val="005A1874"/>
    <w:rsid w:val="005A1888"/>
    <w:rsid w:val="005A18AC"/>
    <w:rsid w:val="005A18C0"/>
    <w:rsid w:val="005A1928"/>
    <w:rsid w:val="005A19D2"/>
    <w:rsid w:val="005A1ABA"/>
    <w:rsid w:val="005A1E6A"/>
    <w:rsid w:val="005A20C3"/>
    <w:rsid w:val="005A220F"/>
    <w:rsid w:val="005A23A7"/>
    <w:rsid w:val="005A25BA"/>
    <w:rsid w:val="005A27A4"/>
    <w:rsid w:val="005A28E5"/>
    <w:rsid w:val="005A2921"/>
    <w:rsid w:val="005A2BCB"/>
    <w:rsid w:val="005A2DE3"/>
    <w:rsid w:val="005A2F87"/>
    <w:rsid w:val="005A308A"/>
    <w:rsid w:val="005A3A0E"/>
    <w:rsid w:val="005A3AEC"/>
    <w:rsid w:val="005A3DDC"/>
    <w:rsid w:val="005A415B"/>
    <w:rsid w:val="005A4414"/>
    <w:rsid w:val="005A44C1"/>
    <w:rsid w:val="005A4804"/>
    <w:rsid w:val="005A4CC5"/>
    <w:rsid w:val="005A4E05"/>
    <w:rsid w:val="005A5134"/>
    <w:rsid w:val="005A5141"/>
    <w:rsid w:val="005A54A4"/>
    <w:rsid w:val="005A5540"/>
    <w:rsid w:val="005A59C2"/>
    <w:rsid w:val="005A5C9B"/>
    <w:rsid w:val="005A6034"/>
    <w:rsid w:val="005A6097"/>
    <w:rsid w:val="005A6141"/>
    <w:rsid w:val="005A6206"/>
    <w:rsid w:val="005A62C3"/>
    <w:rsid w:val="005A658F"/>
    <w:rsid w:val="005A663A"/>
    <w:rsid w:val="005A671D"/>
    <w:rsid w:val="005A6D0E"/>
    <w:rsid w:val="005A70A8"/>
    <w:rsid w:val="005A71B6"/>
    <w:rsid w:val="005A7299"/>
    <w:rsid w:val="005A778A"/>
    <w:rsid w:val="005A77B2"/>
    <w:rsid w:val="005A78FE"/>
    <w:rsid w:val="005A7A57"/>
    <w:rsid w:val="005A7AEA"/>
    <w:rsid w:val="005A7B60"/>
    <w:rsid w:val="005A7C89"/>
    <w:rsid w:val="005A7DE9"/>
    <w:rsid w:val="005A7FA3"/>
    <w:rsid w:val="005B0006"/>
    <w:rsid w:val="005B06A2"/>
    <w:rsid w:val="005B079B"/>
    <w:rsid w:val="005B0A09"/>
    <w:rsid w:val="005B0AB6"/>
    <w:rsid w:val="005B0ACE"/>
    <w:rsid w:val="005B0B30"/>
    <w:rsid w:val="005B0BEA"/>
    <w:rsid w:val="005B1325"/>
    <w:rsid w:val="005B13A5"/>
    <w:rsid w:val="005B1947"/>
    <w:rsid w:val="005B1BA2"/>
    <w:rsid w:val="005B1D64"/>
    <w:rsid w:val="005B1DEF"/>
    <w:rsid w:val="005B21FE"/>
    <w:rsid w:val="005B23F6"/>
    <w:rsid w:val="005B2BB7"/>
    <w:rsid w:val="005B2CB2"/>
    <w:rsid w:val="005B2D99"/>
    <w:rsid w:val="005B2EB0"/>
    <w:rsid w:val="005B2FE7"/>
    <w:rsid w:val="005B3369"/>
    <w:rsid w:val="005B39BE"/>
    <w:rsid w:val="005B39F6"/>
    <w:rsid w:val="005B4542"/>
    <w:rsid w:val="005B45DB"/>
    <w:rsid w:val="005B4620"/>
    <w:rsid w:val="005B468B"/>
    <w:rsid w:val="005B485F"/>
    <w:rsid w:val="005B4963"/>
    <w:rsid w:val="005B4A87"/>
    <w:rsid w:val="005B4B9D"/>
    <w:rsid w:val="005B5118"/>
    <w:rsid w:val="005B557C"/>
    <w:rsid w:val="005B5A14"/>
    <w:rsid w:val="005B5DB7"/>
    <w:rsid w:val="005B65E0"/>
    <w:rsid w:val="005B6732"/>
    <w:rsid w:val="005B6788"/>
    <w:rsid w:val="005B6859"/>
    <w:rsid w:val="005B70F0"/>
    <w:rsid w:val="005B72AB"/>
    <w:rsid w:val="005B7318"/>
    <w:rsid w:val="005B780C"/>
    <w:rsid w:val="005B7BD7"/>
    <w:rsid w:val="005B7D52"/>
    <w:rsid w:val="005B7F30"/>
    <w:rsid w:val="005B7F38"/>
    <w:rsid w:val="005B7FE7"/>
    <w:rsid w:val="005C00A3"/>
    <w:rsid w:val="005C031D"/>
    <w:rsid w:val="005C05DF"/>
    <w:rsid w:val="005C0BC2"/>
    <w:rsid w:val="005C0C3E"/>
    <w:rsid w:val="005C12EA"/>
    <w:rsid w:val="005C14EA"/>
    <w:rsid w:val="005C156F"/>
    <w:rsid w:val="005C17AA"/>
    <w:rsid w:val="005C17E6"/>
    <w:rsid w:val="005C17EC"/>
    <w:rsid w:val="005C186F"/>
    <w:rsid w:val="005C1923"/>
    <w:rsid w:val="005C1E19"/>
    <w:rsid w:val="005C258B"/>
    <w:rsid w:val="005C25FA"/>
    <w:rsid w:val="005C2653"/>
    <w:rsid w:val="005C2BD0"/>
    <w:rsid w:val="005C2D7E"/>
    <w:rsid w:val="005C2E87"/>
    <w:rsid w:val="005C32C6"/>
    <w:rsid w:val="005C3512"/>
    <w:rsid w:val="005C40E9"/>
    <w:rsid w:val="005C42F9"/>
    <w:rsid w:val="005C439D"/>
    <w:rsid w:val="005C45E6"/>
    <w:rsid w:val="005C466D"/>
    <w:rsid w:val="005C4E5D"/>
    <w:rsid w:val="005C53DD"/>
    <w:rsid w:val="005C58EC"/>
    <w:rsid w:val="005C5915"/>
    <w:rsid w:val="005C5918"/>
    <w:rsid w:val="005C5D15"/>
    <w:rsid w:val="005C60B9"/>
    <w:rsid w:val="005C63B4"/>
    <w:rsid w:val="005C6437"/>
    <w:rsid w:val="005C6476"/>
    <w:rsid w:val="005C64BE"/>
    <w:rsid w:val="005C666C"/>
    <w:rsid w:val="005C6C0D"/>
    <w:rsid w:val="005C6C17"/>
    <w:rsid w:val="005C6D50"/>
    <w:rsid w:val="005C7223"/>
    <w:rsid w:val="005C7373"/>
    <w:rsid w:val="005C743C"/>
    <w:rsid w:val="005C7633"/>
    <w:rsid w:val="005C764A"/>
    <w:rsid w:val="005C775E"/>
    <w:rsid w:val="005C7A92"/>
    <w:rsid w:val="005C7E84"/>
    <w:rsid w:val="005C7F22"/>
    <w:rsid w:val="005D01FC"/>
    <w:rsid w:val="005D031D"/>
    <w:rsid w:val="005D03CD"/>
    <w:rsid w:val="005D0544"/>
    <w:rsid w:val="005D05C1"/>
    <w:rsid w:val="005D07A0"/>
    <w:rsid w:val="005D0BAC"/>
    <w:rsid w:val="005D0D15"/>
    <w:rsid w:val="005D0DC9"/>
    <w:rsid w:val="005D14FB"/>
    <w:rsid w:val="005D1527"/>
    <w:rsid w:val="005D1546"/>
    <w:rsid w:val="005D15A2"/>
    <w:rsid w:val="005D1BC4"/>
    <w:rsid w:val="005D1F0D"/>
    <w:rsid w:val="005D1FB5"/>
    <w:rsid w:val="005D2071"/>
    <w:rsid w:val="005D215F"/>
    <w:rsid w:val="005D2543"/>
    <w:rsid w:val="005D3192"/>
    <w:rsid w:val="005D31E3"/>
    <w:rsid w:val="005D3366"/>
    <w:rsid w:val="005D3564"/>
    <w:rsid w:val="005D35A7"/>
    <w:rsid w:val="005D37FB"/>
    <w:rsid w:val="005D38D5"/>
    <w:rsid w:val="005D3947"/>
    <w:rsid w:val="005D3A44"/>
    <w:rsid w:val="005D3C7B"/>
    <w:rsid w:val="005D3E69"/>
    <w:rsid w:val="005D3EBA"/>
    <w:rsid w:val="005D3F7F"/>
    <w:rsid w:val="005D4248"/>
    <w:rsid w:val="005D4266"/>
    <w:rsid w:val="005D4392"/>
    <w:rsid w:val="005D43D8"/>
    <w:rsid w:val="005D4BCE"/>
    <w:rsid w:val="005D519B"/>
    <w:rsid w:val="005D5639"/>
    <w:rsid w:val="005D56BD"/>
    <w:rsid w:val="005D58E5"/>
    <w:rsid w:val="005D5994"/>
    <w:rsid w:val="005D5A3B"/>
    <w:rsid w:val="005D60B6"/>
    <w:rsid w:val="005D611F"/>
    <w:rsid w:val="005D61FC"/>
    <w:rsid w:val="005D6242"/>
    <w:rsid w:val="005D64D8"/>
    <w:rsid w:val="005D66D9"/>
    <w:rsid w:val="005D67CD"/>
    <w:rsid w:val="005D6952"/>
    <w:rsid w:val="005D6B58"/>
    <w:rsid w:val="005D6CE4"/>
    <w:rsid w:val="005D7108"/>
    <w:rsid w:val="005D718B"/>
    <w:rsid w:val="005D74C2"/>
    <w:rsid w:val="005D752C"/>
    <w:rsid w:val="005D7539"/>
    <w:rsid w:val="005D759F"/>
    <w:rsid w:val="005D7A05"/>
    <w:rsid w:val="005D7B1A"/>
    <w:rsid w:val="005D7CAA"/>
    <w:rsid w:val="005D7DAC"/>
    <w:rsid w:val="005D7DF7"/>
    <w:rsid w:val="005D7E22"/>
    <w:rsid w:val="005D7F23"/>
    <w:rsid w:val="005E001E"/>
    <w:rsid w:val="005E0317"/>
    <w:rsid w:val="005E0535"/>
    <w:rsid w:val="005E059C"/>
    <w:rsid w:val="005E06E4"/>
    <w:rsid w:val="005E0738"/>
    <w:rsid w:val="005E07D0"/>
    <w:rsid w:val="005E099A"/>
    <w:rsid w:val="005E0D42"/>
    <w:rsid w:val="005E1329"/>
    <w:rsid w:val="005E137B"/>
    <w:rsid w:val="005E1765"/>
    <w:rsid w:val="005E1A0F"/>
    <w:rsid w:val="005E1AE1"/>
    <w:rsid w:val="005E1E17"/>
    <w:rsid w:val="005E1FEA"/>
    <w:rsid w:val="005E2030"/>
    <w:rsid w:val="005E2033"/>
    <w:rsid w:val="005E2296"/>
    <w:rsid w:val="005E23C7"/>
    <w:rsid w:val="005E243A"/>
    <w:rsid w:val="005E2817"/>
    <w:rsid w:val="005E2B17"/>
    <w:rsid w:val="005E2B9C"/>
    <w:rsid w:val="005E2EEB"/>
    <w:rsid w:val="005E2FFA"/>
    <w:rsid w:val="005E3007"/>
    <w:rsid w:val="005E3014"/>
    <w:rsid w:val="005E33E3"/>
    <w:rsid w:val="005E36A2"/>
    <w:rsid w:val="005E3A9C"/>
    <w:rsid w:val="005E3B5E"/>
    <w:rsid w:val="005E4182"/>
    <w:rsid w:val="005E41FC"/>
    <w:rsid w:val="005E42B4"/>
    <w:rsid w:val="005E477A"/>
    <w:rsid w:val="005E47D4"/>
    <w:rsid w:val="005E4872"/>
    <w:rsid w:val="005E48C6"/>
    <w:rsid w:val="005E4D5A"/>
    <w:rsid w:val="005E50DA"/>
    <w:rsid w:val="005E54DD"/>
    <w:rsid w:val="005E57AA"/>
    <w:rsid w:val="005E59B7"/>
    <w:rsid w:val="005E5A31"/>
    <w:rsid w:val="005E5BC8"/>
    <w:rsid w:val="005E5CF3"/>
    <w:rsid w:val="005E5E87"/>
    <w:rsid w:val="005E6096"/>
    <w:rsid w:val="005E620B"/>
    <w:rsid w:val="005E63A5"/>
    <w:rsid w:val="005E6432"/>
    <w:rsid w:val="005E6688"/>
    <w:rsid w:val="005E6852"/>
    <w:rsid w:val="005E6945"/>
    <w:rsid w:val="005E6B75"/>
    <w:rsid w:val="005E6E95"/>
    <w:rsid w:val="005E6F2A"/>
    <w:rsid w:val="005E6FE0"/>
    <w:rsid w:val="005E6FF8"/>
    <w:rsid w:val="005E713A"/>
    <w:rsid w:val="005E750B"/>
    <w:rsid w:val="005E7703"/>
    <w:rsid w:val="005E7E68"/>
    <w:rsid w:val="005E7E88"/>
    <w:rsid w:val="005F0119"/>
    <w:rsid w:val="005F019F"/>
    <w:rsid w:val="005F0288"/>
    <w:rsid w:val="005F079A"/>
    <w:rsid w:val="005F0A56"/>
    <w:rsid w:val="005F0B2C"/>
    <w:rsid w:val="005F0D35"/>
    <w:rsid w:val="005F0E6A"/>
    <w:rsid w:val="005F1036"/>
    <w:rsid w:val="005F1380"/>
    <w:rsid w:val="005F1626"/>
    <w:rsid w:val="005F188C"/>
    <w:rsid w:val="005F19DF"/>
    <w:rsid w:val="005F1A14"/>
    <w:rsid w:val="005F1A7A"/>
    <w:rsid w:val="005F2150"/>
    <w:rsid w:val="005F21D1"/>
    <w:rsid w:val="005F2640"/>
    <w:rsid w:val="005F2656"/>
    <w:rsid w:val="005F26E8"/>
    <w:rsid w:val="005F2732"/>
    <w:rsid w:val="005F2751"/>
    <w:rsid w:val="005F27FE"/>
    <w:rsid w:val="005F2A16"/>
    <w:rsid w:val="005F2A97"/>
    <w:rsid w:val="005F3195"/>
    <w:rsid w:val="005F34D0"/>
    <w:rsid w:val="005F3888"/>
    <w:rsid w:val="005F3AE0"/>
    <w:rsid w:val="005F3C70"/>
    <w:rsid w:val="005F3D2B"/>
    <w:rsid w:val="005F3E84"/>
    <w:rsid w:val="005F41D6"/>
    <w:rsid w:val="005F4685"/>
    <w:rsid w:val="005F4816"/>
    <w:rsid w:val="005F48B3"/>
    <w:rsid w:val="005F4AED"/>
    <w:rsid w:val="005F4C05"/>
    <w:rsid w:val="005F4EA7"/>
    <w:rsid w:val="005F5199"/>
    <w:rsid w:val="005F53B0"/>
    <w:rsid w:val="005F53E5"/>
    <w:rsid w:val="005F56DD"/>
    <w:rsid w:val="005F5A18"/>
    <w:rsid w:val="005F5ADF"/>
    <w:rsid w:val="005F5BE1"/>
    <w:rsid w:val="005F5E46"/>
    <w:rsid w:val="005F5E4E"/>
    <w:rsid w:val="005F64B2"/>
    <w:rsid w:val="005F68E2"/>
    <w:rsid w:val="005F6945"/>
    <w:rsid w:val="005F6A1B"/>
    <w:rsid w:val="005F6A49"/>
    <w:rsid w:val="005F6A63"/>
    <w:rsid w:val="005F6BD7"/>
    <w:rsid w:val="005F6EA2"/>
    <w:rsid w:val="005F6EBB"/>
    <w:rsid w:val="005F6EFA"/>
    <w:rsid w:val="005F7490"/>
    <w:rsid w:val="005F74D1"/>
    <w:rsid w:val="005F78CB"/>
    <w:rsid w:val="005F78D1"/>
    <w:rsid w:val="005F7973"/>
    <w:rsid w:val="005F7C5C"/>
    <w:rsid w:val="005F7CF1"/>
    <w:rsid w:val="005F7ECF"/>
    <w:rsid w:val="006000F4"/>
    <w:rsid w:val="00600342"/>
    <w:rsid w:val="00600368"/>
    <w:rsid w:val="006005D6"/>
    <w:rsid w:val="00600678"/>
    <w:rsid w:val="006007C9"/>
    <w:rsid w:val="00600C75"/>
    <w:rsid w:val="00600E86"/>
    <w:rsid w:val="00601224"/>
    <w:rsid w:val="00601305"/>
    <w:rsid w:val="00601A0C"/>
    <w:rsid w:val="00601A81"/>
    <w:rsid w:val="00601E30"/>
    <w:rsid w:val="00601F0C"/>
    <w:rsid w:val="00601F81"/>
    <w:rsid w:val="00602262"/>
    <w:rsid w:val="00602525"/>
    <w:rsid w:val="00602C3E"/>
    <w:rsid w:val="00602F7A"/>
    <w:rsid w:val="00602FC2"/>
    <w:rsid w:val="00603013"/>
    <w:rsid w:val="006037AA"/>
    <w:rsid w:val="006037C9"/>
    <w:rsid w:val="00603842"/>
    <w:rsid w:val="00603B28"/>
    <w:rsid w:val="00603C23"/>
    <w:rsid w:val="00603DA7"/>
    <w:rsid w:val="00603FDF"/>
    <w:rsid w:val="00604038"/>
    <w:rsid w:val="0060403B"/>
    <w:rsid w:val="0060419A"/>
    <w:rsid w:val="006046B7"/>
    <w:rsid w:val="00604BD0"/>
    <w:rsid w:val="00604EF8"/>
    <w:rsid w:val="00605611"/>
    <w:rsid w:val="0060582B"/>
    <w:rsid w:val="00605892"/>
    <w:rsid w:val="00606044"/>
    <w:rsid w:val="00606275"/>
    <w:rsid w:val="0060647D"/>
    <w:rsid w:val="00606A49"/>
    <w:rsid w:val="00606B73"/>
    <w:rsid w:val="00606D02"/>
    <w:rsid w:val="00606DFE"/>
    <w:rsid w:val="006071D2"/>
    <w:rsid w:val="00607433"/>
    <w:rsid w:val="006076AC"/>
    <w:rsid w:val="006079D1"/>
    <w:rsid w:val="00607EA2"/>
    <w:rsid w:val="00607F1A"/>
    <w:rsid w:val="00607FAC"/>
    <w:rsid w:val="00610046"/>
    <w:rsid w:val="00610705"/>
    <w:rsid w:val="00610730"/>
    <w:rsid w:val="00610791"/>
    <w:rsid w:val="00610900"/>
    <w:rsid w:val="00610B6F"/>
    <w:rsid w:val="00610D9F"/>
    <w:rsid w:val="0061132E"/>
    <w:rsid w:val="006114CA"/>
    <w:rsid w:val="00611946"/>
    <w:rsid w:val="00611BBC"/>
    <w:rsid w:val="00611CFC"/>
    <w:rsid w:val="006121BD"/>
    <w:rsid w:val="00612607"/>
    <w:rsid w:val="00612E1F"/>
    <w:rsid w:val="00613635"/>
    <w:rsid w:val="00613CA8"/>
    <w:rsid w:val="00613D48"/>
    <w:rsid w:val="00613D6C"/>
    <w:rsid w:val="00613D6F"/>
    <w:rsid w:val="00613E17"/>
    <w:rsid w:val="006144FC"/>
    <w:rsid w:val="006147FC"/>
    <w:rsid w:val="006149C6"/>
    <w:rsid w:val="00614AC1"/>
    <w:rsid w:val="00614AFC"/>
    <w:rsid w:val="00614CFA"/>
    <w:rsid w:val="00614DEC"/>
    <w:rsid w:val="006151A1"/>
    <w:rsid w:val="00615425"/>
    <w:rsid w:val="006154CB"/>
    <w:rsid w:val="00615668"/>
    <w:rsid w:val="006159CB"/>
    <w:rsid w:val="006159D3"/>
    <w:rsid w:val="00615CB9"/>
    <w:rsid w:val="00615FEC"/>
    <w:rsid w:val="00616122"/>
    <w:rsid w:val="0061616E"/>
    <w:rsid w:val="006163D8"/>
    <w:rsid w:val="00616430"/>
    <w:rsid w:val="00616472"/>
    <w:rsid w:val="006164DE"/>
    <w:rsid w:val="006165BD"/>
    <w:rsid w:val="006166A2"/>
    <w:rsid w:val="006169D6"/>
    <w:rsid w:val="00616B70"/>
    <w:rsid w:val="00616CF0"/>
    <w:rsid w:val="00616FEE"/>
    <w:rsid w:val="00617268"/>
    <w:rsid w:val="00617381"/>
    <w:rsid w:val="00617809"/>
    <w:rsid w:val="00617ADA"/>
    <w:rsid w:val="00617AF5"/>
    <w:rsid w:val="00617E36"/>
    <w:rsid w:val="00617E51"/>
    <w:rsid w:val="006202F9"/>
    <w:rsid w:val="00620732"/>
    <w:rsid w:val="0062078A"/>
    <w:rsid w:val="0062087E"/>
    <w:rsid w:val="0062099A"/>
    <w:rsid w:val="00620ACE"/>
    <w:rsid w:val="00620C0E"/>
    <w:rsid w:val="00620CF5"/>
    <w:rsid w:val="00620E22"/>
    <w:rsid w:val="00620ED2"/>
    <w:rsid w:val="006215B1"/>
    <w:rsid w:val="00621AF6"/>
    <w:rsid w:val="00621B03"/>
    <w:rsid w:val="00621B91"/>
    <w:rsid w:val="00621D1D"/>
    <w:rsid w:val="00621D54"/>
    <w:rsid w:val="00621FF1"/>
    <w:rsid w:val="00622062"/>
    <w:rsid w:val="0062212F"/>
    <w:rsid w:val="00622216"/>
    <w:rsid w:val="00622267"/>
    <w:rsid w:val="0062239B"/>
    <w:rsid w:val="0062249B"/>
    <w:rsid w:val="00622573"/>
    <w:rsid w:val="0062258E"/>
    <w:rsid w:val="0062271F"/>
    <w:rsid w:val="006228A0"/>
    <w:rsid w:val="006229AD"/>
    <w:rsid w:val="006229DC"/>
    <w:rsid w:val="00622FC2"/>
    <w:rsid w:val="0062338B"/>
    <w:rsid w:val="0062361D"/>
    <w:rsid w:val="00623709"/>
    <w:rsid w:val="00623812"/>
    <w:rsid w:val="006238DD"/>
    <w:rsid w:val="00623902"/>
    <w:rsid w:val="00623D39"/>
    <w:rsid w:val="00623EE6"/>
    <w:rsid w:val="00623EF7"/>
    <w:rsid w:val="006240CC"/>
    <w:rsid w:val="006240F8"/>
    <w:rsid w:val="00624266"/>
    <w:rsid w:val="006246CF"/>
    <w:rsid w:val="00624A22"/>
    <w:rsid w:val="00624D97"/>
    <w:rsid w:val="00624F57"/>
    <w:rsid w:val="00625097"/>
    <w:rsid w:val="00625346"/>
    <w:rsid w:val="00625826"/>
    <w:rsid w:val="0062587C"/>
    <w:rsid w:val="00625EA1"/>
    <w:rsid w:val="006262D3"/>
    <w:rsid w:val="00626711"/>
    <w:rsid w:val="00626ABB"/>
    <w:rsid w:val="00626B90"/>
    <w:rsid w:val="00626D98"/>
    <w:rsid w:val="0062717D"/>
    <w:rsid w:val="00627886"/>
    <w:rsid w:val="00627985"/>
    <w:rsid w:val="00627A43"/>
    <w:rsid w:val="00627A55"/>
    <w:rsid w:val="00627AD7"/>
    <w:rsid w:val="00627C7B"/>
    <w:rsid w:val="00627D97"/>
    <w:rsid w:val="00627DBD"/>
    <w:rsid w:val="0063053C"/>
    <w:rsid w:val="00630681"/>
    <w:rsid w:val="00630787"/>
    <w:rsid w:val="00630832"/>
    <w:rsid w:val="006309B7"/>
    <w:rsid w:val="00630BFF"/>
    <w:rsid w:val="00630DDB"/>
    <w:rsid w:val="00630E5C"/>
    <w:rsid w:val="006312B4"/>
    <w:rsid w:val="0063168D"/>
    <w:rsid w:val="00631735"/>
    <w:rsid w:val="0063183F"/>
    <w:rsid w:val="00631C5F"/>
    <w:rsid w:val="00631D2D"/>
    <w:rsid w:val="006320A3"/>
    <w:rsid w:val="00632339"/>
    <w:rsid w:val="006326A6"/>
    <w:rsid w:val="0063283A"/>
    <w:rsid w:val="0063288A"/>
    <w:rsid w:val="00632957"/>
    <w:rsid w:val="00632971"/>
    <w:rsid w:val="006329BD"/>
    <w:rsid w:val="00632B64"/>
    <w:rsid w:val="00632BB8"/>
    <w:rsid w:val="00632F82"/>
    <w:rsid w:val="00633056"/>
    <w:rsid w:val="0063313F"/>
    <w:rsid w:val="0063319D"/>
    <w:rsid w:val="006333D1"/>
    <w:rsid w:val="00633442"/>
    <w:rsid w:val="00633672"/>
    <w:rsid w:val="006336DB"/>
    <w:rsid w:val="006342B7"/>
    <w:rsid w:val="00634329"/>
    <w:rsid w:val="00634351"/>
    <w:rsid w:val="0063468C"/>
    <w:rsid w:val="006349A6"/>
    <w:rsid w:val="006349D0"/>
    <w:rsid w:val="00634D5E"/>
    <w:rsid w:val="00634D93"/>
    <w:rsid w:val="00635591"/>
    <w:rsid w:val="006357A5"/>
    <w:rsid w:val="00635869"/>
    <w:rsid w:val="00635EE5"/>
    <w:rsid w:val="00636B62"/>
    <w:rsid w:val="00636EC0"/>
    <w:rsid w:val="0063711E"/>
    <w:rsid w:val="00637177"/>
    <w:rsid w:val="00637239"/>
    <w:rsid w:val="006373A9"/>
    <w:rsid w:val="00637408"/>
    <w:rsid w:val="006378FC"/>
    <w:rsid w:val="00637BDB"/>
    <w:rsid w:val="00640428"/>
    <w:rsid w:val="006406BB"/>
    <w:rsid w:val="00640D89"/>
    <w:rsid w:val="00640F33"/>
    <w:rsid w:val="0064114B"/>
    <w:rsid w:val="006411F4"/>
    <w:rsid w:val="006415CF"/>
    <w:rsid w:val="0064169C"/>
    <w:rsid w:val="0064183B"/>
    <w:rsid w:val="00641B40"/>
    <w:rsid w:val="00641DB8"/>
    <w:rsid w:val="00641E77"/>
    <w:rsid w:val="00641E8F"/>
    <w:rsid w:val="006420DF"/>
    <w:rsid w:val="00642184"/>
    <w:rsid w:val="006421AC"/>
    <w:rsid w:val="00642285"/>
    <w:rsid w:val="006422F3"/>
    <w:rsid w:val="00642722"/>
    <w:rsid w:val="006427E5"/>
    <w:rsid w:val="00642D77"/>
    <w:rsid w:val="00642F7C"/>
    <w:rsid w:val="00643081"/>
    <w:rsid w:val="006432ED"/>
    <w:rsid w:val="0064347D"/>
    <w:rsid w:val="00643D86"/>
    <w:rsid w:val="00643DE3"/>
    <w:rsid w:val="0064403E"/>
    <w:rsid w:val="0064457B"/>
    <w:rsid w:val="00644676"/>
    <w:rsid w:val="00644965"/>
    <w:rsid w:val="00644A40"/>
    <w:rsid w:val="00644C81"/>
    <w:rsid w:val="00644EE9"/>
    <w:rsid w:val="00645115"/>
    <w:rsid w:val="00645CAE"/>
    <w:rsid w:val="00645CFE"/>
    <w:rsid w:val="00645FE5"/>
    <w:rsid w:val="00645FFC"/>
    <w:rsid w:val="00646114"/>
    <w:rsid w:val="006465D3"/>
    <w:rsid w:val="006465E1"/>
    <w:rsid w:val="00646872"/>
    <w:rsid w:val="0064699E"/>
    <w:rsid w:val="00646A34"/>
    <w:rsid w:val="00647C17"/>
    <w:rsid w:val="00647DCF"/>
    <w:rsid w:val="00647DF1"/>
    <w:rsid w:val="00647E26"/>
    <w:rsid w:val="00647F8B"/>
    <w:rsid w:val="00650031"/>
    <w:rsid w:val="006501F0"/>
    <w:rsid w:val="006509D6"/>
    <w:rsid w:val="00650AFF"/>
    <w:rsid w:val="00650B88"/>
    <w:rsid w:val="006512E9"/>
    <w:rsid w:val="0065146C"/>
    <w:rsid w:val="00651607"/>
    <w:rsid w:val="00651776"/>
    <w:rsid w:val="0065192C"/>
    <w:rsid w:val="00651C87"/>
    <w:rsid w:val="00651F91"/>
    <w:rsid w:val="00652073"/>
    <w:rsid w:val="00652183"/>
    <w:rsid w:val="00652188"/>
    <w:rsid w:val="006521D4"/>
    <w:rsid w:val="00652314"/>
    <w:rsid w:val="00652354"/>
    <w:rsid w:val="00652661"/>
    <w:rsid w:val="00652920"/>
    <w:rsid w:val="00652CCB"/>
    <w:rsid w:val="00652DC3"/>
    <w:rsid w:val="00652DFA"/>
    <w:rsid w:val="00652EC8"/>
    <w:rsid w:val="0065395B"/>
    <w:rsid w:val="00653B3F"/>
    <w:rsid w:val="0065401E"/>
    <w:rsid w:val="0065406F"/>
    <w:rsid w:val="0065409A"/>
    <w:rsid w:val="0065414D"/>
    <w:rsid w:val="00654687"/>
    <w:rsid w:val="00654712"/>
    <w:rsid w:val="006547A8"/>
    <w:rsid w:val="006548A7"/>
    <w:rsid w:val="00654E70"/>
    <w:rsid w:val="006551CC"/>
    <w:rsid w:val="00655643"/>
    <w:rsid w:val="006557FA"/>
    <w:rsid w:val="00655A12"/>
    <w:rsid w:val="00655A76"/>
    <w:rsid w:val="00655CEE"/>
    <w:rsid w:val="00655F42"/>
    <w:rsid w:val="00656DDA"/>
    <w:rsid w:val="00656F83"/>
    <w:rsid w:val="00657117"/>
    <w:rsid w:val="0065718C"/>
    <w:rsid w:val="00657696"/>
    <w:rsid w:val="006578D6"/>
    <w:rsid w:val="006579E9"/>
    <w:rsid w:val="00657B83"/>
    <w:rsid w:val="00657FA1"/>
    <w:rsid w:val="0066028F"/>
    <w:rsid w:val="00660592"/>
    <w:rsid w:val="00660A49"/>
    <w:rsid w:val="00660C1B"/>
    <w:rsid w:val="00660CF5"/>
    <w:rsid w:val="00660D08"/>
    <w:rsid w:val="0066125C"/>
    <w:rsid w:val="0066146A"/>
    <w:rsid w:val="006618E1"/>
    <w:rsid w:val="006619AF"/>
    <w:rsid w:val="006621A1"/>
    <w:rsid w:val="006621D7"/>
    <w:rsid w:val="006622AE"/>
    <w:rsid w:val="006627CC"/>
    <w:rsid w:val="006627E2"/>
    <w:rsid w:val="006627E4"/>
    <w:rsid w:val="006629C2"/>
    <w:rsid w:val="00662A20"/>
    <w:rsid w:val="00662AC7"/>
    <w:rsid w:val="00662CFA"/>
    <w:rsid w:val="00662DA1"/>
    <w:rsid w:val="00662F21"/>
    <w:rsid w:val="00663004"/>
    <w:rsid w:val="006633D2"/>
    <w:rsid w:val="0066347A"/>
    <w:rsid w:val="00663819"/>
    <w:rsid w:val="006640A5"/>
    <w:rsid w:val="00664132"/>
    <w:rsid w:val="0066429E"/>
    <w:rsid w:val="006644A9"/>
    <w:rsid w:val="006644F9"/>
    <w:rsid w:val="00664544"/>
    <w:rsid w:val="00664B0A"/>
    <w:rsid w:val="00664B81"/>
    <w:rsid w:val="00664C51"/>
    <w:rsid w:val="00664F28"/>
    <w:rsid w:val="00664F4C"/>
    <w:rsid w:val="00665053"/>
    <w:rsid w:val="00665057"/>
    <w:rsid w:val="00665290"/>
    <w:rsid w:val="00665360"/>
    <w:rsid w:val="006653BF"/>
    <w:rsid w:val="006658F8"/>
    <w:rsid w:val="00665939"/>
    <w:rsid w:val="00665A3F"/>
    <w:rsid w:val="00665CF7"/>
    <w:rsid w:val="00665E22"/>
    <w:rsid w:val="00665E43"/>
    <w:rsid w:val="00666336"/>
    <w:rsid w:val="0066636B"/>
    <w:rsid w:val="00666396"/>
    <w:rsid w:val="00666413"/>
    <w:rsid w:val="00666680"/>
    <w:rsid w:val="0066674D"/>
    <w:rsid w:val="006669BA"/>
    <w:rsid w:val="00666BD3"/>
    <w:rsid w:val="00666E4C"/>
    <w:rsid w:val="0066778F"/>
    <w:rsid w:val="00667D82"/>
    <w:rsid w:val="00667DEC"/>
    <w:rsid w:val="00670138"/>
    <w:rsid w:val="006705BA"/>
    <w:rsid w:val="0067062E"/>
    <w:rsid w:val="00670B2D"/>
    <w:rsid w:val="00670B3E"/>
    <w:rsid w:val="00670CDE"/>
    <w:rsid w:val="00671680"/>
    <w:rsid w:val="006717B1"/>
    <w:rsid w:val="00671DCB"/>
    <w:rsid w:val="0067221B"/>
    <w:rsid w:val="006722FD"/>
    <w:rsid w:val="006725B1"/>
    <w:rsid w:val="0067277B"/>
    <w:rsid w:val="00672ADB"/>
    <w:rsid w:val="00672C50"/>
    <w:rsid w:val="00672CB2"/>
    <w:rsid w:val="00672FD6"/>
    <w:rsid w:val="00673207"/>
    <w:rsid w:val="006733EB"/>
    <w:rsid w:val="0067354D"/>
    <w:rsid w:val="006737AE"/>
    <w:rsid w:val="006739BA"/>
    <w:rsid w:val="006739DE"/>
    <w:rsid w:val="00673B67"/>
    <w:rsid w:val="00673C08"/>
    <w:rsid w:val="00673D42"/>
    <w:rsid w:val="00674324"/>
    <w:rsid w:val="006744E2"/>
    <w:rsid w:val="006745BD"/>
    <w:rsid w:val="006746A3"/>
    <w:rsid w:val="006747E7"/>
    <w:rsid w:val="00674882"/>
    <w:rsid w:val="006749C4"/>
    <w:rsid w:val="00674A45"/>
    <w:rsid w:val="00674ED1"/>
    <w:rsid w:val="006753CC"/>
    <w:rsid w:val="00675661"/>
    <w:rsid w:val="00675879"/>
    <w:rsid w:val="00675BC0"/>
    <w:rsid w:val="00675C60"/>
    <w:rsid w:val="00675CDB"/>
    <w:rsid w:val="00675ECA"/>
    <w:rsid w:val="00675EE5"/>
    <w:rsid w:val="00675FB5"/>
    <w:rsid w:val="00676A0F"/>
    <w:rsid w:val="00676A38"/>
    <w:rsid w:val="00676DDF"/>
    <w:rsid w:val="00676F5E"/>
    <w:rsid w:val="0067701F"/>
    <w:rsid w:val="006770C3"/>
    <w:rsid w:val="006770F5"/>
    <w:rsid w:val="00677251"/>
    <w:rsid w:val="0067745C"/>
    <w:rsid w:val="00677560"/>
    <w:rsid w:val="00677638"/>
    <w:rsid w:val="00677682"/>
    <w:rsid w:val="006777FB"/>
    <w:rsid w:val="00677C99"/>
    <w:rsid w:val="0068012D"/>
    <w:rsid w:val="00680145"/>
    <w:rsid w:val="006803B6"/>
    <w:rsid w:val="006805BD"/>
    <w:rsid w:val="0068077E"/>
    <w:rsid w:val="00680947"/>
    <w:rsid w:val="00680A2E"/>
    <w:rsid w:val="00680E4F"/>
    <w:rsid w:val="00680E54"/>
    <w:rsid w:val="0068125F"/>
    <w:rsid w:val="006812F8"/>
    <w:rsid w:val="0068192D"/>
    <w:rsid w:val="00681AF8"/>
    <w:rsid w:val="00681BE3"/>
    <w:rsid w:val="006820B7"/>
    <w:rsid w:val="0068210A"/>
    <w:rsid w:val="00682120"/>
    <w:rsid w:val="00682326"/>
    <w:rsid w:val="00682DA6"/>
    <w:rsid w:val="00682F02"/>
    <w:rsid w:val="006830BA"/>
    <w:rsid w:val="00683229"/>
    <w:rsid w:val="006835F8"/>
    <w:rsid w:val="00683A30"/>
    <w:rsid w:val="00683AA4"/>
    <w:rsid w:val="00683C94"/>
    <w:rsid w:val="00683D73"/>
    <w:rsid w:val="00683E3E"/>
    <w:rsid w:val="00683EF0"/>
    <w:rsid w:val="00684250"/>
    <w:rsid w:val="0068439B"/>
    <w:rsid w:val="006847A6"/>
    <w:rsid w:val="00684A0C"/>
    <w:rsid w:val="00684AF3"/>
    <w:rsid w:val="00684B54"/>
    <w:rsid w:val="00684E6F"/>
    <w:rsid w:val="00684E9C"/>
    <w:rsid w:val="00684F0C"/>
    <w:rsid w:val="00684FAC"/>
    <w:rsid w:val="006854B8"/>
    <w:rsid w:val="00685753"/>
    <w:rsid w:val="00685A67"/>
    <w:rsid w:val="00685DE0"/>
    <w:rsid w:val="00685E6E"/>
    <w:rsid w:val="00685F8B"/>
    <w:rsid w:val="0068617A"/>
    <w:rsid w:val="00686488"/>
    <w:rsid w:val="006865C6"/>
    <w:rsid w:val="00686A74"/>
    <w:rsid w:val="00686D13"/>
    <w:rsid w:val="00686D39"/>
    <w:rsid w:val="00686E3B"/>
    <w:rsid w:val="00686F1A"/>
    <w:rsid w:val="00686F55"/>
    <w:rsid w:val="00687007"/>
    <w:rsid w:val="006871AF"/>
    <w:rsid w:val="006873D6"/>
    <w:rsid w:val="0068742A"/>
    <w:rsid w:val="00687524"/>
    <w:rsid w:val="006879AE"/>
    <w:rsid w:val="006879B9"/>
    <w:rsid w:val="00687C02"/>
    <w:rsid w:val="00687F7A"/>
    <w:rsid w:val="00690727"/>
    <w:rsid w:val="00690823"/>
    <w:rsid w:val="00690927"/>
    <w:rsid w:val="00690971"/>
    <w:rsid w:val="006909FE"/>
    <w:rsid w:val="00690A8C"/>
    <w:rsid w:val="00690B0B"/>
    <w:rsid w:val="00690DA0"/>
    <w:rsid w:val="00690E4F"/>
    <w:rsid w:val="0069104E"/>
    <w:rsid w:val="00691209"/>
    <w:rsid w:val="0069158E"/>
    <w:rsid w:val="0069196C"/>
    <w:rsid w:val="006919F3"/>
    <w:rsid w:val="00691C7C"/>
    <w:rsid w:val="006922C1"/>
    <w:rsid w:val="006925AA"/>
    <w:rsid w:val="00692C5D"/>
    <w:rsid w:val="00692D58"/>
    <w:rsid w:val="00693274"/>
    <w:rsid w:val="006932C1"/>
    <w:rsid w:val="006937A5"/>
    <w:rsid w:val="006937EF"/>
    <w:rsid w:val="006939BC"/>
    <w:rsid w:val="00693A55"/>
    <w:rsid w:val="00693AD7"/>
    <w:rsid w:val="0069422B"/>
    <w:rsid w:val="00694B94"/>
    <w:rsid w:val="00694E09"/>
    <w:rsid w:val="0069502A"/>
    <w:rsid w:val="00695038"/>
    <w:rsid w:val="006950C2"/>
    <w:rsid w:val="006953AF"/>
    <w:rsid w:val="006956FF"/>
    <w:rsid w:val="00695AD5"/>
    <w:rsid w:val="00695C50"/>
    <w:rsid w:val="00696777"/>
    <w:rsid w:val="00696B74"/>
    <w:rsid w:val="00696C17"/>
    <w:rsid w:val="00696DE7"/>
    <w:rsid w:val="0069717E"/>
    <w:rsid w:val="006971C9"/>
    <w:rsid w:val="0069783F"/>
    <w:rsid w:val="00697B8D"/>
    <w:rsid w:val="00697C2F"/>
    <w:rsid w:val="006A0142"/>
    <w:rsid w:val="006A019C"/>
    <w:rsid w:val="006A035A"/>
    <w:rsid w:val="006A06D6"/>
    <w:rsid w:val="006A0F06"/>
    <w:rsid w:val="006A0F36"/>
    <w:rsid w:val="006A0FE0"/>
    <w:rsid w:val="006A10E1"/>
    <w:rsid w:val="006A1538"/>
    <w:rsid w:val="006A19D9"/>
    <w:rsid w:val="006A1C88"/>
    <w:rsid w:val="006A1D92"/>
    <w:rsid w:val="006A1D9C"/>
    <w:rsid w:val="006A1F3A"/>
    <w:rsid w:val="006A2195"/>
    <w:rsid w:val="006A21B5"/>
    <w:rsid w:val="006A2234"/>
    <w:rsid w:val="006A23AB"/>
    <w:rsid w:val="006A29D1"/>
    <w:rsid w:val="006A2DAB"/>
    <w:rsid w:val="006A2E7B"/>
    <w:rsid w:val="006A32AA"/>
    <w:rsid w:val="006A33EE"/>
    <w:rsid w:val="006A354E"/>
    <w:rsid w:val="006A3B03"/>
    <w:rsid w:val="006A3B80"/>
    <w:rsid w:val="006A3C17"/>
    <w:rsid w:val="006A3DD9"/>
    <w:rsid w:val="006A43E7"/>
    <w:rsid w:val="006A4700"/>
    <w:rsid w:val="006A47D3"/>
    <w:rsid w:val="006A4934"/>
    <w:rsid w:val="006A4A72"/>
    <w:rsid w:val="006A4DA0"/>
    <w:rsid w:val="006A58B8"/>
    <w:rsid w:val="006A591F"/>
    <w:rsid w:val="006A5978"/>
    <w:rsid w:val="006A5B17"/>
    <w:rsid w:val="006A5D69"/>
    <w:rsid w:val="006A5DE0"/>
    <w:rsid w:val="006A6386"/>
    <w:rsid w:val="006A685D"/>
    <w:rsid w:val="006A6AB3"/>
    <w:rsid w:val="006A6DB0"/>
    <w:rsid w:val="006A7492"/>
    <w:rsid w:val="006A753F"/>
    <w:rsid w:val="006A760F"/>
    <w:rsid w:val="006A76D2"/>
    <w:rsid w:val="006A78D6"/>
    <w:rsid w:val="006A79C9"/>
    <w:rsid w:val="006B012D"/>
    <w:rsid w:val="006B043B"/>
    <w:rsid w:val="006B054B"/>
    <w:rsid w:val="006B063E"/>
    <w:rsid w:val="006B06A3"/>
    <w:rsid w:val="006B0A22"/>
    <w:rsid w:val="006B0D48"/>
    <w:rsid w:val="006B0EDE"/>
    <w:rsid w:val="006B1101"/>
    <w:rsid w:val="006B11EC"/>
    <w:rsid w:val="006B1455"/>
    <w:rsid w:val="006B1521"/>
    <w:rsid w:val="006B1A63"/>
    <w:rsid w:val="006B20EE"/>
    <w:rsid w:val="006B216F"/>
    <w:rsid w:val="006B23B6"/>
    <w:rsid w:val="006B241A"/>
    <w:rsid w:val="006B2582"/>
    <w:rsid w:val="006B29C6"/>
    <w:rsid w:val="006B2AE5"/>
    <w:rsid w:val="006B2B3D"/>
    <w:rsid w:val="006B2BB0"/>
    <w:rsid w:val="006B2BF8"/>
    <w:rsid w:val="006B302F"/>
    <w:rsid w:val="006B305D"/>
    <w:rsid w:val="006B3782"/>
    <w:rsid w:val="006B3A1E"/>
    <w:rsid w:val="006B3AE1"/>
    <w:rsid w:val="006B3D75"/>
    <w:rsid w:val="006B3FFE"/>
    <w:rsid w:val="006B41CA"/>
    <w:rsid w:val="006B432F"/>
    <w:rsid w:val="006B4583"/>
    <w:rsid w:val="006B459C"/>
    <w:rsid w:val="006B47A1"/>
    <w:rsid w:val="006B4918"/>
    <w:rsid w:val="006B49B2"/>
    <w:rsid w:val="006B49C4"/>
    <w:rsid w:val="006B4BCA"/>
    <w:rsid w:val="006B4D41"/>
    <w:rsid w:val="006B4D84"/>
    <w:rsid w:val="006B4E0B"/>
    <w:rsid w:val="006B546B"/>
    <w:rsid w:val="006B55A4"/>
    <w:rsid w:val="006B60D5"/>
    <w:rsid w:val="006B61AB"/>
    <w:rsid w:val="006B61F9"/>
    <w:rsid w:val="006B6321"/>
    <w:rsid w:val="006B6AE1"/>
    <w:rsid w:val="006B6BFE"/>
    <w:rsid w:val="006B6F6F"/>
    <w:rsid w:val="006B6FB7"/>
    <w:rsid w:val="006B7232"/>
    <w:rsid w:val="006B7291"/>
    <w:rsid w:val="006B746E"/>
    <w:rsid w:val="006B749F"/>
    <w:rsid w:val="006B7528"/>
    <w:rsid w:val="006B7805"/>
    <w:rsid w:val="006B785A"/>
    <w:rsid w:val="006B78CE"/>
    <w:rsid w:val="006B7D2B"/>
    <w:rsid w:val="006B7DE3"/>
    <w:rsid w:val="006B7E41"/>
    <w:rsid w:val="006C0646"/>
    <w:rsid w:val="006C0833"/>
    <w:rsid w:val="006C0C75"/>
    <w:rsid w:val="006C0CFD"/>
    <w:rsid w:val="006C0E89"/>
    <w:rsid w:val="006C0EFE"/>
    <w:rsid w:val="006C12E5"/>
    <w:rsid w:val="006C14EB"/>
    <w:rsid w:val="006C1953"/>
    <w:rsid w:val="006C19EF"/>
    <w:rsid w:val="006C1A20"/>
    <w:rsid w:val="006C1B73"/>
    <w:rsid w:val="006C1C85"/>
    <w:rsid w:val="006C1E39"/>
    <w:rsid w:val="006C20E4"/>
    <w:rsid w:val="006C2251"/>
    <w:rsid w:val="006C22F5"/>
    <w:rsid w:val="006C2682"/>
    <w:rsid w:val="006C297C"/>
    <w:rsid w:val="006C2997"/>
    <w:rsid w:val="006C2CF5"/>
    <w:rsid w:val="006C2D93"/>
    <w:rsid w:val="006C2F86"/>
    <w:rsid w:val="006C3032"/>
    <w:rsid w:val="006C3276"/>
    <w:rsid w:val="006C3441"/>
    <w:rsid w:val="006C346A"/>
    <w:rsid w:val="006C3875"/>
    <w:rsid w:val="006C38F7"/>
    <w:rsid w:val="006C39AE"/>
    <w:rsid w:val="006C3C01"/>
    <w:rsid w:val="006C3F85"/>
    <w:rsid w:val="006C4100"/>
    <w:rsid w:val="006C41A3"/>
    <w:rsid w:val="006C41A7"/>
    <w:rsid w:val="006C4404"/>
    <w:rsid w:val="006C445C"/>
    <w:rsid w:val="006C45D6"/>
    <w:rsid w:val="006C45EF"/>
    <w:rsid w:val="006C475F"/>
    <w:rsid w:val="006C47CA"/>
    <w:rsid w:val="006C47CB"/>
    <w:rsid w:val="006C4A2B"/>
    <w:rsid w:val="006C4DBF"/>
    <w:rsid w:val="006C5BEE"/>
    <w:rsid w:val="006C5CA1"/>
    <w:rsid w:val="006C5E03"/>
    <w:rsid w:val="006C616E"/>
    <w:rsid w:val="006C6250"/>
    <w:rsid w:val="006C6417"/>
    <w:rsid w:val="006C6469"/>
    <w:rsid w:val="006C65A0"/>
    <w:rsid w:val="006C6678"/>
    <w:rsid w:val="006C6B5D"/>
    <w:rsid w:val="006C6B75"/>
    <w:rsid w:val="006C7058"/>
    <w:rsid w:val="006C71F6"/>
    <w:rsid w:val="006C7394"/>
    <w:rsid w:val="006C7502"/>
    <w:rsid w:val="006C7A85"/>
    <w:rsid w:val="006C7F50"/>
    <w:rsid w:val="006D0006"/>
    <w:rsid w:val="006D0143"/>
    <w:rsid w:val="006D0154"/>
    <w:rsid w:val="006D02FC"/>
    <w:rsid w:val="006D0682"/>
    <w:rsid w:val="006D068B"/>
    <w:rsid w:val="006D0E11"/>
    <w:rsid w:val="006D1050"/>
    <w:rsid w:val="006D137D"/>
    <w:rsid w:val="006D146B"/>
    <w:rsid w:val="006D1531"/>
    <w:rsid w:val="006D1532"/>
    <w:rsid w:val="006D1648"/>
    <w:rsid w:val="006D1710"/>
    <w:rsid w:val="006D17C4"/>
    <w:rsid w:val="006D19CE"/>
    <w:rsid w:val="006D1BD5"/>
    <w:rsid w:val="006D1C25"/>
    <w:rsid w:val="006D1C77"/>
    <w:rsid w:val="006D1F65"/>
    <w:rsid w:val="006D20CD"/>
    <w:rsid w:val="006D249F"/>
    <w:rsid w:val="006D2A58"/>
    <w:rsid w:val="006D2B01"/>
    <w:rsid w:val="006D2CB9"/>
    <w:rsid w:val="006D2EC4"/>
    <w:rsid w:val="006D333C"/>
    <w:rsid w:val="006D33C4"/>
    <w:rsid w:val="006D375D"/>
    <w:rsid w:val="006D3B27"/>
    <w:rsid w:val="006D3B69"/>
    <w:rsid w:val="006D3DAD"/>
    <w:rsid w:val="006D4162"/>
    <w:rsid w:val="006D425B"/>
    <w:rsid w:val="006D46D1"/>
    <w:rsid w:val="006D4E50"/>
    <w:rsid w:val="006D5016"/>
    <w:rsid w:val="006D5319"/>
    <w:rsid w:val="006D547E"/>
    <w:rsid w:val="006D5963"/>
    <w:rsid w:val="006D5D7E"/>
    <w:rsid w:val="006D5DA0"/>
    <w:rsid w:val="006D60E5"/>
    <w:rsid w:val="006D6214"/>
    <w:rsid w:val="006D6300"/>
    <w:rsid w:val="006D661B"/>
    <w:rsid w:val="006D66BF"/>
    <w:rsid w:val="006D672D"/>
    <w:rsid w:val="006D67D9"/>
    <w:rsid w:val="006D6898"/>
    <w:rsid w:val="006D6DDC"/>
    <w:rsid w:val="006D70C0"/>
    <w:rsid w:val="006D7544"/>
    <w:rsid w:val="006D76CE"/>
    <w:rsid w:val="006D787E"/>
    <w:rsid w:val="006D7978"/>
    <w:rsid w:val="006D7C69"/>
    <w:rsid w:val="006D7CB5"/>
    <w:rsid w:val="006E0341"/>
    <w:rsid w:val="006E035A"/>
    <w:rsid w:val="006E0797"/>
    <w:rsid w:val="006E07A2"/>
    <w:rsid w:val="006E0C34"/>
    <w:rsid w:val="006E0EBB"/>
    <w:rsid w:val="006E1132"/>
    <w:rsid w:val="006E15A5"/>
    <w:rsid w:val="006E1772"/>
    <w:rsid w:val="006E18B3"/>
    <w:rsid w:val="006E1FA4"/>
    <w:rsid w:val="006E2726"/>
    <w:rsid w:val="006E2BAA"/>
    <w:rsid w:val="006E2DB9"/>
    <w:rsid w:val="006E2DE1"/>
    <w:rsid w:val="006E2E0B"/>
    <w:rsid w:val="006E2F3B"/>
    <w:rsid w:val="006E32E4"/>
    <w:rsid w:val="006E3312"/>
    <w:rsid w:val="006E3399"/>
    <w:rsid w:val="006E33E0"/>
    <w:rsid w:val="006E391D"/>
    <w:rsid w:val="006E3A36"/>
    <w:rsid w:val="006E3C3E"/>
    <w:rsid w:val="006E3D31"/>
    <w:rsid w:val="006E41AC"/>
    <w:rsid w:val="006E5320"/>
    <w:rsid w:val="006E5425"/>
    <w:rsid w:val="006E54D5"/>
    <w:rsid w:val="006E5507"/>
    <w:rsid w:val="006E587E"/>
    <w:rsid w:val="006E58EA"/>
    <w:rsid w:val="006E5A74"/>
    <w:rsid w:val="006E6032"/>
    <w:rsid w:val="006E653E"/>
    <w:rsid w:val="006E6595"/>
    <w:rsid w:val="006E699F"/>
    <w:rsid w:val="006E69D0"/>
    <w:rsid w:val="006E6F30"/>
    <w:rsid w:val="006E6FFC"/>
    <w:rsid w:val="006E738C"/>
    <w:rsid w:val="006E74D5"/>
    <w:rsid w:val="006E76CF"/>
    <w:rsid w:val="006E793E"/>
    <w:rsid w:val="006E7C86"/>
    <w:rsid w:val="006E7D07"/>
    <w:rsid w:val="006E7D6C"/>
    <w:rsid w:val="006E7E30"/>
    <w:rsid w:val="006F00E1"/>
    <w:rsid w:val="006F0152"/>
    <w:rsid w:val="006F01D8"/>
    <w:rsid w:val="006F064E"/>
    <w:rsid w:val="006F066B"/>
    <w:rsid w:val="006F0763"/>
    <w:rsid w:val="006F0B08"/>
    <w:rsid w:val="006F0DD4"/>
    <w:rsid w:val="006F1344"/>
    <w:rsid w:val="006F143E"/>
    <w:rsid w:val="006F1678"/>
    <w:rsid w:val="006F172A"/>
    <w:rsid w:val="006F1755"/>
    <w:rsid w:val="006F17A5"/>
    <w:rsid w:val="006F19AE"/>
    <w:rsid w:val="006F1C2B"/>
    <w:rsid w:val="006F1C65"/>
    <w:rsid w:val="006F1CEB"/>
    <w:rsid w:val="006F1DE1"/>
    <w:rsid w:val="006F2031"/>
    <w:rsid w:val="006F21DC"/>
    <w:rsid w:val="006F2205"/>
    <w:rsid w:val="006F25AC"/>
    <w:rsid w:val="006F26A3"/>
    <w:rsid w:val="006F2B37"/>
    <w:rsid w:val="006F2B6C"/>
    <w:rsid w:val="006F2CC0"/>
    <w:rsid w:val="006F2CC4"/>
    <w:rsid w:val="006F3583"/>
    <w:rsid w:val="006F35C3"/>
    <w:rsid w:val="006F37C7"/>
    <w:rsid w:val="006F3845"/>
    <w:rsid w:val="006F3939"/>
    <w:rsid w:val="006F3B8B"/>
    <w:rsid w:val="006F3D3A"/>
    <w:rsid w:val="006F3FF0"/>
    <w:rsid w:val="006F4030"/>
    <w:rsid w:val="006F4261"/>
    <w:rsid w:val="006F4FAC"/>
    <w:rsid w:val="006F5177"/>
    <w:rsid w:val="006F51C6"/>
    <w:rsid w:val="006F524E"/>
    <w:rsid w:val="006F5639"/>
    <w:rsid w:val="006F57B5"/>
    <w:rsid w:val="006F580E"/>
    <w:rsid w:val="006F5B98"/>
    <w:rsid w:val="006F5D11"/>
    <w:rsid w:val="006F5EBF"/>
    <w:rsid w:val="006F6067"/>
    <w:rsid w:val="006F619B"/>
    <w:rsid w:val="006F61A3"/>
    <w:rsid w:val="006F61E4"/>
    <w:rsid w:val="006F62B6"/>
    <w:rsid w:val="006F6B1E"/>
    <w:rsid w:val="006F6D89"/>
    <w:rsid w:val="006F6D93"/>
    <w:rsid w:val="006F6DDC"/>
    <w:rsid w:val="006F6FF6"/>
    <w:rsid w:val="006F7213"/>
    <w:rsid w:val="006F73BE"/>
    <w:rsid w:val="006F73DE"/>
    <w:rsid w:val="006F7411"/>
    <w:rsid w:val="006F7C15"/>
    <w:rsid w:val="006F7C58"/>
    <w:rsid w:val="007000CD"/>
    <w:rsid w:val="007001B2"/>
    <w:rsid w:val="0070029E"/>
    <w:rsid w:val="007002B1"/>
    <w:rsid w:val="00700691"/>
    <w:rsid w:val="00700861"/>
    <w:rsid w:val="00700B51"/>
    <w:rsid w:val="00700C0C"/>
    <w:rsid w:val="00700C10"/>
    <w:rsid w:val="00700CE1"/>
    <w:rsid w:val="00700E2B"/>
    <w:rsid w:val="007013FB"/>
    <w:rsid w:val="00701518"/>
    <w:rsid w:val="00701573"/>
    <w:rsid w:val="00701956"/>
    <w:rsid w:val="00701AD4"/>
    <w:rsid w:val="00701D4A"/>
    <w:rsid w:val="00702008"/>
    <w:rsid w:val="0070268F"/>
    <w:rsid w:val="0070274B"/>
    <w:rsid w:val="007029CC"/>
    <w:rsid w:val="00702D48"/>
    <w:rsid w:val="00702D90"/>
    <w:rsid w:val="007030B6"/>
    <w:rsid w:val="00703272"/>
    <w:rsid w:val="007039D8"/>
    <w:rsid w:val="00703B54"/>
    <w:rsid w:val="00703BB8"/>
    <w:rsid w:val="00703CB3"/>
    <w:rsid w:val="00703D94"/>
    <w:rsid w:val="00703E33"/>
    <w:rsid w:val="00703EAB"/>
    <w:rsid w:val="00703FE0"/>
    <w:rsid w:val="00704193"/>
    <w:rsid w:val="007042A9"/>
    <w:rsid w:val="007042B5"/>
    <w:rsid w:val="00704448"/>
    <w:rsid w:val="007044F1"/>
    <w:rsid w:val="00704528"/>
    <w:rsid w:val="00704561"/>
    <w:rsid w:val="0070468C"/>
    <w:rsid w:val="00704829"/>
    <w:rsid w:val="00704B47"/>
    <w:rsid w:val="00704C66"/>
    <w:rsid w:val="00705021"/>
    <w:rsid w:val="00705176"/>
    <w:rsid w:val="0070541D"/>
    <w:rsid w:val="00705725"/>
    <w:rsid w:val="00705756"/>
    <w:rsid w:val="007059ED"/>
    <w:rsid w:val="00705B28"/>
    <w:rsid w:val="00705DC7"/>
    <w:rsid w:val="00706304"/>
    <w:rsid w:val="00706444"/>
    <w:rsid w:val="007066EF"/>
    <w:rsid w:val="007067AF"/>
    <w:rsid w:val="00706B11"/>
    <w:rsid w:val="00706B29"/>
    <w:rsid w:val="00706B56"/>
    <w:rsid w:val="00706DC0"/>
    <w:rsid w:val="00706ED0"/>
    <w:rsid w:val="00706FB7"/>
    <w:rsid w:val="00707514"/>
    <w:rsid w:val="0070778A"/>
    <w:rsid w:val="00707841"/>
    <w:rsid w:val="007079D4"/>
    <w:rsid w:val="00707B92"/>
    <w:rsid w:val="00707E85"/>
    <w:rsid w:val="0071013B"/>
    <w:rsid w:val="00710288"/>
    <w:rsid w:val="007102A4"/>
    <w:rsid w:val="00710489"/>
    <w:rsid w:val="00710493"/>
    <w:rsid w:val="007105D7"/>
    <w:rsid w:val="00710ACE"/>
    <w:rsid w:val="00710AE1"/>
    <w:rsid w:val="00710D97"/>
    <w:rsid w:val="00710DC5"/>
    <w:rsid w:val="00710EB2"/>
    <w:rsid w:val="007115B7"/>
    <w:rsid w:val="00711663"/>
    <w:rsid w:val="007118F6"/>
    <w:rsid w:val="0071193A"/>
    <w:rsid w:val="00711A14"/>
    <w:rsid w:val="00711AE3"/>
    <w:rsid w:val="00711AEC"/>
    <w:rsid w:val="00711AED"/>
    <w:rsid w:val="00711C58"/>
    <w:rsid w:val="00711F26"/>
    <w:rsid w:val="007120F1"/>
    <w:rsid w:val="0071236D"/>
    <w:rsid w:val="0071239B"/>
    <w:rsid w:val="007125A3"/>
    <w:rsid w:val="00712649"/>
    <w:rsid w:val="007126AD"/>
    <w:rsid w:val="0071274F"/>
    <w:rsid w:val="00712787"/>
    <w:rsid w:val="007128E2"/>
    <w:rsid w:val="00712A0D"/>
    <w:rsid w:val="0071343A"/>
    <w:rsid w:val="00713C98"/>
    <w:rsid w:val="00713DAA"/>
    <w:rsid w:val="00714119"/>
    <w:rsid w:val="007142E3"/>
    <w:rsid w:val="0071482F"/>
    <w:rsid w:val="00714843"/>
    <w:rsid w:val="0071502E"/>
    <w:rsid w:val="00715BC6"/>
    <w:rsid w:val="00715CF0"/>
    <w:rsid w:val="00715F85"/>
    <w:rsid w:val="00715FAA"/>
    <w:rsid w:val="0071632B"/>
    <w:rsid w:val="007166E2"/>
    <w:rsid w:val="00716970"/>
    <w:rsid w:val="007169B2"/>
    <w:rsid w:val="00716C74"/>
    <w:rsid w:val="00716CF8"/>
    <w:rsid w:val="007170B1"/>
    <w:rsid w:val="00717109"/>
    <w:rsid w:val="00717158"/>
    <w:rsid w:val="00717287"/>
    <w:rsid w:val="00717372"/>
    <w:rsid w:val="00717419"/>
    <w:rsid w:val="00717602"/>
    <w:rsid w:val="007177B2"/>
    <w:rsid w:val="00717946"/>
    <w:rsid w:val="00720221"/>
    <w:rsid w:val="0072045D"/>
    <w:rsid w:val="00720730"/>
    <w:rsid w:val="00720A37"/>
    <w:rsid w:val="00720C01"/>
    <w:rsid w:val="00720D2B"/>
    <w:rsid w:val="00721548"/>
    <w:rsid w:val="00721A03"/>
    <w:rsid w:val="00721A35"/>
    <w:rsid w:val="007220CD"/>
    <w:rsid w:val="0072210D"/>
    <w:rsid w:val="0072265E"/>
    <w:rsid w:val="007228D4"/>
    <w:rsid w:val="00722A5B"/>
    <w:rsid w:val="00722F33"/>
    <w:rsid w:val="00723178"/>
    <w:rsid w:val="007231F9"/>
    <w:rsid w:val="00723EED"/>
    <w:rsid w:val="00723F32"/>
    <w:rsid w:val="00723FEA"/>
    <w:rsid w:val="007241D9"/>
    <w:rsid w:val="00724632"/>
    <w:rsid w:val="007246E9"/>
    <w:rsid w:val="0072476F"/>
    <w:rsid w:val="00724870"/>
    <w:rsid w:val="00724FD7"/>
    <w:rsid w:val="0072550E"/>
    <w:rsid w:val="007256D2"/>
    <w:rsid w:val="007257C4"/>
    <w:rsid w:val="007259AC"/>
    <w:rsid w:val="00725A57"/>
    <w:rsid w:val="00725DF3"/>
    <w:rsid w:val="00725EE0"/>
    <w:rsid w:val="0072645E"/>
    <w:rsid w:val="0072653F"/>
    <w:rsid w:val="0072656E"/>
    <w:rsid w:val="0072674B"/>
    <w:rsid w:val="007267B0"/>
    <w:rsid w:val="007268FA"/>
    <w:rsid w:val="007269A8"/>
    <w:rsid w:val="00726A90"/>
    <w:rsid w:val="00726DBE"/>
    <w:rsid w:val="0072733F"/>
    <w:rsid w:val="0072737F"/>
    <w:rsid w:val="0072755A"/>
    <w:rsid w:val="00727994"/>
    <w:rsid w:val="00727A36"/>
    <w:rsid w:val="00727B26"/>
    <w:rsid w:val="00727EED"/>
    <w:rsid w:val="007300DC"/>
    <w:rsid w:val="0073022B"/>
    <w:rsid w:val="0073080D"/>
    <w:rsid w:val="007309A1"/>
    <w:rsid w:val="00730A39"/>
    <w:rsid w:val="00730A80"/>
    <w:rsid w:val="00730BD8"/>
    <w:rsid w:val="00730CEC"/>
    <w:rsid w:val="00730F46"/>
    <w:rsid w:val="00730FD9"/>
    <w:rsid w:val="00731003"/>
    <w:rsid w:val="00731088"/>
    <w:rsid w:val="00731123"/>
    <w:rsid w:val="0073112A"/>
    <w:rsid w:val="0073149B"/>
    <w:rsid w:val="007316F0"/>
    <w:rsid w:val="0073172D"/>
    <w:rsid w:val="00731735"/>
    <w:rsid w:val="007318CB"/>
    <w:rsid w:val="00731935"/>
    <w:rsid w:val="00731D18"/>
    <w:rsid w:val="00731E10"/>
    <w:rsid w:val="00732200"/>
    <w:rsid w:val="00732662"/>
    <w:rsid w:val="00732671"/>
    <w:rsid w:val="007326A0"/>
    <w:rsid w:val="0073287D"/>
    <w:rsid w:val="00732D62"/>
    <w:rsid w:val="00732FFD"/>
    <w:rsid w:val="00733674"/>
    <w:rsid w:val="007338B2"/>
    <w:rsid w:val="00733A10"/>
    <w:rsid w:val="00733CC0"/>
    <w:rsid w:val="00733DA4"/>
    <w:rsid w:val="00733EDB"/>
    <w:rsid w:val="007340A3"/>
    <w:rsid w:val="00734106"/>
    <w:rsid w:val="007343C1"/>
    <w:rsid w:val="0073454D"/>
    <w:rsid w:val="0073487F"/>
    <w:rsid w:val="007348F6"/>
    <w:rsid w:val="0073499F"/>
    <w:rsid w:val="007349F6"/>
    <w:rsid w:val="00734AB4"/>
    <w:rsid w:val="00734B69"/>
    <w:rsid w:val="00735364"/>
    <w:rsid w:val="00735991"/>
    <w:rsid w:val="00735B09"/>
    <w:rsid w:val="00735DCC"/>
    <w:rsid w:val="00736041"/>
    <w:rsid w:val="007360F4"/>
    <w:rsid w:val="00736191"/>
    <w:rsid w:val="007368B6"/>
    <w:rsid w:val="00736A5F"/>
    <w:rsid w:val="00736ADE"/>
    <w:rsid w:val="00736C43"/>
    <w:rsid w:val="007370F9"/>
    <w:rsid w:val="007376E2"/>
    <w:rsid w:val="0073780B"/>
    <w:rsid w:val="00737B2A"/>
    <w:rsid w:val="00737BC2"/>
    <w:rsid w:val="00737F30"/>
    <w:rsid w:val="00737F33"/>
    <w:rsid w:val="007400F1"/>
    <w:rsid w:val="00740129"/>
    <w:rsid w:val="00740167"/>
    <w:rsid w:val="00740A32"/>
    <w:rsid w:val="00740F6B"/>
    <w:rsid w:val="00740FE1"/>
    <w:rsid w:val="00741752"/>
    <w:rsid w:val="007419B4"/>
    <w:rsid w:val="00741EAE"/>
    <w:rsid w:val="007422AB"/>
    <w:rsid w:val="00742634"/>
    <w:rsid w:val="00742750"/>
    <w:rsid w:val="00742A02"/>
    <w:rsid w:val="00742B97"/>
    <w:rsid w:val="00742D12"/>
    <w:rsid w:val="007431F6"/>
    <w:rsid w:val="0074324F"/>
    <w:rsid w:val="0074365A"/>
    <w:rsid w:val="0074379C"/>
    <w:rsid w:val="007437DC"/>
    <w:rsid w:val="00743858"/>
    <w:rsid w:val="00743C22"/>
    <w:rsid w:val="00743FC3"/>
    <w:rsid w:val="007442AF"/>
    <w:rsid w:val="007443E5"/>
    <w:rsid w:val="007443EA"/>
    <w:rsid w:val="007444BD"/>
    <w:rsid w:val="007446E9"/>
    <w:rsid w:val="00744892"/>
    <w:rsid w:val="0074495C"/>
    <w:rsid w:val="00744B03"/>
    <w:rsid w:val="00744BA7"/>
    <w:rsid w:val="00744F97"/>
    <w:rsid w:val="00744F9D"/>
    <w:rsid w:val="007451C6"/>
    <w:rsid w:val="00745928"/>
    <w:rsid w:val="00745940"/>
    <w:rsid w:val="00745A95"/>
    <w:rsid w:val="0074645C"/>
    <w:rsid w:val="00746660"/>
    <w:rsid w:val="00746678"/>
    <w:rsid w:val="00747098"/>
    <w:rsid w:val="00747276"/>
    <w:rsid w:val="007476CD"/>
    <w:rsid w:val="0075022C"/>
    <w:rsid w:val="0075023B"/>
    <w:rsid w:val="00750240"/>
    <w:rsid w:val="00750493"/>
    <w:rsid w:val="007504F4"/>
    <w:rsid w:val="0075086D"/>
    <w:rsid w:val="007509D1"/>
    <w:rsid w:val="00750BF2"/>
    <w:rsid w:val="00750C56"/>
    <w:rsid w:val="00750F0E"/>
    <w:rsid w:val="007512CD"/>
    <w:rsid w:val="00751475"/>
    <w:rsid w:val="00751B80"/>
    <w:rsid w:val="00751CB8"/>
    <w:rsid w:val="00751DD1"/>
    <w:rsid w:val="00751E3C"/>
    <w:rsid w:val="00751E5D"/>
    <w:rsid w:val="0075215B"/>
    <w:rsid w:val="00752201"/>
    <w:rsid w:val="007524D0"/>
    <w:rsid w:val="00752C91"/>
    <w:rsid w:val="00752EFD"/>
    <w:rsid w:val="00753246"/>
    <w:rsid w:val="007532BA"/>
    <w:rsid w:val="00753463"/>
    <w:rsid w:val="00753B01"/>
    <w:rsid w:val="00753CBB"/>
    <w:rsid w:val="00754018"/>
    <w:rsid w:val="0075423B"/>
    <w:rsid w:val="0075442C"/>
    <w:rsid w:val="0075444D"/>
    <w:rsid w:val="0075448F"/>
    <w:rsid w:val="0075452D"/>
    <w:rsid w:val="00754730"/>
    <w:rsid w:val="007547B8"/>
    <w:rsid w:val="00754813"/>
    <w:rsid w:val="00754872"/>
    <w:rsid w:val="00754947"/>
    <w:rsid w:val="00754ED8"/>
    <w:rsid w:val="007554F5"/>
    <w:rsid w:val="00755610"/>
    <w:rsid w:val="00755633"/>
    <w:rsid w:val="007557D0"/>
    <w:rsid w:val="00755AA2"/>
    <w:rsid w:val="00755ABA"/>
    <w:rsid w:val="007560A7"/>
    <w:rsid w:val="00756673"/>
    <w:rsid w:val="0075691A"/>
    <w:rsid w:val="007569D1"/>
    <w:rsid w:val="00756A1A"/>
    <w:rsid w:val="00756BBD"/>
    <w:rsid w:val="00756F3C"/>
    <w:rsid w:val="007570BC"/>
    <w:rsid w:val="0075724A"/>
    <w:rsid w:val="00757344"/>
    <w:rsid w:val="007575C5"/>
    <w:rsid w:val="0075796B"/>
    <w:rsid w:val="00757A36"/>
    <w:rsid w:val="00757E66"/>
    <w:rsid w:val="00757E9F"/>
    <w:rsid w:val="007600E3"/>
    <w:rsid w:val="0076044C"/>
    <w:rsid w:val="007604C7"/>
    <w:rsid w:val="007609F5"/>
    <w:rsid w:val="00760A12"/>
    <w:rsid w:val="00760C24"/>
    <w:rsid w:val="00760DC7"/>
    <w:rsid w:val="007612B7"/>
    <w:rsid w:val="00761534"/>
    <w:rsid w:val="007619B1"/>
    <w:rsid w:val="00761E5D"/>
    <w:rsid w:val="00762116"/>
    <w:rsid w:val="007621B1"/>
    <w:rsid w:val="007622AC"/>
    <w:rsid w:val="00762469"/>
    <w:rsid w:val="0076259C"/>
    <w:rsid w:val="0076295A"/>
    <w:rsid w:val="007629D8"/>
    <w:rsid w:val="00762D3D"/>
    <w:rsid w:val="00762D97"/>
    <w:rsid w:val="00763095"/>
    <w:rsid w:val="00763301"/>
    <w:rsid w:val="007636A5"/>
    <w:rsid w:val="00763947"/>
    <w:rsid w:val="00763A16"/>
    <w:rsid w:val="00763CAA"/>
    <w:rsid w:val="007640AE"/>
    <w:rsid w:val="007641E7"/>
    <w:rsid w:val="007643EC"/>
    <w:rsid w:val="0076442A"/>
    <w:rsid w:val="00764629"/>
    <w:rsid w:val="007646F3"/>
    <w:rsid w:val="00764A3A"/>
    <w:rsid w:val="00764F44"/>
    <w:rsid w:val="007651A7"/>
    <w:rsid w:val="0076550D"/>
    <w:rsid w:val="00765569"/>
    <w:rsid w:val="00765868"/>
    <w:rsid w:val="00765A24"/>
    <w:rsid w:val="00765D1F"/>
    <w:rsid w:val="00765FB7"/>
    <w:rsid w:val="007660F0"/>
    <w:rsid w:val="007662D7"/>
    <w:rsid w:val="007665FD"/>
    <w:rsid w:val="0076666E"/>
    <w:rsid w:val="00766AB1"/>
    <w:rsid w:val="00766C2C"/>
    <w:rsid w:val="00766D8C"/>
    <w:rsid w:val="00767040"/>
    <w:rsid w:val="00767184"/>
    <w:rsid w:val="007671DB"/>
    <w:rsid w:val="00767240"/>
    <w:rsid w:val="0076761C"/>
    <w:rsid w:val="00767629"/>
    <w:rsid w:val="00767783"/>
    <w:rsid w:val="00767DCC"/>
    <w:rsid w:val="00767EA2"/>
    <w:rsid w:val="00767EF3"/>
    <w:rsid w:val="007700DF"/>
    <w:rsid w:val="007701A7"/>
    <w:rsid w:val="00770471"/>
    <w:rsid w:val="007705FE"/>
    <w:rsid w:val="007707EE"/>
    <w:rsid w:val="0077094F"/>
    <w:rsid w:val="00770AE3"/>
    <w:rsid w:val="00770D6F"/>
    <w:rsid w:val="00770DFE"/>
    <w:rsid w:val="00771096"/>
    <w:rsid w:val="00771133"/>
    <w:rsid w:val="00771365"/>
    <w:rsid w:val="007715C2"/>
    <w:rsid w:val="007719B3"/>
    <w:rsid w:val="00771AD3"/>
    <w:rsid w:val="00771AF3"/>
    <w:rsid w:val="00771C6B"/>
    <w:rsid w:val="00771F80"/>
    <w:rsid w:val="00772149"/>
    <w:rsid w:val="00772400"/>
    <w:rsid w:val="0077288D"/>
    <w:rsid w:val="00772918"/>
    <w:rsid w:val="00772A13"/>
    <w:rsid w:val="00772C22"/>
    <w:rsid w:val="00772C2B"/>
    <w:rsid w:val="00773074"/>
    <w:rsid w:val="00773286"/>
    <w:rsid w:val="00773396"/>
    <w:rsid w:val="007737BE"/>
    <w:rsid w:val="00773D36"/>
    <w:rsid w:val="00773D48"/>
    <w:rsid w:val="00773E47"/>
    <w:rsid w:val="0077400D"/>
    <w:rsid w:val="007743CC"/>
    <w:rsid w:val="00774784"/>
    <w:rsid w:val="00774D47"/>
    <w:rsid w:val="00775548"/>
    <w:rsid w:val="0077561A"/>
    <w:rsid w:val="0077570F"/>
    <w:rsid w:val="007759BB"/>
    <w:rsid w:val="00775BA3"/>
    <w:rsid w:val="00775FF7"/>
    <w:rsid w:val="007760F0"/>
    <w:rsid w:val="00776356"/>
    <w:rsid w:val="007765F0"/>
    <w:rsid w:val="00776788"/>
    <w:rsid w:val="0077679B"/>
    <w:rsid w:val="00776C87"/>
    <w:rsid w:val="00776D53"/>
    <w:rsid w:val="00776D9A"/>
    <w:rsid w:val="0077713D"/>
    <w:rsid w:val="00777688"/>
    <w:rsid w:val="00777DB2"/>
    <w:rsid w:val="00780332"/>
    <w:rsid w:val="00780457"/>
    <w:rsid w:val="00780A5A"/>
    <w:rsid w:val="00780E59"/>
    <w:rsid w:val="00780F08"/>
    <w:rsid w:val="0078131C"/>
    <w:rsid w:val="007815BF"/>
    <w:rsid w:val="007818B5"/>
    <w:rsid w:val="00781C32"/>
    <w:rsid w:val="00781C75"/>
    <w:rsid w:val="00781DF1"/>
    <w:rsid w:val="00781F7D"/>
    <w:rsid w:val="00782376"/>
    <w:rsid w:val="00782536"/>
    <w:rsid w:val="007825A6"/>
    <w:rsid w:val="007826DF"/>
    <w:rsid w:val="00782800"/>
    <w:rsid w:val="0078280F"/>
    <w:rsid w:val="0078288E"/>
    <w:rsid w:val="007829B0"/>
    <w:rsid w:val="00782B26"/>
    <w:rsid w:val="00782C19"/>
    <w:rsid w:val="00782E1C"/>
    <w:rsid w:val="00783211"/>
    <w:rsid w:val="007833BF"/>
    <w:rsid w:val="0078352F"/>
    <w:rsid w:val="0078363C"/>
    <w:rsid w:val="00783AA2"/>
    <w:rsid w:val="00783C6B"/>
    <w:rsid w:val="00783E6A"/>
    <w:rsid w:val="007840ED"/>
    <w:rsid w:val="00784719"/>
    <w:rsid w:val="00784E1D"/>
    <w:rsid w:val="00784F2A"/>
    <w:rsid w:val="00784FE7"/>
    <w:rsid w:val="00785153"/>
    <w:rsid w:val="00785186"/>
    <w:rsid w:val="007853B0"/>
    <w:rsid w:val="00785582"/>
    <w:rsid w:val="0078565D"/>
    <w:rsid w:val="00785897"/>
    <w:rsid w:val="007858CC"/>
    <w:rsid w:val="00785A85"/>
    <w:rsid w:val="00785B55"/>
    <w:rsid w:val="00785C78"/>
    <w:rsid w:val="0078605C"/>
    <w:rsid w:val="007868CD"/>
    <w:rsid w:val="00786A23"/>
    <w:rsid w:val="00786A2B"/>
    <w:rsid w:val="00786AFD"/>
    <w:rsid w:val="00786BC0"/>
    <w:rsid w:val="007870EA"/>
    <w:rsid w:val="007870F1"/>
    <w:rsid w:val="00787427"/>
    <w:rsid w:val="0078763A"/>
    <w:rsid w:val="007876F0"/>
    <w:rsid w:val="007877F1"/>
    <w:rsid w:val="007878D3"/>
    <w:rsid w:val="00787C80"/>
    <w:rsid w:val="00787DA3"/>
    <w:rsid w:val="00787E02"/>
    <w:rsid w:val="00787F09"/>
    <w:rsid w:val="00790073"/>
    <w:rsid w:val="007903AA"/>
    <w:rsid w:val="00790562"/>
    <w:rsid w:val="0079062C"/>
    <w:rsid w:val="00790C4C"/>
    <w:rsid w:val="00790C5C"/>
    <w:rsid w:val="00790C5D"/>
    <w:rsid w:val="00790F3C"/>
    <w:rsid w:val="0079102F"/>
    <w:rsid w:val="0079132B"/>
    <w:rsid w:val="007914D8"/>
    <w:rsid w:val="00791A3F"/>
    <w:rsid w:val="00791CB4"/>
    <w:rsid w:val="00791D6C"/>
    <w:rsid w:val="00791DB8"/>
    <w:rsid w:val="00792397"/>
    <w:rsid w:val="00792531"/>
    <w:rsid w:val="00792551"/>
    <w:rsid w:val="0079260E"/>
    <w:rsid w:val="0079274E"/>
    <w:rsid w:val="00792960"/>
    <w:rsid w:val="00792A38"/>
    <w:rsid w:val="00792AB0"/>
    <w:rsid w:val="00792AD6"/>
    <w:rsid w:val="00792B53"/>
    <w:rsid w:val="00792CEF"/>
    <w:rsid w:val="00792E4B"/>
    <w:rsid w:val="00793045"/>
    <w:rsid w:val="00793149"/>
    <w:rsid w:val="00793373"/>
    <w:rsid w:val="00793F65"/>
    <w:rsid w:val="00793FAD"/>
    <w:rsid w:val="0079415E"/>
    <w:rsid w:val="00794320"/>
    <w:rsid w:val="00794759"/>
    <w:rsid w:val="007948BE"/>
    <w:rsid w:val="0079490A"/>
    <w:rsid w:val="00794B96"/>
    <w:rsid w:val="00794D45"/>
    <w:rsid w:val="00794E06"/>
    <w:rsid w:val="0079505D"/>
    <w:rsid w:val="00795255"/>
    <w:rsid w:val="0079528A"/>
    <w:rsid w:val="007952FC"/>
    <w:rsid w:val="00795632"/>
    <w:rsid w:val="00795934"/>
    <w:rsid w:val="00795B28"/>
    <w:rsid w:val="00795B36"/>
    <w:rsid w:val="00795DF1"/>
    <w:rsid w:val="007960F9"/>
    <w:rsid w:val="007962E2"/>
    <w:rsid w:val="007962F2"/>
    <w:rsid w:val="00796995"/>
    <w:rsid w:val="007969CA"/>
    <w:rsid w:val="00796B6B"/>
    <w:rsid w:val="00796E04"/>
    <w:rsid w:val="00797240"/>
    <w:rsid w:val="00797365"/>
    <w:rsid w:val="00797591"/>
    <w:rsid w:val="00797724"/>
    <w:rsid w:val="0079772B"/>
    <w:rsid w:val="0079782B"/>
    <w:rsid w:val="00797BA5"/>
    <w:rsid w:val="00797F09"/>
    <w:rsid w:val="007A041A"/>
    <w:rsid w:val="007A0496"/>
    <w:rsid w:val="007A05D2"/>
    <w:rsid w:val="007A06D6"/>
    <w:rsid w:val="007A06EB"/>
    <w:rsid w:val="007A0E51"/>
    <w:rsid w:val="007A11CD"/>
    <w:rsid w:val="007A1249"/>
    <w:rsid w:val="007A16E3"/>
    <w:rsid w:val="007A1904"/>
    <w:rsid w:val="007A1CF0"/>
    <w:rsid w:val="007A1D10"/>
    <w:rsid w:val="007A2111"/>
    <w:rsid w:val="007A21BC"/>
    <w:rsid w:val="007A2325"/>
    <w:rsid w:val="007A2602"/>
    <w:rsid w:val="007A29D8"/>
    <w:rsid w:val="007A2A9D"/>
    <w:rsid w:val="007A2BF6"/>
    <w:rsid w:val="007A2F54"/>
    <w:rsid w:val="007A32CA"/>
    <w:rsid w:val="007A34A0"/>
    <w:rsid w:val="007A3592"/>
    <w:rsid w:val="007A3595"/>
    <w:rsid w:val="007A3F06"/>
    <w:rsid w:val="007A3FF9"/>
    <w:rsid w:val="007A463D"/>
    <w:rsid w:val="007A4AD6"/>
    <w:rsid w:val="007A4FF0"/>
    <w:rsid w:val="007A501E"/>
    <w:rsid w:val="007A5621"/>
    <w:rsid w:val="007A56C3"/>
    <w:rsid w:val="007A5917"/>
    <w:rsid w:val="007A5A1B"/>
    <w:rsid w:val="007A5E6C"/>
    <w:rsid w:val="007A6104"/>
    <w:rsid w:val="007A66A1"/>
    <w:rsid w:val="007A69B7"/>
    <w:rsid w:val="007A69F7"/>
    <w:rsid w:val="007A6AFA"/>
    <w:rsid w:val="007A6B4E"/>
    <w:rsid w:val="007A6C52"/>
    <w:rsid w:val="007A77AB"/>
    <w:rsid w:val="007A77BA"/>
    <w:rsid w:val="007A78E9"/>
    <w:rsid w:val="007B0075"/>
    <w:rsid w:val="007B0479"/>
    <w:rsid w:val="007B0870"/>
    <w:rsid w:val="007B0889"/>
    <w:rsid w:val="007B0991"/>
    <w:rsid w:val="007B0A0D"/>
    <w:rsid w:val="007B0B72"/>
    <w:rsid w:val="007B0BF4"/>
    <w:rsid w:val="007B0D85"/>
    <w:rsid w:val="007B0DE6"/>
    <w:rsid w:val="007B12C8"/>
    <w:rsid w:val="007B18A0"/>
    <w:rsid w:val="007B1E9B"/>
    <w:rsid w:val="007B22BE"/>
    <w:rsid w:val="007B282F"/>
    <w:rsid w:val="007B29AB"/>
    <w:rsid w:val="007B352C"/>
    <w:rsid w:val="007B362D"/>
    <w:rsid w:val="007B3CFC"/>
    <w:rsid w:val="007B3E28"/>
    <w:rsid w:val="007B3F4D"/>
    <w:rsid w:val="007B40B8"/>
    <w:rsid w:val="007B47AF"/>
    <w:rsid w:val="007B4990"/>
    <w:rsid w:val="007B4BD7"/>
    <w:rsid w:val="007B4C8F"/>
    <w:rsid w:val="007B4E02"/>
    <w:rsid w:val="007B4FB3"/>
    <w:rsid w:val="007B50C5"/>
    <w:rsid w:val="007B541A"/>
    <w:rsid w:val="007B54BC"/>
    <w:rsid w:val="007B5643"/>
    <w:rsid w:val="007B5665"/>
    <w:rsid w:val="007B5833"/>
    <w:rsid w:val="007B5850"/>
    <w:rsid w:val="007B592F"/>
    <w:rsid w:val="007B5B1C"/>
    <w:rsid w:val="007B5B66"/>
    <w:rsid w:val="007B5E7E"/>
    <w:rsid w:val="007B5F37"/>
    <w:rsid w:val="007B5FC2"/>
    <w:rsid w:val="007B5FD7"/>
    <w:rsid w:val="007B60D5"/>
    <w:rsid w:val="007B62E2"/>
    <w:rsid w:val="007B696C"/>
    <w:rsid w:val="007B6A8C"/>
    <w:rsid w:val="007B6A8E"/>
    <w:rsid w:val="007B6AF9"/>
    <w:rsid w:val="007B6BF5"/>
    <w:rsid w:val="007B6C7E"/>
    <w:rsid w:val="007B6D5B"/>
    <w:rsid w:val="007B6E9B"/>
    <w:rsid w:val="007B70A9"/>
    <w:rsid w:val="007B70E3"/>
    <w:rsid w:val="007B714C"/>
    <w:rsid w:val="007B731E"/>
    <w:rsid w:val="007B7705"/>
    <w:rsid w:val="007B7A6B"/>
    <w:rsid w:val="007B7D73"/>
    <w:rsid w:val="007B7F12"/>
    <w:rsid w:val="007C004B"/>
    <w:rsid w:val="007C0064"/>
    <w:rsid w:val="007C097A"/>
    <w:rsid w:val="007C0A7E"/>
    <w:rsid w:val="007C0A90"/>
    <w:rsid w:val="007C0ABA"/>
    <w:rsid w:val="007C0B61"/>
    <w:rsid w:val="007C0C19"/>
    <w:rsid w:val="007C0CAA"/>
    <w:rsid w:val="007C108B"/>
    <w:rsid w:val="007C10E9"/>
    <w:rsid w:val="007C1341"/>
    <w:rsid w:val="007C1570"/>
    <w:rsid w:val="007C158D"/>
    <w:rsid w:val="007C15B1"/>
    <w:rsid w:val="007C166D"/>
    <w:rsid w:val="007C18E7"/>
    <w:rsid w:val="007C1AA4"/>
    <w:rsid w:val="007C1C06"/>
    <w:rsid w:val="007C24BD"/>
    <w:rsid w:val="007C267E"/>
    <w:rsid w:val="007C2FF3"/>
    <w:rsid w:val="007C308E"/>
    <w:rsid w:val="007C33D7"/>
    <w:rsid w:val="007C38A2"/>
    <w:rsid w:val="007C38B7"/>
    <w:rsid w:val="007C3EA7"/>
    <w:rsid w:val="007C40C7"/>
    <w:rsid w:val="007C41A3"/>
    <w:rsid w:val="007C4441"/>
    <w:rsid w:val="007C4653"/>
    <w:rsid w:val="007C47EC"/>
    <w:rsid w:val="007C4A4E"/>
    <w:rsid w:val="007C4CA9"/>
    <w:rsid w:val="007C51A5"/>
    <w:rsid w:val="007C5321"/>
    <w:rsid w:val="007C5499"/>
    <w:rsid w:val="007C5941"/>
    <w:rsid w:val="007C5AC2"/>
    <w:rsid w:val="007C5AC9"/>
    <w:rsid w:val="007C5BFD"/>
    <w:rsid w:val="007C61D5"/>
    <w:rsid w:val="007C632E"/>
    <w:rsid w:val="007C65C2"/>
    <w:rsid w:val="007C6A72"/>
    <w:rsid w:val="007C6FF1"/>
    <w:rsid w:val="007C7015"/>
    <w:rsid w:val="007C7727"/>
    <w:rsid w:val="007C78BD"/>
    <w:rsid w:val="007C7A39"/>
    <w:rsid w:val="007C7BB1"/>
    <w:rsid w:val="007D019B"/>
    <w:rsid w:val="007D029F"/>
    <w:rsid w:val="007D02E7"/>
    <w:rsid w:val="007D0478"/>
    <w:rsid w:val="007D074A"/>
    <w:rsid w:val="007D084E"/>
    <w:rsid w:val="007D0B66"/>
    <w:rsid w:val="007D176C"/>
    <w:rsid w:val="007D19AE"/>
    <w:rsid w:val="007D1C07"/>
    <w:rsid w:val="007D1FFF"/>
    <w:rsid w:val="007D20A5"/>
    <w:rsid w:val="007D250E"/>
    <w:rsid w:val="007D28A9"/>
    <w:rsid w:val="007D28F0"/>
    <w:rsid w:val="007D29AC"/>
    <w:rsid w:val="007D2B34"/>
    <w:rsid w:val="007D2B62"/>
    <w:rsid w:val="007D2D94"/>
    <w:rsid w:val="007D2EA2"/>
    <w:rsid w:val="007D2FEE"/>
    <w:rsid w:val="007D344C"/>
    <w:rsid w:val="007D34F1"/>
    <w:rsid w:val="007D35BC"/>
    <w:rsid w:val="007D3769"/>
    <w:rsid w:val="007D3BC0"/>
    <w:rsid w:val="007D41C2"/>
    <w:rsid w:val="007D471B"/>
    <w:rsid w:val="007D473F"/>
    <w:rsid w:val="007D4747"/>
    <w:rsid w:val="007D4D11"/>
    <w:rsid w:val="007D4E2C"/>
    <w:rsid w:val="007D4E65"/>
    <w:rsid w:val="007D4EAB"/>
    <w:rsid w:val="007D515F"/>
    <w:rsid w:val="007D545F"/>
    <w:rsid w:val="007D55F1"/>
    <w:rsid w:val="007D5754"/>
    <w:rsid w:val="007D5893"/>
    <w:rsid w:val="007D5B47"/>
    <w:rsid w:val="007D5C93"/>
    <w:rsid w:val="007D5FA2"/>
    <w:rsid w:val="007D6117"/>
    <w:rsid w:val="007D633F"/>
    <w:rsid w:val="007D674C"/>
    <w:rsid w:val="007D692F"/>
    <w:rsid w:val="007D694F"/>
    <w:rsid w:val="007D6AAB"/>
    <w:rsid w:val="007D6BAE"/>
    <w:rsid w:val="007D6F14"/>
    <w:rsid w:val="007D6F8C"/>
    <w:rsid w:val="007D6FEC"/>
    <w:rsid w:val="007D71EA"/>
    <w:rsid w:val="007D75EF"/>
    <w:rsid w:val="007D770B"/>
    <w:rsid w:val="007D773E"/>
    <w:rsid w:val="007D7932"/>
    <w:rsid w:val="007D7999"/>
    <w:rsid w:val="007D7B13"/>
    <w:rsid w:val="007D7DBB"/>
    <w:rsid w:val="007E0058"/>
    <w:rsid w:val="007E0092"/>
    <w:rsid w:val="007E0126"/>
    <w:rsid w:val="007E06B7"/>
    <w:rsid w:val="007E07DC"/>
    <w:rsid w:val="007E08AC"/>
    <w:rsid w:val="007E08E3"/>
    <w:rsid w:val="007E0B9C"/>
    <w:rsid w:val="007E0BE8"/>
    <w:rsid w:val="007E0BEF"/>
    <w:rsid w:val="007E0D1E"/>
    <w:rsid w:val="007E0D68"/>
    <w:rsid w:val="007E0FB0"/>
    <w:rsid w:val="007E1065"/>
    <w:rsid w:val="007E1095"/>
    <w:rsid w:val="007E1127"/>
    <w:rsid w:val="007E1903"/>
    <w:rsid w:val="007E20D1"/>
    <w:rsid w:val="007E20E6"/>
    <w:rsid w:val="007E2264"/>
    <w:rsid w:val="007E231F"/>
    <w:rsid w:val="007E238D"/>
    <w:rsid w:val="007E24ED"/>
    <w:rsid w:val="007E2525"/>
    <w:rsid w:val="007E2953"/>
    <w:rsid w:val="007E29AD"/>
    <w:rsid w:val="007E2A2C"/>
    <w:rsid w:val="007E2C08"/>
    <w:rsid w:val="007E3017"/>
    <w:rsid w:val="007E31A9"/>
    <w:rsid w:val="007E32B9"/>
    <w:rsid w:val="007E34C8"/>
    <w:rsid w:val="007E3745"/>
    <w:rsid w:val="007E3871"/>
    <w:rsid w:val="007E387C"/>
    <w:rsid w:val="007E3A19"/>
    <w:rsid w:val="007E3A87"/>
    <w:rsid w:val="007E3E3C"/>
    <w:rsid w:val="007E3FFB"/>
    <w:rsid w:val="007E41B9"/>
    <w:rsid w:val="007E44A3"/>
    <w:rsid w:val="007E49A4"/>
    <w:rsid w:val="007E4B4F"/>
    <w:rsid w:val="007E4EA1"/>
    <w:rsid w:val="007E5432"/>
    <w:rsid w:val="007E570A"/>
    <w:rsid w:val="007E5908"/>
    <w:rsid w:val="007E595B"/>
    <w:rsid w:val="007E5A0B"/>
    <w:rsid w:val="007E5CC3"/>
    <w:rsid w:val="007E5D9D"/>
    <w:rsid w:val="007E5ECA"/>
    <w:rsid w:val="007E60F8"/>
    <w:rsid w:val="007E6104"/>
    <w:rsid w:val="007E6333"/>
    <w:rsid w:val="007E65E4"/>
    <w:rsid w:val="007E6884"/>
    <w:rsid w:val="007E69BB"/>
    <w:rsid w:val="007E6E54"/>
    <w:rsid w:val="007E6FB2"/>
    <w:rsid w:val="007E6FCB"/>
    <w:rsid w:val="007E7169"/>
    <w:rsid w:val="007E72F6"/>
    <w:rsid w:val="007E7504"/>
    <w:rsid w:val="007E760D"/>
    <w:rsid w:val="007E77FD"/>
    <w:rsid w:val="007E788B"/>
    <w:rsid w:val="007E78E2"/>
    <w:rsid w:val="007E7943"/>
    <w:rsid w:val="007F0052"/>
    <w:rsid w:val="007F03CC"/>
    <w:rsid w:val="007F09FF"/>
    <w:rsid w:val="007F0DEF"/>
    <w:rsid w:val="007F0E8A"/>
    <w:rsid w:val="007F0EE6"/>
    <w:rsid w:val="007F0FFE"/>
    <w:rsid w:val="007F145F"/>
    <w:rsid w:val="007F14DF"/>
    <w:rsid w:val="007F1512"/>
    <w:rsid w:val="007F154E"/>
    <w:rsid w:val="007F17C4"/>
    <w:rsid w:val="007F180B"/>
    <w:rsid w:val="007F1D58"/>
    <w:rsid w:val="007F1DB0"/>
    <w:rsid w:val="007F2302"/>
    <w:rsid w:val="007F23AE"/>
    <w:rsid w:val="007F26F0"/>
    <w:rsid w:val="007F27D3"/>
    <w:rsid w:val="007F2802"/>
    <w:rsid w:val="007F28A8"/>
    <w:rsid w:val="007F2914"/>
    <w:rsid w:val="007F29C1"/>
    <w:rsid w:val="007F2B4B"/>
    <w:rsid w:val="007F2C20"/>
    <w:rsid w:val="007F2C8C"/>
    <w:rsid w:val="007F2DC0"/>
    <w:rsid w:val="007F2E36"/>
    <w:rsid w:val="007F30E6"/>
    <w:rsid w:val="007F3313"/>
    <w:rsid w:val="007F334A"/>
    <w:rsid w:val="007F36CA"/>
    <w:rsid w:val="007F37FB"/>
    <w:rsid w:val="007F3AEA"/>
    <w:rsid w:val="007F3BAB"/>
    <w:rsid w:val="007F3BF1"/>
    <w:rsid w:val="007F4049"/>
    <w:rsid w:val="007F41E3"/>
    <w:rsid w:val="007F42FD"/>
    <w:rsid w:val="007F437A"/>
    <w:rsid w:val="007F43B5"/>
    <w:rsid w:val="007F480B"/>
    <w:rsid w:val="007F4BA7"/>
    <w:rsid w:val="007F4C9B"/>
    <w:rsid w:val="007F4EE0"/>
    <w:rsid w:val="007F50B3"/>
    <w:rsid w:val="007F5157"/>
    <w:rsid w:val="007F56A6"/>
    <w:rsid w:val="007F571C"/>
    <w:rsid w:val="007F6156"/>
    <w:rsid w:val="007F668A"/>
    <w:rsid w:val="007F6A04"/>
    <w:rsid w:val="007F6C31"/>
    <w:rsid w:val="007F70E3"/>
    <w:rsid w:val="007F7248"/>
    <w:rsid w:val="007F73AB"/>
    <w:rsid w:val="007F78D1"/>
    <w:rsid w:val="007F797D"/>
    <w:rsid w:val="007F7E10"/>
    <w:rsid w:val="007F7E41"/>
    <w:rsid w:val="00800055"/>
    <w:rsid w:val="008001E9"/>
    <w:rsid w:val="00800258"/>
    <w:rsid w:val="00800613"/>
    <w:rsid w:val="0080092E"/>
    <w:rsid w:val="00800C76"/>
    <w:rsid w:val="00800F99"/>
    <w:rsid w:val="008010B1"/>
    <w:rsid w:val="008010FE"/>
    <w:rsid w:val="0080115A"/>
    <w:rsid w:val="0080141B"/>
    <w:rsid w:val="00801646"/>
    <w:rsid w:val="00801723"/>
    <w:rsid w:val="00801A7F"/>
    <w:rsid w:val="00801DE5"/>
    <w:rsid w:val="00801E20"/>
    <w:rsid w:val="00801F3F"/>
    <w:rsid w:val="00802132"/>
    <w:rsid w:val="0080252F"/>
    <w:rsid w:val="008030A5"/>
    <w:rsid w:val="00803187"/>
    <w:rsid w:val="00803702"/>
    <w:rsid w:val="0080373C"/>
    <w:rsid w:val="00803776"/>
    <w:rsid w:val="008039B9"/>
    <w:rsid w:val="00803BD1"/>
    <w:rsid w:val="00803E42"/>
    <w:rsid w:val="00803F44"/>
    <w:rsid w:val="00803F7B"/>
    <w:rsid w:val="00804125"/>
    <w:rsid w:val="008042DD"/>
    <w:rsid w:val="008044A7"/>
    <w:rsid w:val="0080473E"/>
    <w:rsid w:val="008047A4"/>
    <w:rsid w:val="008047B0"/>
    <w:rsid w:val="00804BE3"/>
    <w:rsid w:val="00804CD3"/>
    <w:rsid w:val="008051BE"/>
    <w:rsid w:val="0080525F"/>
    <w:rsid w:val="00805412"/>
    <w:rsid w:val="008055D9"/>
    <w:rsid w:val="0080571B"/>
    <w:rsid w:val="00806194"/>
    <w:rsid w:val="00806273"/>
    <w:rsid w:val="008063A6"/>
    <w:rsid w:val="0080669D"/>
    <w:rsid w:val="008066B9"/>
    <w:rsid w:val="0080698E"/>
    <w:rsid w:val="008069AF"/>
    <w:rsid w:val="008069EB"/>
    <w:rsid w:val="00806D1F"/>
    <w:rsid w:val="00806F21"/>
    <w:rsid w:val="00806F31"/>
    <w:rsid w:val="008070BC"/>
    <w:rsid w:val="0080710F"/>
    <w:rsid w:val="008072D8"/>
    <w:rsid w:val="00807BC3"/>
    <w:rsid w:val="00807D46"/>
    <w:rsid w:val="00807EBA"/>
    <w:rsid w:val="008101EC"/>
    <w:rsid w:val="008105F1"/>
    <w:rsid w:val="00810A85"/>
    <w:rsid w:val="00810AA1"/>
    <w:rsid w:val="00810F19"/>
    <w:rsid w:val="00811021"/>
    <w:rsid w:val="00811272"/>
    <w:rsid w:val="00811678"/>
    <w:rsid w:val="008119EF"/>
    <w:rsid w:val="00811D3F"/>
    <w:rsid w:val="0081234C"/>
    <w:rsid w:val="008128D6"/>
    <w:rsid w:val="00813002"/>
    <w:rsid w:val="00813200"/>
    <w:rsid w:val="0081337A"/>
    <w:rsid w:val="008137CA"/>
    <w:rsid w:val="00813918"/>
    <w:rsid w:val="00813B60"/>
    <w:rsid w:val="00813BD3"/>
    <w:rsid w:val="00813CF5"/>
    <w:rsid w:val="00814369"/>
    <w:rsid w:val="0081458B"/>
    <w:rsid w:val="00814A78"/>
    <w:rsid w:val="00814BEE"/>
    <w:rsid w:val="00814FA9"/>
    <w:rsid w:val="0081502C"/>
    <w:rsid w:val="008150FE"/>
    <w:rsid w:val="008152CD"/>
    <w:rsid w:val="0081540A"/>
    <w:rsid w:val="0081547B"/>
    <w:rsid w:val="0081579D"/>
    <w:rsid w:val="00815894"/>
    <w:rsid w:val="0081598B"/>
    <w:rsid w:val="00815A7E"/>
    <w:rsid w:val="00815A84"/>
    <w:rsid w:val="00815D6B"/>
    <w:rsid w:val="00815DE7"/>
    <w:rsid w:val="00815E09"/>
    <w:rsid w:val="0081612A"/>
    <w:rsid w:val="00816E4F"/>
    <w:rsid w:val="00816F2A"/>
    <w:rsid w:val="00816FEB"/>
    <w:rsid w:val="00817054"/>
    <w:rsid w:val="00817058"/>
    <w:rsid w:val="008170CF"/>
    <w:rsid w:val="00817116"/>
    <w:rsid w:val="00817253"/>
    <w:rsid w:val="00817532"/>
    <w:rsid w:val="00817C4D"/>
    <w:rsid w:val="00817E47"/>
    <w:rsid w:val="00817EF3"/>
    <w:rsid w:val="00820039"/>
    <w:rsid w:val="00820088"/>
    <w:rsid w:val="008200A5"/>
    <w:rsid w:val="008203C4"/>
    <w:rsid w:val="008205EC"/>
    <w:rsid w:val="00820631"/>
    <w:rsid w:val="008206E6"/>
    <w:rsid w:val="00820D48"/>
    <w:rsid w:val="00821032"/>
    <w:rsid w:val="0082120F"/>
    <w:rsid w:val="008214F2"/>
    <w:rsid w:val="00821B01"/>
    <w:rsid w:val="00821D69"/>
    <w:rsid w:val="00821E37"/>
    <w:rsid w:val="00821FE9"/>
    <w:rsid w:val="008220C6"/>
    <w:rsid w:val="00822174"/>
    <w:rsid w:val="00822374"/>
    <w:rsid w:val="008224CF"/>
    <w:rsid w:val="008227E7"/>
    <w:rsid w:val="00822B9E"/>
    <w:rsid w:val="0082379F"/>
    <w:rsid w:val="0082384B"/>
    <w:rsid w:val="008238DD"/>
    <w:rsid w:val="00823A7C"/>
    <w:rsid w:val="00823B39"/>
    <w:rsid w:val="008240AA"/>
    <w:rsid w:val="008244EC"/>
    <w:rsid w:val="00824634"/>
    <w:rsid w:val="00824801"/>
    <w:rsid w:val="008248B5"/>
    <w:rsid w:val="0082495A"/>
    <w:rsid w:val="00824E95"/>
    <w:rsid w:val="008253E7"/>
    <w:rsid w:val="00825568"/>
    <w:rsid w:val="00825A5C"/>
    <w:rsid w:val="00825AA8"/>
    <w:rsid w:val="00825E52"/>
    <w:rsid w:val="00825FE7"/>
    <w:rsid w:val="008264F0"/>
    <w:rsid w:val="00826AA2"/>
    <w:rsid w:val="00826EA6"/>
    <w:rsid w:val="008270D3"/>
    <w:rsid w:val="00827207"/>
    <w:rsid w:val="00827574"/>
    <w:rsid w:val="008275D4"/>
    <w:rsid w:val="00827721"/>
    <w:rsid w:val="00827791"/>
    <w:rsid w:val="00827C0E"/>
    <w:rsid w:val="00827E2C"/>
    <w:rsid w:val="00827E65"/>
    <w:rsid w:val="0083006A"/>
    <w:rsid w:val="008300DF"/>
    <w:rsid w:val="00830368"/>
    <w:rsid w:val="008304DB"/>
    <w:rsid w:val="00830616"/>
    <w:rsid w:val="008307D8"/>
    <w:rsid w:val="008309C3"/>
    <w:rsid w:val="00830C3B"/>
    <w:rsid w:val="00830C7F"/>
    <w:rsid w:val="00830C8C"/>
    <w:rsid w:val="00830E55"/>
    <w:rsid w:val="00830F18"/>
    <w:rsid w:val="008314C6"/>
    <w:rsid w:val="00831514"/>
    <w:rsid w:val="0083168B"/>
    <w:rsid w:val="008316F2"/>
    <w:rsid w:val="008318DD"/>
    <w:rsid w:val="00831DB7"/>
    <w:rsid w:val="00831FC1"/>
    <w:rsid w:val="008324C6"/>
    <w:rsid w:val="00832BBC"/>
    <w:rsid w:val="00832DB0"/>
    <w:rsid w:val="00832F67"/>
    <w:rsid w:val="0083300D"/>
    <w:rsid w:val="008330EC"/>
    <w:rsid w:val="008333B0"/>
    <w:rsid w:val="008337E1"/>
    <w:rsid w:val="00833812"/>
    <w:rsid w:val="0083382A"/>
    <w:rsid w:val="00833845"/>
    <w:rsid w:val="00834004"/>
    <w:rsid w:val="00834158"/>
    <w:rsid w:val="0083441D"/>
    <w:rsid w:val="0083446F"/>
    <w:rsid w:val="00834745"/>
    <w:rsid w:val="00834749"/>
    <w:rsid w:val="008347A9"/>
    <w:rsid w:val="00834B2D"/>
    <w:rsid w:val="00834B5F"/>
    <w:rsid w:val="00834CA9"/>
    <w:rsid w:val="00834F75"/>
    <w:rsid w:val="008353CC"/>
    <w:rsid w:val="0083571D"/>
    <w:rsid w:val="0083572C"/>
    <w:rsid w:val="0083586E"/>
    <w:rsid w:val="0083604F"/>
    <w:rsid w:val="008361CD"/>
    <w:rsid w:val="008364AD"/>
    <w:rsid w:val="00836633"/>
    <w:rsid w:val="0083669D"/>
    <w:rsid w:val="00837274"/>
    <w:rsid w:val="0083747E"/>
    <w:rsid w:val="0083773C"/>
    <w:rsid w:val="00837B20"/>
    <w:rsid w:val="00837C3D"/>
    <w:rsid w:val="00837F4E"/>
    <w:rsid w:val="00840072"/>
    <w:rsid w:val="008400ED"/>
    <w:rsid w:val="00840346"/>
    <w:rsid w:val="008404ED"/>
    <w:rsid w:val="0084096B"/>
    <w:rsid w:val="00840A0E"/>
    <w:rsid w:val="00840A44"/>
    <w:rsid w:val="00840A84"/>
    <w:rsid w:val="0084119C"/>
    <w:rsid w:val="00841208"/>
    <w:rsid w:val="0084128D"/>
    <w:rsid w:val="00841744"/>
    <w:rsid w:val="00841790"/>
    <w:rsid w:val="0084186C"/>
    <w:rsid w:val="00842128"/>
    <w:rsid w:val="00842204"/>
    <w:rsid w:val="0084243C"/>
    <w:rsid w:val="0084256B"/>
    <w:rsid w:val="008425E8"/>
    <w:rsid w:val="0084281A"/>
    <w:rsid w:val="008428BB"/>
    <w:rsid w:val="00842DB0"/>
    <w:rsid w:val="00842E76"/>
    <w:rsid w:val="00842EE8"/>
    <w:rsid w:val="00842F56"/>
    <w:rsid w:val="00842FC0"/>
    <w:rsid w:val="008430C5"/>
    <w:rsid w:val="00843360"/>
    <w:rsid w:val="008433B6"/>
    <w:rsid w:val="008435CE"/>
    <w:rsid w:val="00843A1A"/>
    <w:rsid w:val="00843CE2"/>
    <w:rsid w:val="00844037"/>
    <w:rsid w:val="00844088"/>
    <w:rsid w:val="008443F7"/>
    <w:rsid w:val="008444EA"/>
    <w:rsid w:val="0084481F"/>
    <w:rsid w:val="0084496C"/>
    <w:rsid w:val="008450D1"/>
    <w:rsid w:val="00845105"/>
    <w:rsid w:val="0084552F"/>
    <w:rsid w:val="008459DD"/>
    <w:rsid w:val="00845AF5"/>
    <w:rsid w:val="00845DDE"/>
    <w:rsid w:val="00845EC8"/>
    <w:rsid w:val="00845FA7"/>
    <w:rsid w:val="00846265"/>
    <w:rsid w:val="008464C2"/>
    <w:rsid w:val="0084667A"/>
    <w:rsid w:val="00846701"/>
    <w:rsid w:val="00846A8F"/>
    <w:rsid w:val="00846CCE"/>
    <w:rsid w:val="00846DA7"/>
    <w:rsid w:val="00846EEE"/>
    <w:rsid w:val="00846F3A"/>
    <w:rsid w:val="00847132"/>
    <w:rsid w:val="0084758D"/>
    <w:rsid w:val="0084770F"/>
    <w:rsid w:val="00847B5B"/>
    <w:rsid w:val="00847CBD"/>
    <w:rsid w:val="00847F82"/>
    <w:rsid w:val="00850083"/>
    <w:rsid w:val="008500EB"/>
    <w:rsid w:val="00850244"/>
    <w:rsid w:val="00850259"/>
    <w:rsid w:val="00850372"/>
    <w:rsid w:val="00850435"/>
    <w:rsid w:val="0085083F"/>
    <w:rsid w:val="008509AB"/>
    <w:rsid w:val="00850A10"/>
    <w:rsid w:val="00850ABA"/>
    <w:rsid w:val="008512DC"/>
    <w:rsid w:val="008512F3"/>
    <w:rsid w:val="00851E6F"/>
    <w:rsid w:val="00852043"/>
    <w:rsid w:val="008520DA"/>
    <w:rsid w:val="00852114"/>
    <w:rsid w:val="0085214F"/>
    <w:rsid w:val="008523DC"/>
    <w:rsid w:val="008523FD"/>
    <w:rsid w:val="00852458"/>
    <w:rsid w:val="00852485"/>
    <w:rsid w:val="0085269D"/>
    <w:rsid w:val="00852895"/>
    <w:rsid w:val="00852AD6"/>
    <w:rsid w:val="00852B33"/>
    <w:rsid w:val="00852B4D"/>
    <w:rsid w:val="00852B58"/>
    <w:rsid w:val="00853037"/>
    <w:rsid w:val="008532A6"/>
    <w:rsid w:val="00853336"/>
    <w:rsid w:val="00853370"/>
    <w:rsid w:val="008534B3"/>
    <w:rsid w:val="008534FB"/>
    <w:rsid w:val="0085375E"/>
    <w:rsid w:val="00853A7D"/>
    <w:rsid w:val="00853C19"/>
    <w:rsid w:val="00853D61"/>
    <w:rsid w:val="0085409D"/>
    <w:rsid w:val="008541A6"/>
    <w:rsid w:val="00854375"/>
    <w:rsid w:val="0085467E"/>
    <w:rsid w:val="00854C16"/>
    <w:rsid w:val="00854C6C"/>
    <w:rsid w:val="00854F7C"/>
    <w:rsid w:val="00855050"/>
    <w:rsid w:val="0085518D"/>
    <w:rsid w:val="0085538F"/>
    <w:rsid w:val="008553AA"/>
    <w:rsid w:val="00855417"/>
    <w:rsid w:val="00855441"/>
    <w:rsid w:val="00855490"/>
    <w:rsid w:val="00855708"/>
    <w:rsid w:val="00855A67"/>
    <w:rsid w:val="00855AAD"/>
    <w:rsid w:val="00855C96"/>
    <w:rsid w:val="00855D8B"/>
    <w:rsid w:val="00855F1B"/>
    <w:rsid w:val="008560D4"/>
    <w:rsid w:val="008560E7"/>
    <w:rsid w:val="008561F5"/>
    <w:rsid w:val="0085631D"/>
    <w:rsid w:val="00856524"/>
    <w:rsid w:val="00856CE3"/>
    <w:rsid w:val="00856DED"/>
    <w:rsid w:val="00856DFE"/>
    <w:rsid w:val="0085704F"/>
    <w:rsid w:val="0085708E"/>
    <w:rsid w:val="0085757A"/>
    <w:rsid w:val="00857584"/>
    <w:rsid w:val="008575F6"/>
    <w:rsid w:val="008576CA"/>
    <w:rsid w:val="00857B98"/>
    <w:rsid w:val="00857C9B"/>
    <w:rsid w:val="0086020E"/>
    <w:rsid w:val="008605F1"/>
    <w:rsid w:val="008607CA"/>
    <w:rsid w:val="00860897"/>
    <w:rsid w:val="00860D4F"/>
    <w:rsid w:val="00860D71"/>
    <w:rsid w:val="00860E13"/>
    <w:rsid w:val="008611B1"/>
    <w:rsid w:val="008611F1"/>
    <w:rsid w:val="008614E6"/>
    <w:rsid w:val="0086152A"/>
    <w:rsid w:val="00861583"/>
    <w:rsid w:val="008618A4"/>
    <w:rsid w:val="0086195C"/>
    <w:rsid w:val="00861998"/>
    <w:rsid w:val="008619C7"/>
    <w:rsid w:val="00861BCF"/>
    <w:rsid w:val="00861D24"/>
    <w:rsid w:val="00861F79"/>
    <w:rsid w:val="0086224F"/>
    <w:rsid w:val="00862680"/>
    <w:rsid w:val="00862954"/>
    <w:rsid w:val="00862A8C"/>
    <w:rsid w:val="00862EEF"/>
    <w:rsid w:val="00862F61"/>
    <w:rsid w:val="008635D5"/>
    <w:rsid w:val="0086388E"/>
    <w:rsid w:val="00863989"/>
    <w:rsid w:val="00863C70"/>
    <w:rsid w:val="00863CB4"/>
    <w:rsid w:val="00863D56"/>
    <w:rsid w:val="00863F50"/>
    <w:rsid w:val="0086413F"/>
    <w:rsid w:val="0086464B"/>
    <w:rsid w:val="0086471A"/>
    <w:rsid w:val="00864859"/>
    <w:rsid w:val="0086488F"/>
    <w:rsid w:val="008648DA"/>
    <w:rsid w:val="00864929"/>
    <w:rsid w:val="00864A4E"/>
    <w:rsid w:val="00864B92"/>
    <w:rsid w:val="00864C08"/>
    <w:rsid w:val="00864EA1"/>
    <w:rsid w:val="00864FC0"/>
    <w:rsid w:val="00865086"/>
    <w:rsid w:val="00865217"/>
    <w:rsid w:val="00865258"/>
    <w:rsid w:val="0086548D"/>
    <w:rsid w:val="0086579B"/>
    <w:rsid w:val="00865B36"/>
    <w:rsid w:val="00865E5E"/>
    <w:rsid w:val="00865E80"/>
    <w:rsid w:val="00865EE7"/>
    <w:rsid w:val="008666FC"/>
    <w:rsid w:val="0086679B"/>
    <w:rsid w:val="00866874"/>
    <w:rsid w:val="00866990"/>
    <w:rsid w:val="00867028"/>
    <w:rsid w:val="00867133"/>
    <w:rsid w:val="008671C6"/>
    <w:rsid w:val="008672BA"/>
    <w:rsid w:val="0086730A"/>
    <w:rsid w:val="008678F7"/>
    <w:rsid w:val="00867D52"/>
    <w:rsid w:val="00867F3E"/>
    <w:rsid w:val="0087027D"/>
    <w:rsid w:val="00870773"/>
    <w:rsid w:val="0087089F"/>
    <w:rsid w:val="008710AC"/>
    <w:rsid w:val="00871156"/>
    <w:rsid w:val="0087149E"/>
    <w:rsid w:val="008714C8"/>
    <w:rsid w:val="008718A2"/>
    <w:rsid w:val="00871CD7"/>
    <w:rsid w:val="00871DB3"/>
    <w:rsid w:val="00871F6F"/>
    <w:rsid w:val="0087238E"/>
    <w:rsid w:val="008729C6"/>
    <w:rsid w:val="008729F0"/>
    <w:rsid w:val="00872A6B"/>
    <w:rsid w:val="00872B10"/>
    <w:rsid w:val="00872CED"/>
    <w:rsid w:val="00872D2D"/>
    <w:rsid w:val="00872F1B"/>
    <w:rsid w:val="00872FCC"/>
    <w:rsid w:val="00872FD9"/>
    <w:rsid w:val="00872FEC"/>
    <w:rsid w:val="008730C1"/>
    <w:rsid w:val="008730E4"/>
    <w:rsid w:val="0087317C"/>
    <w:rsid w:val="008733F7"/>
    <w:rsid w:val="008734B9"/>
    <w:rsid w:val="00873C3C"/>
    <w:rsid w:val="00873CB4"/>
    <w:rsid w:val="00873E0A"/>
    <w:rsid w:val="00874072"/>
    <w:rsid w:val="008740A7"/>
    <w:rsid w:val="0087414E"/>
    <w:rsid w:val="00874284"/>
    <w:rsid w:val="008746A8"/>
    <w:rsid w:val="00874914"/>
    <w:rsid w:val="00874F83"/>
    <w:rsid w:val="0087539C"/>
    <w:rsid w:val="008753C8"/>
    <w:rsid w:val="008756D9"/>
    <w:rsid w:val="00875D6F"/>
    <w:rsid w:val="00876022"/>
    <w:rsid w:val="008768CA"/>
    <w:rsid w:val="008769BE"/>
    <w:rsid w:val="008769DA"/>
    <w:rsid w:val="0087735B"/>
    <w:rsid w:val="0087779B"/>
    <w:rsid w:val="00877812"/>
    <w:rsid w:val="00877DF6"/>
    <w:rsid w:val="008803FA"/>
    <w:rsid w:val="00880721"/>
    <w:rsid w:val="00880767"/>
    <w:rsid w:val="00880D1B"/>
    <w:rsid w:val="00881214"/>
    <w:rsid w:val="008813B6"/>
    <w:rsid w:val="00881994"/>
    <w:rsid w:val="00881D27"/>
    <w:rsid w:val="00881D36"/>
    <w:rsid w:val="0088203A"/>
    <w:rsid w:val="008821F4"/>
    <w:rsid w:val="00882451"/>
    <w:rsid w:val="008826D9"/>
    <w:rsid w:val="00882E38"/>
    <w:rsid w:val="00883073"/>
    <w:rsid w:val="008831F1"/>
    <w:rsid w:val="0088338F"/>
    <w:rsid w:val="008833E7"/>
    <w:rsid w:val="00883435"/>
    <w:rsid w:val="0088375C"/>
    <w:rsid w:val="008837E1"/>
    <w:rsid w:val="008839B8"/>
    <w:rsid w:val="00883C41"/>
    <w:rsid w:val="00883E78"/>
    <w:rsid w:val="0088409A"/>
    <w:rsid w:val="0088411A"/>
    <w:rsid w:val="00884545"/>
    <w:rsid w:val="008846A1"/>
    <w:rsid w:val="008848D0"/>
    <w:rsid w:val="00884CB0"/>
    <w:rsid w:val="00884F06"/>
    <w:rsid w:val="00884FD2"/>
    <w:rsid w:val="00885399"/>
    <w:rsid w:val="0088544C"/>
    <w:rsid w:val="008857D1"/>
    <w:rsid w:val="008858A3"/>
    <w:rsid w:val="00885933"/>
    <w:rsid w:val="00885ECE"/>
    <w:rsid w:val="00885F91"/>
    <w:rsid w:val="0088618A"/>
    <w:rsid w:val="008863C5"/>
    <w:rsid w:val="00886525"/>
    <w:rsid w:val="00886653"/>
    <w:rsid w:val="00886A2A"/>
    <w:rsid w:val="008872D6"/>
    <w:rsid w:val="0088753E"/>
    <w:rsid w:val="0088784D"/>
    <w:rsid w:val="00887F61"/>
    <w:rsid w:val="008901F1"/>
    <w:rsid w:val="00890378"/>
    <w:rsid w:val="008905C4"/>
    <w:rsid w:val="008905D3"/>
    <w:rsid w:val="00890AA9"/>
    <w:rsid w:val="00890B01"/>
    <w:rsid w:val="0089107B"/>
    <w:rsid w:val="00891241"/>
    <w:rsid w:val="00891314"/>
    <w:rsid w:val="00891508"/>
    <w:rsid w:val="0089153D"/>
    <w:rsid w:val="0089156F"/>
    <w:rsid w:val="008915D9"/>
    <w:rsid w:val="00891712"/>
    <w:rsid w:val="008918B8"/>
    <w:rsid w:val="008918F9"/>
    <w:rsid w:val="00891916"/>
    <w:rsid w:val="008919CD"/>
    <w:rsid w:val="00891BE4"/>
    <w:rsid w:val="00891C00"/>
    <w:rsid w:val="00891D1E"/>
    <w:rsid w:val="00891E50"/>
    <w:rsid w:val="0089214D"/>
    <w:rsid w:val="00892451"/>
    <w:rsid w:val="008926C4"/>
    <w:rsid w:val="008927FF"/>
    <w:rsid w:val="00892815"/>
    <w:rsid w:val="008928A1"/>
    <w:rsid w:val="00892944"/>
    <w:rsid w:val="00892A3A"/>
    <w:rsid w:val="00892BCB"/>
    <w:rsid w:val="00892D9C"/>
    <w:rsid w:val="00892DE7"/>
    <w:rsid w:val="00892F35"/>
    <w:rsid w:val="00892F96"/>
    <w:rsid w:val="008934A7"/>
    <w:rsid w:val="00893887"/>
    <w:rsid w:val="0089392E"/>
    <w:rsid w:val="00893BD9"/>
    <w:rsid w:val="00893E51"/>
    <w:rsid w:val="00893ED4"/>
    <w:rsid w:val="00894219"/>
    <w:rsid w:val="00894469"/>
    <w:rsid w:val="008944E2"/>
    <w:rsid w:val="00894565"/>
    <w:rsid w:val="0089468C"/>
    <w:rsid w:val="008946E9"/>
    <w:rsid w:val="00894759"/>
    <w:rsid w:val="00894DBB"/>
    <w:rsid w:val="00895001"/>
    <w:rsid w:val="0089501E"/>
    <w:rsid w:val="00895539"/>
    <w:rsid w:val="008956D3"/>
    <w:rsid w:val="0089579E"/>
    <w:rsid w:val="008957C4"/>
    <w:rsid w:val="00895AF5"/>
    <w:rsid w:val="0089606E"/>
    <w:rsid w:val="008960CD"/>
    <w:rsid w:val="00896153"/>
    <w:rsid w:val="0089624C"/>
    <w:rsid w:val="00896468"/>
    <w:rsid w:val="00896703"/>
    <w:rsid w:val="00896814"/>
    <w:rsid w:val="00896CDC"/>
    <w:rsid w:val="00897374"/>
    <w:rsid w:val="00897728"/>
    <w:rsid w:val="00897744"/>
    <w:rsid w:val="008A045A"/>
    <w:rsid w:val="008A0831"/>
    <w:rsid w:val="008A08B0"/>
    <w:rsid w:val="008A0B97"/>
    <w:rsid w:val="008A0D5F"/>
    <w:rsid w:val="008A0E11"/>
    <w:rsid w:val="008A0E3F"/>
    <w:rsid w:val="008A0EAB"/>
    <w:rsid w:val="008A0EF7"/>
    <w:rsid w:val="008A1215"/>
    <w:rsid w:val="008A1242"/>
    <w:rsid w:val="008A12A1"/>
    <w:rsid w:val="008A14ED"/>
    <w:rsid w:val="008A15BF"/>
    <w:rsid w:val="008A162B"/>
    <w:rsid w:val="008A17AB"/>
    <w:rsid w:val="008A1A57"/>
    <w:rsid w:val="008A1A7C"/>
    <w:rsid w:val="008A1E84"/>
    <w:rsid w:val="008A22AA"/>
    <w:rsid w:val="008A23E6"/>
    <w:rsid w:val="008A2576"/>
    <w:rsid w:val="008A2793"/>
    <w:rsid w:val="008A2808"/>
    <w:rsid w:val="008A2984"/>
    <w:rsid w:val="008A2A0E"/>
    <w:rsid w:val="008A2AC0"/>
    <w:rsid w:val="008A2B7C"/>
    <w:rsid w:val="008A2C89"/>
    <w:rsid w:val="008A305D"/>
    <w:rsid w:val="008A3107"/>
    <w:rsid w:val="008A32DB"/>
    <w:rsid w:val="008A32E8"/>
    <w:rsid w:val="008A3409"/>
    <w:rsid w:val="008A36D8"/>
    <w:rsid w:val="008A3805"/>
    <w:rsid w:val="008A3CB2"/>
    <w:rsid w:val="008A3D9D"/>
    <w:rsid w:val="008A4138"/>
    <w:rsid w:val="008A4314"/>
    <w:rsid w:val="008A448D"/>
    <w:rsid w:val="008A4829"/>
    <w:rsid w:val="008A494B"/>
    <w:rsid w:val="008A4D33"/>
    <w:rsid w:val="008A4E21"/>
    <w:rsid w:val="008A4E90"/>
    <w:rsid w:val="008A5322"/>
    <w:rsid w:val="008A53E1"/>
    <w:rsid w:val="008A560D"/>
    <w:rsid w:val="008A5D36"/>
    <w:rsid w:val="008A64A6"/>
    <w:rsid w:val="008A6568"/>
    <w:rsid w:val="008A66ED"/>
    <w:rsid w:val="008A69C1"/>
    <w:rsid w:val="008A6AB5"/>
    <w:rsid w:val="008A6ADA"/>
    <w:rsid w:val="008A6B04"/>
    <w:rsid w:val="008A6CE6"/>
    <w:rsid w:val="008A6DF6"/>
    <w:rsid w:val="008A71D3"/>
    <w:rsid w:val="008A79B1"/>
    <w:rsid w:val="008A7A9F"/>
    <w:rsid w:val="008A7E79"/>
    <w:rsid w:val="008B075D"/>
    <w:rsid w:val="008B0A14"/>
    <w:rsid w:val="008B0C69"/>
    <w:rsid w:val="008B0E9A"/>
    <w:rsid w:val="008B11A1"/>
    <w:rsid w:val="008B1608"/>
    <w:rsid w:val="008B1629"/>
    <w:rsid w:val="008B1C83"/>
    <w:rsid w:val="008B1C88"/>
    <w:rsid w:val="008B1F2A"/>
    <w:rsid w:val="008B20E8"/>
    <w:rsid w:val="008B2394"/>
    <w:rsid w:val="008B23F2"/>
    <w:rsid w:val="008B2767"/>
    <w:rsid w:val="008B281C"/>
    <w:rsid w:val="008B288D"/>
    <w:rsid w:val="008B28A5"/>
    <w:rsid w:val="008B2C88"/>
    <w:rsid w:val="008B2E54"/>
    <w:rsid w:val="008B303D"/>
    <w:rsid w:val="008B34E8"/>
    <w:rsid w:val="008B365D"/>
    <w:rsid w:val="008B3920"/>
    <w:rsid w:val="008B3B34"/>
    <w:rsid w:val="008B40C4"/>
    <w:rsid w:val="008B4101"/>
    <w:rsid w:val="008B4481"/>
    <w:rsid w:val="008B45CD"/>
    <w:rsid w:val="008B46CC"/>
    <w:rsid w:val="008B4C32"/>
    <w:rsid w:val="008B4DD8"/>
    <w:rsid w:val="008B5049"/>
    <w:rsid w:val="008B5116"/>
    <w:rsid w:val="008B5352"/>
    <w:rsid w:val="008B5563"/>
    <w:rsid w:val="008B557F"/>
    <w:rsid w:val="008B55D8"/>
    <w:rsid w:val="008B5656"/>
    <w:rsid w:val="008B5805"/>
    <w:rsid w:val="008B5856"/>
    <w:rsid w:val="008B5A21"/>
    <w:rsid w:val="008B5AF6"/>
    <w:rsid w:val="008B5E91"/>
    <w:rsid w:val="008B6926"/>
    <w:rsid w:val="008B6C90"/>
    <w:rsid w:val="008B6E46"/>
    <w:rsid w:val="008B6F4F"/>
    <w:rsid w:val="008B71CB"/>
    <w:rsid w:val="008B746F"/>
    <w:rsid w:val="008B74FE"/>
    <w:rsid w:val="008B7654"/>
    <w:rsid w:val="008B7BF5"/>
    <w:rsid w:val="008C0494"/>
    <w:rsid w:val="008C06B2"/>
    <w:rsid w:val="008C0C4C"/>
    <w:rsid w:val="008C0C69"/>
    <w:rsid w:val="008C0CA1"/>
    <w:rsid w:val="008C0D84"/>
    <w:rsid w:val="008C0E6B"/>
    <w:rsid w:val="008C0E80"/>
    <w:rsid w:val="008C0EAE"/>
    <w:rsid w:val="008C1612"/>
    <w:rsid w:val="008C1894"/>
    <w:rsid w:val="008C18D1"/>
    <w:rsid w:val="008C1B9C"/>
    <w:rsid w:val="008C1E59"/>
    <w:rsid w:val="008C2390"/>
    <w:rsid w:val="008C250D"/>
    <w:rsid w:val="008C255F"/>
    <w:rsid w:val="008C28F0"/>
    <w:rsid w:val="008C2AA1"/>
    <w:rsid w:val="008C2E3F"/>
    <w:rsid w:val="008C2F37"/>
    <w:rsid w:val="008C31D9"/>
    <w:rsid w:val="008C344D"/>
    <w:rsid w:val="008C37F7"/>
    <w:rsid w:val="008C38B3"/>
    <w:rsid w:val="008C3A99"/>
    <w:rsid w:val="008C3BCA"/>
    <w:rsid w:val="008C4049"/>
    <w:rsid w:val="008C4756"/>
    <w:rsid w:val="008C48C3"/>
    <w:rsid w:val="008C48F4"/>
    <w:rsid w:val="008C4A23"/>
    <w:rsid w:val="008C4CFC"/>
    <w:rsid w:val="008C4DD9"/>
    <w:rsid w:val="008C4F13"/>
    <w:rsid w:val="008C501A"/>
    <w:rsid w:val="008C5216"/>
    <w:rsid w:val="008C59A7"/>
    <w:rsid w:val="008C5ABD"/>
    <w:rsid w:val="008C5FEA"/>
    <w:rsid w:val="008C6113"/>
    <w:rsid w:val="008C62A7"/>
    <w:rsid w:val="008C63E5"/>
    <w:rsid w:val="008C648E"/>
    <w:rsid w:val="008C6562"/>
    <w:rsid w:val="008C698E"/>
    <w:rsid w:val="008C6AB0"/>
    <w:rsid w:val="008C6ABE"/>
    <w:rsid w:val="008C6BD8"/>
    <w:rsid w:val="008C6ED4"/>
    <w:rsid w:val="008C73A9"/>
    <w:rsid w:val="008C7663"/>
    <w:rsid w:val="008C7A29"/>
    <w:rsid w:val="008C7BEF"/>
    <w:rsid w:val="008D027F"/>
    <w:rsid w:val="008D034D"/>
    <w:rsid w:val="008D0F41"/>
    <w:rsid w:val="008D11BA"/>
    <w:rsid w:val="008D11D5"/>
    <w:rsid w:val="008D122D"/>
    <w:rsid w:val="008D15C3"/>
    <w:rsid w:val="008D189F"/>
    <w:rsid w:val="008D1F36"/>
    <w:rsid w:val="008D1F96"/>
    <w:rsid w:val="008D2078"/>
    <w:rsid w:val="008D23EE"/>
    <w:rsid w:val="008D23FC"/>
    <w:rsid w:val="008D24C8"/>
    <w:rsid w:val="008D2561"/>
    <w:rsid w:val="008D2B16"/>
    <w:rsid w:val="008D2B9A"/>
    <w:rsid w:val="008D33A0"/>
    <w:rsid w:val="008D3BA1"/>
    <w:rsid w:val="008D3CBC"/>
    <w:rsid w:val="008D3E57"/>
    <w:rsid w:val="008D418D"/>
    <w:rsid w:val="008D41A4"/>
    <w:rsid w:val="008D41B3"/>
    <w:rsid w:val="008D45DD"/>
    <w:rsid w:val="008D49F5"/>
    <w:rsid w:val="008D4C6E"/>
    <w:rsid w:val="008D56BE"/>
    <w:rsid w:val="008D5705"/>
    <w:rsid w:val="008D6111"/>
    <w:rsid w:val="008D6348"/>
    <w:rsid w:val="008D63F0"/>
    <w:rsid w:val="008D6863"/>
    <w:rsid w:val="008D6C98"/>
    <w:rsid w:val="008D6EFB"/>
    <w:rsid w:val="008D6F4B"/>
    <w:rsid w:val="008D707D"/>
    <w:rsid w:val="008D73E5"/>
    <w:rsid w:val="008D7A3E"/>
    <w:rsid w:val="008D7C2C"/>
    <w:rsid w:val="008E012B"/>
    <w:rsid w:val="008E0368"/>
    <w:rsid w:val="008E036E"/>
    <w:rsid w:val="008E06C3"/>
    <w:rsid w:val="008E0B49"/>
    <w:rsid w:val="008E0B8B"/>
    <w:rsid w:val="008E0DE2"/>
    <w:rsid w:val="008E0E2D"/>
    <w:rsid w:val="008E137A"/>
    <w:rsid w:val="008E14F0"/>
    <w:rsid w:val="008E1665"/>
    <w:rsid w:val="008E1A7A"/>
    <w:rsid w:val="008E1A93"/>
    <w:rsid w:val="008E1C65"/>
    <w:rsid w:val="008E1D5C"/>
    <w:rsid w:val="008E1E74"/>
    <w:rsid w:val="008E1E81"/>
    <w:rsid w:val="008E28A1"/>
    <w:rsid w:val="008E2E6F"/>
    <w:rsid w:val="008E2FB8"/>
    <w:rsid w:val="008E308D"/>
    <w:rsid w:val="008E3575"/>
    <w:rsid w:val="008E37BB"/>
    <w:rsid w:val="008E37E9"/>
    <w:rsid w:val="008E3AE6"/>
    <w:rsid w:val="008E3E00"/>
    <w:rsid w:val="008E3F8E"/>
    <w:rsid w:val="008E414F"/>
    <w:rsid w:val="008E42DD"/>
    <w:rsid w:val="008E49F2"/>
    <w:rsid w:val="008E4B97"/>
    <w:rsid w:val="008E4BFA"/>
    <w:rsid w:val="008E4D3A"/>
    <w:rsid w:val="008E4EA5"/>
    <w:rsid w:val="008E5054"/>
    <w:rsid w:val="008E50E2"/>
    <w:rsid w:val="008E558C"/>
    <w:rsid w:val="008E55A6"/>
    <w:rsid w:val="008E599A"/>
    <w:rsid w:val="008E59DC"/>
    <w:rsid w:val="008E5ACB"/>
    <w:rsid w:val="008E5B76"/>
    <w:rsid w:val="008E5CFD"/>
    <w:rsid w:val="008E6186"/>
    <w:rsid w:val="008E641D"/>
    <w:rsid w:val="008E64C5"/>
    <w:rsid w:val="008E65E2"/>
    <w:rsid w:val="008E6639"/>
    <w:rsid w:val="008E676D"/>
    <w:rsid w:val="008E71C5"/>
    <w:rsid w:val="008E7389"/>
    <w:rsid w:val="008E73EE"/>
    <w:rsid w:val="008E763A"/>
    <w:rsid w:val="008E76C1"/>
    <w:rsid w:val="008E79FF"/>
    <w:rsid w:val="008E7D95"/>
    <w:rsid w:val="008F0128"/>
    <w:rsid w:val="008F0274"/>
    <w:rsid w:val="008F04CC"/>
    <w:rsid w:val="008F0980"/>
    <w:rsid w:val="008F0A13"/>
    <w:rsid w:val="008F0B48"/>
    <w:rsid w:val="008F0BB1"/>
    <w:rsid w:val="008F0C19"/>
    <w:rsid w:val="008F0C28"/>
    <w:rsid w:val="008F0D13"/>
    <w:rsid w:val="008F0EE4"/>
    <w:rsid w:val="008F1136"/>
    <w:rsid w:val="008F1388"/>
    <w:rsid w:val="008F13A7"/>
    <w:rsid w:val="008F13D0"/>
    <w:rsid w:val="008F1778"/>
    <w:rsid w:val="008F17CA"/>
    <w:rsid w:val="008F1A54"/>
    <w:rsid w:val="008F1C26"/>
    <w:rsid w:val="008F1FA0"/>
    <w:rsid w:val="008F2572"/>
    <w:rsid w:val="008F27F4"/>
    <w:rsid w:val="008F28AD"/>
    <w:rsid w:val="008F2947"/>
    <w:rsid w:val="008F2A91"/>
    <w:rsid w:val="008F2E14"/>
    <w:rsid w:val="008F2E78"/>
    <w:rsid w:val="008F311F"/>
    <w:rsid w:val="008F3194"/>
    <w:rsid w:val="008F3422"/>
    <w:rsid w:val="008F342C"/>
    <w:rsid w:val="008F3AD1"/>
    <w:rsid w:val="008F3CCC"/>
    <w:rsid w:val="008F3D16"/>
    <w:rsid w:val="008F3D69"/>
    <w:rsid w:val="008F3ED9"/>
    <w:rsid w:val="008F409C"/>
    <w:rsid w:val="008F418C"/>
    <w:rsid w:val="008F4492"/>
    <w:rsid w:val="008F45B6"/>
    <w:rsid w:val="008F4918"/>
    <w:rsid w:val="008F4B46"/>
    <w:rsid w:val="008F4DE2"/>
    <w:rsid w:val="008F4E2C"/>
    <w:rsid w:val="008F4F03"/>
    <w:rsid w:val="008F50CB"/>
    <w:rsid w:val="008F5293"/>
    <w:rsid w:val="008F5779"/>
    <w:rsid w:val="008F5959"/>
    <w:rsid w:val="008F5CB5"/>
    <w:rsid w:val="008F5D9D"/>
    <w:rsid w:val="008F67BD"/>
    <w:rsid w:val="008F67EF"/>
    <w:rsid w:val="008F6A5A"/>
    <w:rsid w:val="008F6ACB"/>
    <w:rsid w:val="008F6C93"/>
    <w:rsid w:val="008F6D40"/>
    <w:rsid w:val="008F70D5"/>
    <w:rsid w:val="008F7467"/>
    <w:rsid w:val="008F7676"/>
    <w:rsid w:val="008F78C3"/>
    <w:rsid w:val="008F7977"/>
    <w:rsid w:val="008F7B2F"/>
    <w:rsid w:val="008F7B69"/>
    <w:rsid w:val="008F7E13"/>
    <w:rsid w:val="008F7E98"/>
    <w:rsid w:val="008F7F03"/>
    <w:rsid w:val="0090005F"/>
    <w:rsid w:val="009000CF"/>
    <w:rsid w:val="00900315"/>
    <w:rsid w:val="009004B5"/>
    <w:rsid w:val="009006B0"/>
    <w:rsid w:val="009006C0"/>
    <w:rsid w:val="00900B1D"/>
    <w:rsid w:val="00900BCB"/>
    <w:rsid w:val="00900C85"/>
    <w:rsid w:val="00900F8B"/>
    <w:rsid w:val="0090102A"/>
    <w:rsid w:val="009011AE"/>
    <w:rsid w:val="00901454"/>
    <w:rsid w:val="0090146B"/>
    <w:rsid w:val="00901484"/>
    <w:rsid w:val="00901595"/>
    <w:rsid w:val="009015EE"/>
    <w:rsid w:val="009016AA"/>
    <w:rsid w:val="0090184C"/>
    <w:rsid w:val="00901B2A"/>
    <w:rsid w:val="00901BC3"/>
    <w:rsid w:val="00901C57"/>
    <w:rsid w:val="00901D2B"/>
    <w:rsid w:val="00901D34"/>
    <w:rsid w:val="00901FAB"/>
    <w:rsid w:val="00902372"/>
    <w:rsid w:val="00902472"/>
    <w:rsid w:val="00902486"/>
    <w:rsid w:val="009024A6"/>
    <w:rsid w:val="009024E8"/>
    <w:rsid w:val="009027C6"/>
    <w:rsid w:val="009028AD"/>
    <w:rsid w:val="009029C3"/>
    <w:rsid w:val="00902CD4"/>
    <w:rsid w:val="00902FC0"/>
    <w:rsid w:val="00903070"/>
    <w:rsid w:val="009030F8"/>
    <w:rsid w:val="0090334D"/>
    <w:rsid w:val="00903424"/>
    <w:rsid w:val="0090359F"/>
    <w:rsid w:val="009039BF"/>
    <w:rsid w:val="00903C83"/>
    <w:rsid w:val="00903D16"/>
    <w:rsid w:val="009040D6"/>
    <w:rsid w:val="009041D6"/>
    <w:rsid w:val="009043A2"/>
    <w:rsid w:val="009044CD"/>
    <w:rsid w:val="0090473B"/>
    <w:rsid w:val="00904845"/>
    <w:rsid w:val="00904EB8"/>
    <w:rsid w:val="0090510F"/>
    <w:rsid w:val="00905224"/>
    <w:rsid w:val="0090527B"/>
    <w:rsid w:val="0090558A"/>
    <w:rsid w:val="009055DD"/>
    <w:rsid w:val="00905611"/>
    <w:rsid w:val="00905824"/>
    <w:rsid w:val="0090593D"/>
    <w:rsid w:val="00905A39"/>
    <w:rsid w:val="00905C43"/>
    <w:rsid w:val="00906063"/>
    <w:rsid w:val="009062DC"/>
    <w:rsid w:val="0090642B"/>
    <w:rsid w:val="00906970"/>
    <w:rsid w:val="00906E00"/>
    <w:rsid w:val="00906FAB"/>
    <w:rsid w:val="00907353"/>
    <w:rsid w:val="00907544"/>
    <w:rsid w:val="00907782"/>
    <w:rsid w:val="0090778C"/>
    <w:rsid w:val="00907C60"/>
    <w:rsid w:val="00907FA9"/>
    <w:rsid w:val="009102BA"/>
    <w:rsid w:val="00910409"/>
    <w:rsid w:val="009105A1"/>
    <w:rsid w:val="009106B6"/>
    <w:rsid w:val="00910A3F"/>
    <w:rsid w:val="00910A79"/>
    <w:rsid w:val="00910D47"/>
    <w:rsid w:val="00910EFC"/>
    <w:rsid w:val="0091104F"/>
    <w:rsid w:val="00911488"/>
    <w:rsid w:val="0091153A"/>
    <w:rsid w:val="0091156B"/>
    <w:rsid w:val="009115B6"/>
    <w:rsid w:val="00911EA3"/>
    <w:rsid w:val="009124CF"/>
    <w:rsid w:val="009126F6"/>
    <w:rsid w:val="00912802"/>
    <w:rsid w:val="00912ACC"/>
    <w:rsid w:val="00912B28"/>
    <w:rsid w:val="00912C06"/>
    <w:rsid w:val="00912CFD"/>
    <w:rsid w:val="00912D67"/>
    <w:rsid w:val="00912DB4"/>
    <w:rsid w:val="009131E6"/>
    <w:rsid w:val="009132CB"/>
    <w:rsid w:val="00913394"/>
    <w:rsid w:val="009136B6"/>
    <w:rsid w:val="009137B0"/>
    <w:rsid w:val="00913AF5"/>
    <w:rsid w:val="00913B92"/>
    <w:rsid w:val="00913FD1"/>
    <w:rsid w:val="0091429C"/>
    <w:rsid w:val="0091437C"/>
    <w:rsid w:val="009148A2"/>
    <w:rsid w:val="0091492A"/>
    <w:rsid w:val="00914BF9"/>
    <w:rsid w:val="00914CF7"/>
    <w:rsid w:val="009154CE"/>
    <w:rsid w:val="00915F64"/>
    <w:rsid w:val="0091620A"/>
    <w:rsid w:val="00916911"/>
    <w:rsid w:val="00916935"/>
    <w:rsid w:val="00916B2E"/>
    <w:rsid w:val="00916D9B"/>
    <w:rsid w:val="00917039"/>
    <w:rsid w:val="0091710B"/>
    <w:rsid w:val="00917424"/>
    <w:rsid w:val="00917599"/>
    <w:rsid w:val="0091779E"/>
    <w:rsid w:val="0091786F"/>
    <w:rsid w:val="009178B5"/>
    <w:rsid w:val="00917CA8"/>
    <w:rsid w:val="00917FB7"/>
    <w:rsid w:val="00920194"/>
    <w:rsid w:val="00920396"/>
    <w:rsid w:val="009205BD"/>
    <w:rsid w:val="00920DEC"/>
    <w:rsid w:val="00920F97"/>
    <w:rsid w:val="00921446"/>
    <w:rsid w:val="00921700"/>
    <w:rsid w:val="00921897"/>
    <w:rsid w:val="00921910"/>
    <w:rsid w:val="00921A85"/>
    <w:rsid w:val="00921AFA"/>
    <w:rsid w:val="00921C3E"/>
    <w:rsid w:val="00921CFB"/>
    <w:rsid w:val="00921E18"/>
    <w:rsid w:val="00922047"/>
    <w:rsid w:val="00922146"/>
    <w:rsid w:val="0092246D"/>
    <w:rsid w:val="0092284B"/>
    <w:rsid w:val="00922F71"/>
    <w:rsid w:val="009231B8"/>
    <w:rsid w:val="009231EE"/>
    <w:rsid w:val="00923700"/>
    <w:rsid w:val="00923727"/>
    <w:rsid w:val="009238E6"/>
    <w:rsid w:val="00923B72"/>
    <w:rsid w:val="00924A5F"/>
    <w:rsid w:val="00924AB1"/>
    <w:rsid w:val="00924F3E"/>
    <w:rsid w:val="009251B2"/>
    <w:rsid w:val="009253C8"/>
    <w:rsid w:val="009258DC"/>
    <w:rsid w:val="00925F70"/>
    <w:rsid w:val="0092647F"/>
    <w:rsid w:val="00926523"/>
    <w:rsid w:val="00926769"/>
    <w:rsid w:val="00926866"/>
    <w:rsid w:val="00926BC6"/>
    <w:rsid w:val="00926E5B"/>
    <w:rsid w:val="00926F3C"/>
    <w:rsid w:val="00926FB4"/>
    <w:rsid w:val="009271A0"/>
    <w:rsid w:val="00927381"/>
    <w:rsid w:val="0092745C"/>
    <w:rsid w:val="00927CE3"/>
    <w:rsid w:val="00927F4E"/>
    <w:rsid w:val="00930221"/>
    <w:rsid w:val="009308D2"/>
    <w:rsid w:val="009309E8"/>
    <w:rsid w:val="00930A93"/>
    <w:rsid w:val="00930AF4"/>
    <w:rsid w:val="00930B82"/>
    <w:rsid w:val="00930DD2"/>
    <w:rsid w:val="00930F42"/>
    <w:rsid w:val="00931750"/>
    <w:rsid w:val="009317B7"/>
    <w:rsid w:val="00931810"/>
    <w:rsid w:val="009318D1"/>
    <w:rsid w:val="00931B0F"/>
    <w:rsid w:val="00931C08"/>
    <w:rsid w:val="00931CD7"/>
    <w:rsid w:val="0093237A"/>
    <w:rsid w:val="00932537"/>
    <w:rsid w:val="00932CCB"/>
    <w:rsid w:val="00932D1B"/>
    <w:rsid w:val="00932DBB"/>
    <w:rsid w:val="0093300C"/>
    <w:rsid w:val="00933199"/>
    <w:rsid w:val="009331C9"/>
    <w:rsid w:val="00933282"/>
    <w:rsid w:val="00933462"/>
    <w:rsid w:val="0093359C"/>
    <w:rsid w:val="0093361C"/>
    <w:rsid w:val="00933732"/>
    <w:rsid w:val="00933756"/>
    <w:rsid w:val="0093385E"/>
    <w:rsid w:val="0093431D"/>
    <w:rsid w:val="00934370"/>
    <w:rsid w:val="0093471E"/>
    <w:rsid w:val="00934E2D"/>
    <w:rsid w:val="00934F9C"/>
    <w:rsid w:val="009350CE"/>
    <w:rsid w:val="00935D28"/>
    <w:rsid w:val="00935F37"/>
    <w:rsid w:val="0093627E"/>
    <w:rsid w:val="00936576"/>
    <w:rsid w:val="00936632"/>
    <w:rsid w:val="00936B13"/>
    <w:rsid w:val="00936BCE"/>
    <w:rsid w:val="009371BF"/>
    <w:rsid w:val="009375D6"/>
    <w:rsid w:val="0093777F"/>
    <w:rsid w:val="00937AF1"/>
    <w:rsid w:val="00937B6A"/>
    <w:rsid w:val="00937C91"/>
    <w:rsid w:val="00940055"/>
    <w:rsid w:val="0094029B"/>
    <w:rsid w:val="00940512"/>
    <w:rsid w:val="0094053D"/>
    <w:rsid w:val="00940726"/>
    <w:rsid w:val="009407C7"/>
    <w:rsid w:val="00940827"/>
    <w:rsid w:val="009408A5"/>
    <w:rsid w:val="00940F2F"/>
    <w:rsid w:val="0094126A"/>
    <w:rsid w:val="0094136F"/>
    <w:rsid w:val="00941A7E"/>
    <w:rsid w:val="00941BF6"/>
    <w:rsid w:val="00941C06"/>
    <w:rsid w:val="0094231E"/>
    <w:rsid w:val="0094233A"/>
    <w:rsid w:val="00942842"/>
    <w:rsid w:val="009428C7"/>
    <w:rsid w:val="00942A43"/>
    <w:rsid w:val="00942DD8"/>
    <w:rsid w:val="00943146"/>
    <w:rsid w:val="0094358A"/>
    <w:rsid w:val="00943791"/>
    <w:rsid w:val="00943ADF"/>
    <w:rsid w:val="00943B60"/>
    <w:rsid w:val="00943BB6"/>
    <w:rsid w:val="00943E8E"/>
    <w:rsid w:val="0094413C"/>
    <w:rsid w:val="009441C5"/>
    <w:rsid w:val="00944235"/>
    <w:rsid w:val="009442B2"/>
    <w:rsid w:val="00944465"/>
    <w:rsid w:val="009447A2"/>
    <w:rsid w:val="00944A12"/>
    <w:rsid w:val="00944B0B"/>
    <w:rsid w:val="00944C43"/>
    <w:rsid w:val="009452EE"/>
    <w:rsid w:val="0094542A"/>
    <w:rsid w:val="009456A9"/>
    <w:rsid w:val="0094588E"/>
    <w:rsid w:val="00945B69"/>
    <w:rsid w:val="00945C91"/>
    <w:rsid w:val="0094620A"/>
    <w:rsid w:val="00946293"/>
    <w:rsid w:val="009465FA"/>
    <w:rsid w:val="00946EB9"/>
    <w:rsid w:val="00947379"/>
    <w:rsid w:val="009474F5"/>
    <w:rsid w:val="00947771"/>
    <w:rsid w:val="009478D1"/>
    <w:rsid w:val="00947BDB"/>
    <w:rsid w:val="00947C33"/>
    <w:rsid w:val="00947FFE"/>
    <w:rsid w:val="0095019A"/>
    <w:rsid w:val="0095030D"/>
    <w:rsid w:val="009505B8"/>
    <w:rsid w:val="009506AC"/>
    <w:rsid w:val="00950784"/>
    <w:rsid w:val="00950C71"/>
    <w:rsid w:val="00950FB5"/>
    <w:rsid w:val="00950FE4"/>
    <w:rsid w:val="0095102A"/>
    <w:rsid w:val="00951070"/>
    <w:rsid w:val="009510FC"/>
    <w:rsid w:val="00951354"/>
    <w:rsid w:val="009513BF"/>
    <w:rsid w:val="00951640"/>
    <w:rsid w:val="00951E93"/>
    <w:rsid w:val="00952239"/>
    <w:rsid w:val="009524F7"/>
    <w:rsid w:val="0095263C"/>
    <w:rsid w:val="0095272C"/>
    <w:rsid w:val="009527A6"/>
    <w:rsid w:val="009528C7"/>
    <w:rsid w:val="00952980"/>
    <w:rsid w:val="0095298A"/>
    <w:rsid w:val="00952DAB"/>
    <w:rsid w:val="009531C1"/>
    <w:rsid w:val="009531F0"/>
    <w:rsid w:val="00953230"/>
    <w:rsid w:val="009534EC"/>
    <w:rsid w:val="00953673"/>
    <w:rsid w:val="009536D5"/>
    <w:rsid w:val="00953767"/>
    <w:rsid w:val="00953A75"/>
    <w:rsid w:val="00953D24"/>
    <w:rsid w:val="0095435D"/>
    <w:rsid w:val="009543D2"/>
    <w:rsid w:val="009544DE"/>
    <w:rsid w:val="00954618"/>
    <w:rsid w:val="0095479A"/>
    <w:rsid w:val="00954853"/>
    <w:rsid w:val="00954B24"/>
    <w:rsid w:val="0095569D"/>
    <w:rsid w:val="00955941"/>
    <w:rsid w:val="009559D1"/>
    <w:rsid w:val="00955BC2"/>
    <w:rsid w:val="00955F62"/>
    <w:rsid w:val="00956314"/>
    <w:rsid w:val="009563D5"/>
    <w:rsid w:val="00956470"/>
    <w:rsid w:val="00956A63"/>
    <w:rsid w:val="00956CA9"/>
    <w:rsid w:val="009576CD"/>
    <w:rsid w:val="00957A14"/>
    <w:rsid w:val="00957DA8"/>
    <w:rsid w:val="0096041C"/>
    <w:rsid w:val="0096043F"/>
    <w:rsid w:val="0096089D"/>
    <w:rsid w:val="00960AE0"/>
    <w:rsid w:val="00960B43"/>
    <w:rsid w:val="00960BAE"/>
    <w:rsid w:val="00960CA6"/>
    <w:rsid w:val="00960CE4"/>
    <w:rsid w:val="00960F97"/>
    <w:rsid w:val="009611AE"/>
    <w:rsid w:val="009612F1"/>
    <w:rsid w:val="009614B2"/>
    <w:rsid w:val="00961BD2"/>
    <w:rsid w:val="00961CEB"/>
    <w:rsid w:val="00961CF6"/>
    <w:rsid w:val="009620F2"/>
    <w:rsid w:val="00962814"/>
    <w:rsid w:val="0096290F"/>
    <w:rsid w:val="0096294F"/>
    <w:rsid w:val="00962C10"/>
    <w:rsid w:val="00962F65"/>
    <w:rsid w:val="00963145"/>
    <w:rsid w:val="009634C3"/>
    <w:rsid w:val="009636BC"/>
    <w:rsid w:val="00963A6C"/>
    <w:rsid w:val="00963D82"/>
    <w:rsid w:val="00963DBA"/>
    <w:rsid w:val="0096425B"/>
    <w:rsid w:val="009643AD"/>
    <w:rsid w:val="0096458D"/>
    <w:rsid w:val="00964993"/>
    <w:rsid w:val="00964DCC"/>
    <w:rsid w:val="00964F4B"/>
    <w:rsid w:val="00965023"/>
    <w:rsid w:val="0096519F"/>
    <w:rsid w:val="0096535F"/>
    <w:rsid w:val="00965458"/>
    <w:rsid w:val="009654B6"/>
    <w:rsid w:val="00965545"/>
    <w:rsid w:val="009655B2"/>
    <w:rsid w:val="00965615"/>
    <w:rsid w:val="009658AF"/>
    <w:rsid w:val="00965967"/>
    <w:rsid w:val="009659A9"/>
    <w:rsid w:val="00965CB2"/>
    <w:rsid w:val="00965F4C"/>
    <w:rsid w:val="00966290"/>
    <w:rsid w:val="00966625"/>
    <w:rsid w:val="00966C01"/>
    <w:rsid w:val="00966F68"/>
    <w:rsid w:val="00967027"/>
    <w:rsid w:val="009675F8"/>
    <w:rsid w:val="00967DF7"/>
    <w:rsid w:val="009700FD"/>
    <w:rsid w:val="009701AE"/>
    <w:rsid w:val="0097020B"/>
    <w:rsid w:val="0097020E"/>
    <w:rsid w:val="00970248"/>
    <w:rsid w:val="009708A1"/>
    <w:rsid w:val="00970A6E"/>
    <w:rsid w:val="00970BC9"/>
    <w:rsid w:val="00970C79"/>
    <w:rsid w:val="00970ED5"/>
    <w:rsid w:val="00970EFE"/>
    <w:rsid w:val="00970FA3"/>
    <w:rsid w:val="009712B1"/>
    <w:rsid w:val="009714AC"/>
    <w:rsid w:val="009714CC"/>
    <w:rsid w:val="0097162E"/>
    <w:rsid w:val="009716CB"/>
    <w:rsid w:val="009718AE"/>
    <w:rsid w:val="00971942"/>
    <w:rsid w:val="00971E55"/>
    <w:rsid w:val="00971FA5"/>
    <w:rsid w:val="00972049"/>
    <w:rsid w:val="009728FC"/>
    <w:rsid w:val="00972C87"/>
    <w:rsid w:val="00972DF5"/>
    <w:rsid w:val="00972F13"/>
    <w:rsid w:val="009731C2"/>
    <w:rsid w:val="0097326F"/>
    <w:rsid w:val="009732E9"/>
    <w:rsid w:val="009735F3"/>
    <w:rsid w:val="00973932"/>
    <w:rsid w:val="00973C20"/>
    <w:rsid w:val="00973CD6"/>
    <w:rsid w:val="009740BC"/>
    <w:rsid w:val="0097414B"/>
    <w:rsid w:val="00974911"/>
    <w:rsid w:val="00974ADE"/>
    <w:rsid w:val="009751DE"/>
    <w:rsid w:val="009751F5"/>
    <w:rsid w:val="00975281"/>
    <w:rsid w:val="009753D4"/>
    <w:rsid w:val="00975615"/>
    <w:rsid w:val="00975810"/>
    <w:rsid w:val="00975986"/>
    <w:rsid w:val="00975DEA"/>
    <w:rsid w:val="00975E13"/>
    <w:rsid w:val="00975F45"/>
    <w:rsid w:val="009760AA"/>
    <w:rsid w:val="0097617C"/>
    <w:rsid w:val="009762E1"/>
    <w:rsid w:val="00976518"/>
    <w:rsid w:val="00976A8E"/>
    <w:rsid w:val="00976AD8"/>
    <w:rsid w:val="00976DAD"/>
    <w:rsid w:val="00976EF8"/>
    <w:rsid w:val="009770E2"/>
    <w:rsid w:val="0097715F"/>
    <w:rsid w:val="00977374"/>
    <w:rsid w:val="009778D0"/>
    <w:rsid w:val="0097797C"/>
    <w:rsid w:val="00977AAF"/>
    <w:rsid w:val="00977B79"/>
    <w:rsid w:val="00977D80"/>
    <w:rsid w:val="00977DAB"/>
    <w:rsid w:val="00980496"/>
    <w:rsid w:val="009804DB"/>
    <w:rsid w:val="00980611"/>
    <w:rsid w:val="00980656"/>
    <w:rsid w:val="009807BA"/>
    <w:rsid w:val="009808C4"/>
    <w:rsid w:val="00980B6C"/>
    <w:rsid w:val="00980FD2"/>
    <w:rsid w:val="009810BA"/>
    <w:rsid w:val="0098110B"/>
    <w:rsid w:val="0098152C"/>
    <w:rsid w:val="0098159D"/>
    <w:rsid w:val="0098177D"/>
    <w:rsid w:val="009819F7"/>
    <w:rsid w:val="00981A2C"/>
    <w:rsid w:val="00981C24"/>
    <w:rsid w:val="00981C34"/>
    <w:rsid w:val="00981E20"/>
    <w:rsid w:val="00981EAE"/>
    <w:rsid w:val="00981F83"/>
    <w:rsid w:val="009822A0"/>
    <w:rsid w:val="00982D57"/>
    <w:rsid w:val="0098303B"/>
    <w:rsid w:val="0098317D"/>
    <w:rsid w:val="00983866"/>
    <w:rsid w:val="00983C12"/>
    <w:rsid w:val="00983DA7"/>
    <w:rsid w:val="00983F1A"/>
    <w:rsid w:val="009840CD"/>
    <w:rsid w:val="009842ED"/>
    <w:rsid w:val="00984A17"/>
    <w:rsid w:val="00984B6C"/>
    <w:rsid w:val="00984BE1"/>
    <w:rsid w:val="00984F8A"/>
    <w:rsid w:val="00984F96"/>
    <w:rsid w:val="00984FAD"/>
    <w:rsid w:val="00985064"/>
    <w:rsid w:val="0098514B"/>
    <w:rsid w:val="009852A0"/>
    <w:rsid w:val="00985759"/>
    <w:rsid w:val="00985C3C"/>
    <w:rsid w:val="00986017"/>
    <w:rsid w:val="009862E2"/>
    <w:rsid w:val="0098648A"/>
    <w:rsid w:val="009864B9"/>
    <w:rsid w:val="009864F4"/>
    <w:rsid w:val="009864F8"/>
    <w:rsid w:val="00986884"/>
    <w:rsid w:val="00986981"/>
    <w:rsid w:val="00986D70"/>
    <w:rsid w:val="00987610"/>
    <w:rsid w:val="00987853"/>
    <w:rsid w:val="00987A34"/>
    <w:rsid w:val="00987B44"/>
    <w:rsid w:val="00987B61"/>
    <w:rsid w:val="00987B68"/>
    <w:rsid w:val="00987D85"/>
    <w:rsid w:val="00987E34"/>
    <w:rsid w:val="00987E85"/>
    <w:rsid w:val="009903E9"/>
    <w:rsid w:val="00990810"/>
    <w:rsid w:val="00990922"/>
    <w:rsid w:val="009909AC"/>
    <w:rsid w:val="00991363"/>
    <w:rsid w:val="00991A6C"/>
    <w:rsid w:val="00991B4E"/>
    <w:rsid w:val="00991C9E"/>
    <w:rsid w:val="00991CE6"/>
    <w:rsid w:val="00991E8A"/>
    <w:rsid w:val="00991EEE"/>
    <w:rsid w:val="00992013"/>
    <w:rsid w:val="00992269"/>
    <w:rsid w:val="00992270"/>
    <w:rsid w:val="00992590"/>
    <w:rsid w:val="00992654"/>
    <w:rsid w:val="0099277D"/>
    <w:rsid w:val="009927E6"/>
    <w:rsid w:val="00992A82"/>
    <w:rsid w:val="00992A83"/>
    <w:rsid w:val="009934FB"/>
    <w:rsid w:val="009938B9"/>
    <w:rsid w:val="00993923"/>
    <w:rsid w:val="00993B55"/>
    <w:rsid w:val="00993ECE"/>
    <w:rsid w:val="00993F21"/>
    <w:rsid w:val="00993F27"/>
    <w:rsid w:val="00993F7A"/>
    <w:rsid w:val="0099407E"/>
    <w:rsid w:val="009940A7"/>
    <w:rsid w:val="009940C9"/>
    <w:rsid w:val="0099437C"/>
    <w:rsid w:val="009944F9"/>
    <w:rsid w:val="009944FC"/>
    <w:rsid w:val="0099469A"/>
    <w:rsid w:val="009949C3"/>
    <w:rsid w:val="00995003"/>
    <w:rsid w:val="00995427"/>
    <w:rsid w:val="00995761"/>
    <w:rsid w:val="0099576B"/>
    <w:rsid w:val="009957FF"/>
    <w:rsid w:val="009959C8"/>
    <w:rsid w:val="00995A1D"/>
    <w:rsid w:val="00995B6C"/>
    <w:rsid w:val="00995BD6"/>
    <w:rsid w:val="0099626D"/>
    <w:rsid w:val="009964BA"/>
    <w:rsid w:val="009965F1"/>
    <w:rsid w:val="009966C6"/>
    <w:rsid w:val="009967BF"/>
    <w:rsid w:val="0099686B"/>
    <w:rsid w:val="00996AD8"/>
    <w:rsid w:val="00996B18"/>
    <w:rsid w:val="00996EB0"/>
    <w:rsid w:val="0099706D"/>
    <w:rsid w:val="00997197"/>
    <w:rsid w:val="0099732B"/>
    <w:rsid w:val="00997356"/>
    <w:rsid w:val="0099768B"/>
    <w:rsid w:val="0099769C"/>
    <w:rsid w:val="0099788E"/>
    <w:rsid w:val="00997E1E"/>
    <w:rsid w:val="00997E7F"/>
    <w:rsid w:val="00997FC5"/>
    <w:rsid w:val="009A0085"/>
    <w:rsid w:val="009A0198"/>
    <w:rsid w:val="009A03C1"/>
    <w:rsid w:val="009A03E5"/>
    <w:rsid w:val="009A04D0"/>
    <w:rsid w:val="009A068E"/>
    <w:rsid w:val="009A097F"/>
    <w:rsid w:val="009A0BC4"/>
    <w:rsid w:val="009A0C45"/>
    <w:rsid w:val="009A0DBB"/>
    <w:rsid w:val="009A0EE3"/>
    <w:rsid w:val="009A0EE8"/>
    <w:rsid w:val="009A0FC7"/>
    <w:rsid w:val="009A1184"/>
    <w:rsid w:val="009A13E6"/>
    <w:rsid w:val="009A1587"/>
    <w:rsid w:val="009A1805"/>
    <w:rsid w:val="009A195F"/>
    <w:rsid w:val="009A19B0"/>
    <w:rsid w:val="009A1D41"/>
    <w:rsid w:val="009A249C"/>
    <w:rsid w:val="009A28FC"/>
    <w:rsid w:val="009A2A24"/>
    <w:rsid w:val="009A2B08"/>
    <w:rsid w:val="009A35CB"/>
    <w:rsid w:val="009A35CC"/>
    <w:rsid w:val="009A3969"/>
    <w:rsid w:val="009A3AA3"/>
    <w:rsid w:val="009A3F8D"/>
    <w:rsid w:val="009A400C"/>
    <w:rsid w:val="009A46FC"/>
    <w:rsid w:val="009A49E8"/>
    <w:rsid w:val="009A4B62"/>
    <w:rsid w:val="009A4EBA"/>
    <w:rsid w:val="009A507D"/>
    <w:rsid w:val="009A5510"/>
    <w:rsid w:val="009A586C"/>
    <w:rsid w:val="009A5C2E"/>
    <w:rsid w:val="009A5D18"/>
    <w:rsid w:val="009A5DD1"/>
    <w:rsid w:val="009A5E8C"/>
    <w:rsid w:val="009A6117"/>
    <w:rsid w:val="009A6161"/>
    <w:rsid w:val="009A621B"/>
    <w:rsid w:val="009A633C"/>
    <w:rsid w:val="009A68B2"/>
    <w:rsid w:val="009A6A25"/>
    <w:rsid w:val="009A6B04"/>
    <w:rsid w:val="009A6BB4"/>
    <w:rsid w:val="009A6E5B"/>
    <w:rsid w:val="009A70CA"/>
    <w:rsid w:val="009A7193"/>
    <w:rsid w:val="009A7306"/>
    <w:rsid w:val="009A742F"/>
    <w:rsid w:val="009A75A7"/>
    <w:rsid w:val="009A7947"/>
    <w:rsid w:val="009A7BD2"/>
    <w:rsid w:val="009A7FC8"/>
    <w:rsid w:val="009B06BB"/>
    <w:rsid w:val="009B09B0"/>
    <w:rsid w:val="009B1324"/>
    <w:rsid w:val="009B138D"/>
    <w:rsid w:val="009B14C3"/>
    <w:rsid w:val="009B15EC"/>
    <w:rsid w:val="009B1C12"/>
    <w:rsid w:val="009B1CD5"/>
    <w:rsid w:val="009B1D8C"/>
    <w:rsid w:val="009B1D9C"/>
    <w:rsid w:val="009B2661"/>
    <w:rsid w:val="009B268E"/>
    <w:rsid w:val="009B2784"/>
    <w:rsid w:val="009B295D"/>
    <w:rsid w:val="009B2968"/>
    <w:rsid w:val="009B2BB9"/>
    <w:rsid w:val="009B2D70"/>
    <w:rsid w:val="009B2F97"/>
    <w:rsid w:val="009B3282"/>
    <w:rsid w:val="009B33D4"/>
    <w:rsid w:val="009B35DF"/>
    <w:rsid w:val="009B35FA"/>
    <w:rsid w:val="009B3688"/>
    <w:rsid w:val="009B3ABB"/>
    <w:rsid w:val="009B3B5F"/>
    <w:rsid w:val="009B3F3D"/>
    <w:rsid w:val="009B3FB0"/>
    <w:rsid w:val="009B427B"/>
    <w:rsid w:val="009B432D"/>
    <w:rsid w:val="009B43D6"/>
    <w:rsid w:val="009B44AE"/>
    <w:rsid w:val="009B4652"/>
    <w:rsid w:val="009B47A4"/>
    <w:rsid w:val="009B47EA"/>
    <w:rsid w:val="009B48AB"/>
    <w:rsid w:val="009B4A78"/>
    <w:rsid w:val="009B4A79"/>
    <w:rsid w:val="009B4C0E"/>
    <w:rsid w:val="009B4F03"/>
    <w:rsid w:val="009B552A"/>
    <w:rsid w:val="009B555B"/>
    <w:rsid w:val="009B561A"/>
    <w:rsid w:val="009B5681"/>
    <w:rsid w:val="009B5857"/>
    <w:rsid w:val="009B593F"/>
    <w:rsid w:val="009B5A00"/>
    <w:rsid w:val="009B5AB1"/>
    <w:rsid w:val="009B5EE9"/>
    <w:rsid w:val="009B6186"/>
    <w:rsid w:val="009B6198"/>
    <w:rsid w:val="009B693E"/>
    <w:rsid w:val="009B727A"/>
    <w:rsid w:val="009B728A"/>
    <w:rsid w:val="009B73BF"/>
    <w:rsid w:val="009B7A29"/>
    <w:rsid w:val="009B7C35"/>
    <w:rsid w:val="009B7DCB"/>
    <w:rsid w:val="009B7F8A"/>
    <w:rsid w:val="009C016E"/>
    <w:rsid w:val="009C02DE"/>
    <w:rsid w:val="009C04F3"/>
    <w:rsid w:val="009C0593"/>
    <w:rsid w:val="009C089E"/>
    <w:rsid w:val="009C090A"/>
    <w:rsid w:val="009C0C66"/>
    <w:rsid w:val="009C0C77"/>
    <w:rsid w:val="009C10B4"/>
    <w:rsid w:val="009C1436"/>
    <w:rsid w:val="009C1529"/>
    <w:rsid w:val="009C153A"/>
    <w:rsid w:val="009C1AE4"/>
    <w:rsid w:val="009C1F22"/>
    <w:rsid w:val="009C208D"/>
    <w:rsid w:val="009C2447"/>
    <w:rsid w:val="009C2A3B"/>
    <w:rsid w:val="009C316A"/>
    <w:rsid w:val="009C41AB"/>
    <w:rsid w:val="009C41AF"/>
    <w:rsid w:val="009C4788"/>
    <w:rsid w:val="009C47C9"/>
    <w:rsid w:val="009C48BA"/>
    <w:rsid w:val="009C4C44"/>
    <w:rsid w:val="009C4D9A"/>
    <w:rsid w:val="009C4E19"/>
    <w:rsid w:val="009C4E71"/>
    <w:rsid w:val="009C54E4"/>
    <w:rsid w:val="009C5C18"/>
    <w:rsid w:val="009C5C27"/>
    <w:rsid w:val="009C6092"/>
    <w:rsid w:val="009C61AC"/>
    <w:rsid w:val="009C6526"/>
    <w:rsid w:val="009C673C"/>
    <w:rsid w:val="009C6832"/>
    <w:rsid w:val="009C68A8"/>
    <w:rsid w:val="009C6B1A"/>
    <w:rsid w:val="009C6BED"/>
    <w:rsid w:val="009C7094"/>
    <w:rsid w:val="009C7140"/>
    <w:rsid w:val="009C717D"/>
    <w:rsid w:val="009C7181"/>
    <w:rsid w:val="009C75FB"/>
    <w:rsid w:val="009C7776"/>
    <w:rsid w:val="009C7F9E"/>
    <w:rsid w:val="009D0004"/>
    <w:rsid w:val="009D03A5"/>
    <w:rsid w:val="009D0566"/>
    <w:rsid w:val="009D06B5"/>
    <w:rsid w:val="009D0A23"/>
    <w:rsid w:val="009D0A55"/>
    <w:rsid w:val="009D0E11"/>
    <w:rsid w:val="009D0F3F"/>
    <w:rsid w:val="009D1368"/>
    <w:rsid w:val="009D18C6"/>
    <w:rsid w:val="009D1981"/>
    <w:rsid w:val="009D1DFF"/>
    <w:rsid w:val="009D1EB0"/>
    <w:rsid w:val="009D1FD3"/>
    <w:rsid w:val="009D2A1D"/>
    <w:rsid w:val="009D2D69"/>
    <w:rsid w:val="009D2FC4"/>
    <w:rsid w:val="009D30F2"/>
    <w:rsid w:val="009D32A7"/>
    <w:rsid w:val="009D32B5"/>
    <w:rsid w:val="009D34EF"/>
    <w:rsid w:val="009D358E"/>
    <w:rsid w:val="009D3EE5"/>
    <w:rsid w:val="009D4134"/>
    <w:rsid w:val="009D4498"/>
    <w:rsid w:val="009D47BB"/>
    <w:rsid w:val="009D49E8"/>
    <w:rsid w:val="009D4DF1"/>
    <w:rsid w:val="009D4E26"/>
    <w:rsid w:val="009D4E31"/>
    <w:rsid w:val="009D4EE8"/>
    <w:rsid w:val="009D5330"/>
    <w:rsid w:val="009D54F9"/>
    <w:rsid w:val="009D5563"/>
    <w:rsid w:val="009D5718"/>
    <w:rsid w:val="009D58E3"/>
    <w:rsid w:val="009D5AE9"/>
    <w:rsid w:val="009D5B02"/>
    <w:rsid w:val="009D5C85"/>
    <w:rsid w:val="009D5D6C"/>
    <w:rsid w:val="009D6489"/>
    <w:rsid w:val="009D66A6"/>
    <w:rsid w:val="009D66C2"/>
    <w:rsid w:val="009D6822"/>
    <w:rsid w:val="009D6B1F"/>
    <w:rsid w:val="009D6BF1"/>
    <w:rsid w:val="009D6CBF"/>
    <w:rsid w:val="009D6CDB"/>
    <w:rsid w:val="009D6E17"/>
    <w:rsid w:val="009D733B"/>
    <w:rsid w:val="009D761A"/>
    <w:rsid w:val="009D768B"/>
    <w:rsid w:val="009D771A"/>
    <w:rsid w:val="009D78A7"/>
    <w:rsid w:val="009D79FC"/>
    <w:rsid w:val="009D7A3D"/>
    <w:rsid w:val="009D7D02"/>
    <w:rsid w:val="009E03E6"/>
    <w:rsid w:val="009E03FB"/>
    <w:rsid w:val="009E04C1"/>
    <w:rsid w:val="009E05BA"/>
    <w:rsid w:val="009E0A7F"/>
    <w:rsid w:val="009E0C2A"/>
    <w:rsid w:val="009E0DB3"/>
    <w:rsid w:val="009E102E"/>
    <w:rsid w:val="009E11DD"/>
    <w:rsid w:val="009E155B"/>
    <w:rsid w:val="009E1DEB"/>
    <w:rsid w:val="009E1E76"/>
    <w:rsid w:val="009E1F9D"/>
    <w:rsid w:val="009E2203"/>
    <w:rsid w:val="009E2358"/>
    <w:rsid w:val="009E2600"/>
    <w:rsid w:val="009E27E6"/>
    <w:rsid w:val="009E2A5F"/>
    <w:rsid w:val="009E2B10"/>
    <w:rsid w:val="009E2C8E"/>
    <w:rsid w:val="009E2D75"/>
    <w:rsid w:val="009E317A"/>
    <w:rsid w:val="009E31AD"/>
    <w:rsid w:val="009E35F2"/>
    <w:rsid w:val="009E3833"/>
    <w:rsid w:val="009E3859"/>
    <w:rsid w:val="009E3988"/>
    <w:rsid w:val="009E3DE2"/>
    <w:rsid w:val="009E3E27"/>
    <w:rsid w:val="009E4093"/>
    <w:rsid w:val="009E415F"/>
    <w:rsid w:val="009E4163"/>
    <w:rsid w:val="009E42D7"/>
    <w:rsid w:val="009E4638"/>
    <w:rsid w:val="009E47B7"/>
    <w:rsid w:val="009E4A95"/>
    <w:rsid w:val="009E528D"/>
    <w:rsid w:val="009E5A1D"/>
    <w:rsid w:val="009E5FE4"/>
    <w:rsid w:val="009E600E"/>
    <w:rsid w:val="009E6268"/>
    <w:rsid w:val="009E64D8"/>
    <w:rsid w:val="009E6592"/>
    <w:rsid w:val="009E664F"/>
    <w:rsid w:val="009E66C2"/>
    <w:rsid w:val="009E6C6F"/>
    <w:rsid w:val="009E6C74"/>
    <w:rsid w:val="009E6D66"/>
    <w:rsid w:val="009E6E13"/>
    <w:rsid w:val="009E72A9"/>
    <w:rsid w:val="009E7473"/>
    <w:rsid w:val="009E7556"/>
    <w:rsid w:val="009E759E"/>
    <w:rsid w:val="009E7984"/>
    <w:rsid w:val="009E7C1F"/>
    <w:rsid w:val="009E7DA7"/>
    <w:rsid w:val="009E7F3D"/>
    <w:rsid w:val="009F008F"/>
    <w:rsid w:val="009F0351"/>
    <w:rsid w:val="009F0358"/>
    <w:rsid w:val="009F0A52"/>
    <w:rsid w:val="009F1BB1"/>
    <w:rsid w:val="009F1C84"/>
    <w:rsid w:val="009F2301"/>
    <w:rsid w:val="009F287A"/>
    <w:rsid w:val="009F28F1"/>
    <w:rsid w:val="009F2B08"/>
    <w:rsid w:val="009F2C1D"/>
    <w:rsid w:val="009F2EC2"/>
    <w:rsid w:val="009F2F38"/>
    <w:rsid w:val="009F2FBB"/>
    <w:rsid w:val="009F2FBD"/>
    <w:rsid w:val="009F31B9"/>
    <w:rsid w:val="009F32BE"/>
    <w:rsid w:val="009F39A7"/>
    <w:rsid w:val="009F3E72"/>
    <w:rsid w:val="009F3F2E"/>
    <w:rsid w:val="009F4103"/>
    <w:rsid w:val="009F41CC"/>
    <w:rsid w:val="009F424B"/>
    <w:rsid w:val="009F44DF"/>
    <w:rsid w:val="009F47CC"/>
    <w:rsid w:val="009F497C"/>
    <w:rsid w:val="009F4B2A"/>
    <w:rsid w:val="009F4C12"/>
    <w:rsid w:val="009F4D4A"/>
    <w:rsid w:val="009F4F34"/>
    <w:rsid w:val="009F50B3"/>
    <w:rsid w:val="009F51B4"/>
    <w:rsid w:val="009F5355"/>
    <w:rsid w:val="009F55EB"/>
    <w:rsid w:val="009F57CC"/>
    <w:rsid w:val="009F588D"/>
    <w:rsid w:val="009F59BC"/>
    <w:rsid w:val="009F5B22"/>
    <w:rsid w:val="009F64BA"/>
    <w:rsid w:val="009F6845"/>
    <w:rsid w:val="009F69EF"/>
    <w:rsid w:val="009F6B87"/>
    <w:rsid w:val="009F70BD"/>
    <w:rsid w:val="009F748A"/>
    <w:rsid w:val="009F74B1"/>
    <w:rsid w:val="009F7792"/>
    <w:rsid w:val="009F7ADD"/>
    <w:rsid w:val="009F7C01"/>
    <w:rsid w:val="009F7E44"/>
    <w:rsid w:val="009F7E64"/>
    <w:rsid w:val="00A0033F"/>
    <w:rsid w:val="00A00431"/>
    <w:rsid w:val="00A0053F"/>
    <w:rsid w:val="00A005C1"/>
    <w:rsid w:val="00A00CBC"/>
    <w:rsid w:val="00A00DBB"/>
    <w:rsid w:val="00A01268"/>
    <w:rsid w:val="00A0186A"/>
    <w:rsid w:val="00A01A59"/>
    <w:rsid w:val="00A01B6B"/>
    <w:rsid w:val="00A01FEA"/>
    <w:rsid w:val="00A02143"/>
    <w:rsid w:val="00A02229"/>
    <w:rsid w:val="00A02293"/>
    <w:rsid w:val="00A02575"/>
    <w:rsid w:val="00A02771"/>
    <w:rsid w:val="00A02800"/>
    <w:rsid w:val="00A028E0"/>
    <w:rsid w:val="00A02A8E"/>
    <w:rsid w:val="00A02DE9"/>
    <w:rsid w:val="00A032BA"/>
    <w:rsid w:val="00A03303"/>
    <w:rsid w:val="00A034BD"/>
    <w:rsid w:val="00A03526"/>
    <w:rsid w:val="00A035CA"/>
    <w:rsid w:val="00A03A97"/>
    <w:rsid w:val="00A03BC9"/>
    <w:rsid w:val="00A04027"/>
    <w:rsid w:val="00A040F8"/>
    <w:rsid w:val="00A0411D"/>
    <w:rsid w:val="00A0446E"/>
    <w:rsid w:val="00A044A6"/>
    <w:rsid w:val="00A044D1"/>
    <w:rsid w:val="00A0481D"/>
    <w:rsid w:val="00A0488C"/>
    <w:rsid w:val="00A04972"/>
    <w:rsid w:val="00A04A36"/>
    <w:rsid w:val="00A04A42"/>
    <w:rsid w:val="00A05088"/>
    <w:rsid w:val="00A0553B"/>
    <w:rsid w:val="00A05674"/>
    <w:rsid w:val="00A0578E"/>
    <w:rsid w:val="00A05951"/>
    <w:rsid w:val="00A05D34"/>
    <w:rsid w:val="00A05F91"/>
    <w:rsid w:val="00A065B1"/>
    <w:rsid w:val="00A06F57"/>
    <w:rsid w:val="00A06F7A"/>
    <w:rsid w:val="00A070D3"/>
    <w:rsid w:val="00A072AB"/>
    <w:rsid w:val="00A077D9"/>
    <w:rsid w:val="00A07C16"/>
    <w:rsid w:val="00A07CDA"/>
    <w:rsid w:val="00A07E8D"/>
    <w:rsid w:val="00A07EF8"/>
    <w:rsid w:val="00A1022F"/>
    <w:rsid w:val="00A1040C"/>
    <w:rsid w:val="00A10732"/>
    <w:rsid w:val="00A1073E"/>
    <w:rsid w:val="00A10874"/>
    <w:rsid w:val="00A108D0"/>
    <w:rsid w:val="00A10B3C"/>
    <w:rsid w:val="00A10B47"/>
    <w:rsid w:val="00A10EE9"/>
    <w:rsid w:val="00A10F9A"/>
    <w:rsid w:val="00A11089"/>
    <w:rsid w:val="00A1156E"/>
    <w:rsid w:val="00A116EC"/>
    <w:rsid w:val="00A11865"/>
    <w:rsid w:val="00A118F2"/>
    <w:rsid w:val="00A11CA6"/>
    <w:rsid w:val="00A12317"/>
    <w:rsid w:val="00A1236C"/>
    <w:rsid w:val="00A124AB"/>
    <w:rsid w:val="00A12873"/>
    <w:rsid w:val="00A12BC4"/>
    <w:rsid w:val="00A13184"/>
    <w:rsid w:val="00A133A5"/>
    <w:rsid w:val="00A133C6"/>
    <w:rsid w:val="00A13498"/>
    <w:rsid w:val="00A1349D"/>
    <w:rsid w:val="00A13522"/>
    <w:rsid w:val="00A13593"/>
    <w:rsid w:val="00A135DF"/>
    <w:rsid w:val="00A1372A"/>
    <w:rsid w:val="00A13FCF"/>
    <w:rsid w:val="00A1438D"/>
    <w:rsid w:val="00A144E3"/>
    <w:rsid w:val="00A1480D"/>
    <w:rsid w:val="00A1485D"/>
    <w:rsid w:val="00A14E8A"/>
    <w:rsid w:val="00A151B2"/>
    <w:rsid w:val="00A15222"/>
    <w:rsid w:val="00A1539F"/>
    <w:rsid w:val="00A1554D"/>
    <w:rsid w:val="00A15557"/>
    <w:rsid w:val="00A158EE"/>
    <w:rsid w:val="00A158F3"/>
    <w:rsid w:val="00A1590F"/>
    <w:rsid w:val="00A15D5D"/>
    <w:rsid w:val="00A15E9A"/>
    <w:rsid w:val="00A15EE8"/>
    <w:rsid w:val="00A15F57"/>
    <w:rsid w:val="00A160CC"/>
    <w:rsid w:val="00A163C3"/>
    <w:rsid w:val="00A16434"/>
    <w:rsid w:val="00A16469"/>
    <w:rsid w:val="00A1686A"/>
    <w:rsid w:val="00A16887"/>
    <w:rsid w:val="00A16AC6"/>
    <w:rsid w:val="00A16AEF"/>
    <w:rsid w:val="00A1709C"/>
    <w:rsid w:val="00A17107"/>
    <w:rsid w:val="00A1736A"/>
    <w:rsid w:val="00A1764A"/>
    <w:rsid w:val="00A1770D"/>
    <w:rsid w:val="00A179F9"/>
    <w:rsid w:val="00A203FA"/>
    <w:rsid w:val="00A208E7"/>
    <w:rsid w:val="00A209EE"/>
    <w:rsid w:val="00A20AFB"/>
    <w:rsid w:val="00A20B89"/>
    <w:rsid w:val="00A218D7"/>
    <w:rsid w:val="00A219B2"/>
    <w:rsid w:val="00A21A44"/>
    <w:rsid w:val="00A21AA6"/>
    <w:rsid w:val="00A223C6"/>
    <w:rsid w:val="00A2259D"/>
    <w:rsid w:val="00A2270D"/>
    <w:rsid w:val="00A2277D"/>
    <w:rsid w:val="00A2282C"/>
    <w:rsid w:val="00A23116"/>
    <w:rsid w:val="00A2321E"/>
    <w:rsid w:val="00A23297"/>
    <w:rsid w:val="00A23C4B"/>
    <w:rsid w:val="00A23DE7"/>
    <w:rsid w:val="00A23E42"/>
    <w:rsid w:val="00A23ED9"/>
    <w:rsid w:val="00A23EF5"/>
    <w:rsid w:val="00A2422D"/>
    <w:rsid w:val="00A245A3"/>
    <w:rsid w:val="00A248CE"/>
    <w:rsid w:val="00A249E1"/>
    <w:rsid w:val="00A24A4E"/>
    <w:rsid w:val="00A24ADA"/>
    <w:rsid w:val="00A24D9C"/>
    <w:rsid w:val="00A24EA5"/>
    <w:rsid w:val="00A24FCF"/>
    <w:rsid w:val="00A24FDB"/>
    <w:rsid w:val="00A2511F"/>
    <w:rsid w:val="00A25251"/>
    <w:rsid w:val="00A254BA"/>
    <w:rsid w:val="00A254CD"/>
    <w:rsid w:val="00A254D3"/>
    <w:rsid w:val="00A2556B"/>
    <w:rsid w:val="00A25615"/>
    <w:rsid w:val="00A25658"/>
    <w:rsid w:val="00A25967"/>
    <w:rsid w:val="00A25BF9"/>
    <w:rsid w:val="00A25D1F"/>
    <w:rsid w:val="00A26072"/>
    <w:rsid w:val="00A26192"/>
    <w:rsid w:val="00A26686"/>
    <w:rsid w:val="00A26E0C"/>
    <w:rsid w:val="00A271BA"/>
    <w:rsid w:val="00A273CF"/>
    <w:rsid w:val="00A27486"/>
    <w:rsid w:val="00A2773F"/>
    <w:rsid w:val="00A2784B"/>
    <w:rsid w:val="00A27C18"/>
    <w:rsid w:val="00A27EDE"/>
    <w:rsid w:val="00A27FA3"/>
    <w:rsid w:val="00A301CE"/>
    <w:rsid w:val="00A305E2"/>
    <w:rsid w:val="00A3087E"/>
    <w:rsid w:val="00A308CB"/>
    <w:rsid w:val="00A30E89"/>
    <w:rsid w:val="00A30F11"/>
    <w:rsid w:val="00A3118E"/>
    <w:rsid w:val="00A311AF"/>
    <w:rsid w:val="00A31402"/>
    <w:rsid w:val="00A31ADD"/>
    <w:rsid w:val="00A31B1B"/>
    <w:rsid w:val="00A31C37"/>
    <w:rsid w:val="00A31D27"/>
    <w:rsid w:val="00A31E07"/>
    <w:rsid w:val="00A32143"/>
    <w:rsid w:val="00A32183"/>
    <w:rsid w:val="00A3223D"/>
    <w:rsid w:val="00A323D6"/>
    <w:rsid w:val="00A32679"/>
    <w:rsid w:val="00A3279B"/>
    <w:rsid w:val="00A3283E"/>
    <w:rsid w:val="00A32BD2"/>
    <w:rsid w:val="00A32BE0"/>
    <w:rsid w:val="00A32BF2"/>
    <w:rsid w:val="00A32DB7"/>
    <w:rsid w:val="00A33318"/>
    <w:rsid w:val="00A3344B"/>
    <w:rsid w:val="00A33B86"/>
    <w:rsid w:val="00A33F9D"/>
    <w:rsid w:val="00A341C9"/>
    <w:rsid w:val="00A347B8"/>
    <w:rsid w:val="00A3495E"/>
    <w:rsid w:val="00A351BC"/>
    <w:rsid w:val="00A352A3"/>
    <w:rsid w:val="00A3592C"/>
    <w:rsid w:val="00A35AF0"/>
    <w:rsid w:val="00A35B67"/>
    <w:rsid w:val="00A36024"/>
    <w:rsid w:val="00A36154"/>
    <w:rsid w:val="00A3639B"/>
    <w:rsid w:val="00A36427"/>
    <w:rsid w:val="00A367FA"/>
    <w:rsid w:val="00A36999"/>
    <w:rsid w:val="00A369B9"/>
    <w:rsid w:val="00A36BBB"/>
    <w:rsid w:val="00A36C79"/>
    <w:rsid w:val="00A371B8"/>
    <w:rsid w:val="00A37756"/>
    <w:rsid w:val="00A37BDC"/>
    <w:rsid w:val="00A37EDD"/>
    <w:rsid w:val="00A402FD"/>
    <w:rsid w:val="00A404D3"/>
    <w:rsid w:val="00A40810"/>
    <w:rsid w:val="00A4092D"/>
    <w:rsid w:val="00A40AA2"/>
    <w:rsid w:val="00A40B25"/>
    <w:rsid w:val="00A40C81"/>
    <w:rsid w:val="00A40D7D"/>
    <w:rsid w:val="00A40F41"/>
    <w:rsid w:val="00A40FE5"/>
    <w:rsid w:val="00A40FF9"/>
    <w:rsid w:val="00A41076"/>
    <w:rsid w:val="00A4132F"/>
    <w:rsid w:val="00A419F0"/>
    <w:rsid w:val="00A41AC1"/>
    <w:rsid w:val="00A41BAF"/>
    <w:rsid w:val="00A41EF9"/>
    <w:rsid w:val="00A4209F"/>
    <w:rsid w:val="00A42120"/>
    <w:rsid w:val="00A4226E"/>
    <w:rsid w:val="00A426B9"/>
    <w:rsid w:val="00A42B90"/>
    <w:rsid w:val="00A42E17"/>
    <w:rsid w:val="00A42E44"/>
    <w:rsid w:val="00A42FF0"/>
    <w:rsid w:val="00A430E0"/>
    <w:rsid w:val="00A43188"/>
    <w:rsid w:val="00A4330D"/>
    <w:rsid w:val="00A43B6C"/>
    <w:rsid w:val="00A43BC3"/>
    <w:rsid w:val="00A43D84"/>
    <w:rsid w:val="00A43EF0"/>
    <w:rsid w:val="00A441D7"/>
    <w:rsid w:val="00A445C0"/>
    <w:rsid w:val="00A44F20"/>
    <w:rsid w:val="00A45003"/>
    <w:rsid w:val="00A45264"/>
    <w:rsid w:val="00A457CA"/>
    <w:rsid w:val="00A45852"/>
    <w:rsid w:val="00A45D1A"/>
    <w:rsid w:val="00A45FBD"/>
    <w:rsid w:val="00A46297"/>
    <w:rsid w:val="00A46355"/>
    <w:rsid w:val="00A463B3"/>
    <w:rsid w:val="00A46639"/>
    <w:rsid w:val="00A466AC"/>
    <w:rsid w:val="00A46783"/>
    <w:rsid w:val="00A4685B"/>
    <w:rsid w:val="00A46873"/>
    <w:rsid w:val="00A46A89"/>
    <w:rsid w:val="00A46CCE"/>
    <w:rsid w:val="00A46EB9"/>
    <w:rsid w:val="00A4708B"/>
    <w:rsid w:val="00A47273"/>
    <w:rsid w:val="00A47300"/>
    <w:rsid w:val="00A473AB"/>
    <w:rsid w:val="00A47667"/>
    <w:rsid w:val="00A47A35"/>
    <w:rsid w:val="00A47FA8"/>
    <w:rsid w:val="00A5025A"/>
    <w:rsid w:val="00A504F2"/>
    <w:rsid w:val="00A50541"/>
    <w:rsid w:val="00A506DF"/>
    <w:rsid w:val="00A50B92"/>
    <w:rsid w:val="00A50D7D"/>
    <w:rsid w:val="00A50DBA"/>
    <w:rsid w:val="00A51208"/>
    <w:rsid w:val="00A5132C"/>
    <w:rsid w:val="00A513E9"/>
    <w:rsid w:val="00A519A4"/>
    <w:rsid w:val="00A51AF1"/>
    <w:rsid w:val="00A51F95"/>
    <w:rsid w:val="00A51FC3"/>
    <w:rsid w:val="00A51FEB"/>
    <w:rsid w:val="00A520D9"/>
    <w:rsid w:val="00A52152"/>
    <w:rsid w:val="00A52168"/>
    <w:rsid w:val="00A5235C"/>
    <w:rsid w:val="00A52878"/>
    <w:rsid w:val="00A5295C"/>
    <w:rsid w:val="00A529E8"/>
    <w:rsid w:val="00A52D6F"/>
    <w:rsid w:val="00A52ED5"/>
    <w:rsid w:val="00A52F6C"/>
    <w:rsid w:val="00A533A8"/>
    <w:rsid w:val="00A53407"/>
    <w:rsid w:val="00A53505"/>
    <w:rsid w:val="00A537E7"/>
    <w:rsid w:val="00A53909"/>
    <w:rsid w:val="00A53ECB"/>
    <w:rsid w:val="00A53FB3"/>
    <w:rsid w:val="00A5411A"/>
    <w:rsid w:val="00A541F2"/>
    <w:rsid w:val="00A5430E"/>
    <w:rsid w:val="00A5468B"/>
    <w:rsid w:val="00A54767"/>
    <w:rsid w:val="00A54FC3"/>
    <w:rsid w:val="00A55319"/>
    <w:rsid w:val="00A554DA"/>
    <w:rsid w:val="00A555AE"/>
    <w:rsid w:val="00A55ED4"/>
    <w:rsid w:val="00A56161"/>
    <w:rsid w:val="00A56385"/>
    <w:rsid w:val="00A56639"/>
    <w:rsid w:val="00A567B1"/>
    <w:rsid w:val="00A56A2A"/>
    <w:rsid w:val="00A56C77"/>
    <w:rsid w:val="00A56E2B"/>
    <w:rsid w:val="00A56EFB"/>
    <w:rsid w:val="00A57016"/>
    <w:rsid w:val="00A5706B"/>
    <w:rsid w:val="00A574B6"/>
    <w:rsid w:val="00A574D2"/>
    <w:rsid w:val="00A578C3"/>
    <w:rsid w:val="00A578D8"/>
    <w:rsid w:val="00A57B48"/>
    <w:rsid w:val="00A57D6E"/>
    <w:rsid w:val="00A6017D"/>
    <w:rsid w:val="00A60333"/>
    <w:rsid w:val="00A60381"/>
    <w:rsid w:val="00A60D58"/>
    <w:rsid w:val="00A6106B"/>
    <w:rsid w:val="00A6108C"/>
    <w:rsid w:val="00A6125B"/>
    <w:rsid w:val="00A6143F"/>
    <w:rsid w:val="00A614BB"/>
    <w:rsid w:val="00A61C91"/>
    <w:rsid w:val="00A623AB"/>
    <w:rsid w:val="00A627D4"/>
    <w:rsid w:val="00A629B7"/>
    <w:rsid w:val="00A62F0E"/>
    <w:rsid w:val="00A632E3"/>
    <w:rsid w:val="00A633BD"/>
    <w:rsid w:val="00A6372E"/>
    <w:rsid w:val="00A63803"/>
    <w:rsid w:val="00A63B1A"/>
    <w:rsid w:val="00A6443E"/>
    <w:rsid w:val="00A645C8"/>
    <w:rsid w:val="00A64A79"/>
    <w:rsid w:val="00A64EF1"/>
    <w:rsid w:val="00A651D4"/>
    <w:rsid w:val="00A65853"/>
    <w:rsid w:val="00A65AAD"/>
    <w:rsid w:val="00A65D1F"/>
    <w:rsid w:val="00A661DC"/>
    <w:rsid w:val="00A668FF"/>
    <w:rsid w:val="00A67110"/>
    <w:rsid w:val="00A6716F"/>
    <w:rsid w:val="00A67285"/>
    <w:rsid w:val="00A67889"/>
    <w:rsid w:val="00A67B10"/>
    <w:rsid w:val="00A67CC7"/>
    <w:rsid w:val="00A67D12"/>
    <w:rsid w:val="00A67DA1"/>
    <w:rsid w:val="00A67EA0"/>
    <w:rsid w:val="00A67F41"/>
    <w:rsid w:val="00A70021"/>
    <w:rsid w:val="00A70379"/>
    <w:rsid w:val="00A70AA5"/>
    <w:rsid w:val="00A70B27"/>
    <w:rsid w:val="00A70BC1"/>
    <w:rsid w:val="00A70DCF"/>
    <w:rsid w:val="00A70F00"/>
    <w:rsid w:val="00A70F46"/>
    <w:rsid w:val="00A7108E"/>
    <w:rsid w:val="00A71384"/>
    <w:rsid w:val="00A713A4"/>
    <w:rsid w:val="00A7182F"/>
    <w:rsid w:val="00A719A5"/>
    <w:rsid w:val="00A71D38"/>
    <w:rsid w:val="00A71DE4"/>
    <w:rsid w:val="00A71E62"/>
    <w:rsid w:val="00A72452"/>
    <w:rsid w:val="00A724B5"/>
    <w:rsid w:val="00A724E6"/>
    <w:rsid w:val="00A72789"/>
    <w:rsid w:val="00A728F1"/>
    <w:rsid w:val="00A72A91"/>
    <w:rsid w:val="00A72BF0"/>
    <w:rsid w:val="00A72C4B"/>
    <w:rsid w:val="00A72D38"/>
    <w:rsid w:val="00A72FDA"/>
    <w:rsid w:val="00A730BA"/>
    <w:rsid w:val="00A7318B"/>
    <w:rsid w:val="00A734D0"/>
    <w:rsid w:val="00A7358F"/>
    <w:rsid w:val="00A7361E"/>
    <w:rsid w:val="00A736E1"/>
    <w:rsid w:val="00A736E6"/>
    <w:rsid w:val="00A7383B"/>
    <w:rsid w:val="00A7396F"/>
    <w:rsid w:val="00A73983"/>
    <w:rsid w:val="00A73B67"/>
    <w:rsid w:val="00A73C56"/>
    <w:rsid w:val="00A73F9E"/>
    <w:rsid w:val="00A7428B"/>
    <w:rsid w:val="00A743B0"/>
    <w:rsid w:val="00A7477D"/>
    <w:rsid w:val="00A749E2"/>
    <w:rsid w:val="00A74EB7"/>
    <w:rsid w:val="00A7514C"/>
    <w:rsid w:val="00A75381"/>
    <w:rsid w:val="00A753C0"/>
    <w:rsid w:val="00A75527"/>
    <w:rsid w:val="00A75533"/>
    <w:rsid w:val="00A7579E"/>
    <w:rsid w:val="00A75933"/>
    <w:rsid w:val="00A75968"/>
    <w:rsid w:val="00A75AD6"/>
    <w:rsid w:val="00A7615E"/>
    <w:rsid w:val="00A76494"/>
    <w:rsid w:val="00A76647"/>
    <w:rsid w:val="00A768C9"/>
    <w:rsid w:val="00A76B2D"/>
    <w:rsid w:val="00A76C80"/>
    <w:rsid w:val="00A76CAD"/>
    <w:rsid w:val="00A76DEB"/>
    <w:rsid w:val="00A76F58"/>
    <w:rsid w:val="00A776D0"/>
    <w:rsid w:val="00A77A7E"/>
    <w:rsid w:val="00A77AEE"/>
    <w:rsid w:val="00A77B45"/>
    <w:rsid w:val="00A8007B"/>
    <w:rsid w:val="00A8014E"/>
    <w:rsid w:val="00A8017F"/>
    <w:rsid w:val="00A80639"/>
    <w:rsid w:val="00A80FB1"/>
    <w:rsid w:val="00A81031"/>
    <w:rsid w:val="00A817B0"/>
    <w:rsid w:val="00A817B7"/>
    <w:rsid w:val="00A8180C"/>
    <w:rsid w:val="00A81CC1"/>
    <w:rsid w:val="00A81D27"/>
    <w:rsid w:val="00A81FA2"/>
    <w:rsid w:val="00A82609"/>
    <w:rsid w:val="00A82650"/>
    <w:rsid w:val="00A82743"/>
    <w:rsid w:val="00A827F0"/>
    <w:rsid w:val="00A828CE"/>
    <w:rsid w:val="00A82CC9"/>
    <w:rsid w:val="00A82E8F"/>
    <w:rsid w:val="00A82F6A"/>
    <w:rsid w:val="00A831E5"/>
    <w:rsid w:val="00A83DD0"/>
    <w:rsid w:val="00A83FA7"/>
    <w:rsid w:val="00A841F9"/>
    <w:rsid w:val="00A842B3"/>
    <w:rsid w:val="00A8445C"/>
    <w:rsid w:val="00A84937"/>
    <w:rsid w:val="00A849C1"/>
    <w:rsid w:val="00A84BBF"/>
    <w:rsid w:val="00A84D31"/>
    <w:rsid w:val="00A84E79"/>
    <w:rsid w:val="00A84F1F"/>
    <w:rsid w:val="00A84F32"/>
    <w:rsid w:val="00A84F98"/>
    <w:rsid w:val="00A858A0"/>
    <w:rsid w:val="00A859F3"/>
    <w:rsid w:val="00A85AD3"/>
    <w:rsid w:val="00A85CB0"/>
    <w:rsid w:val="00A86028"/>
    <w:rsid w:val="00A86052"/>
    <w:rsid w:val="00A8617C"/>
    <w:rsid w:val="00A86373"/>
    <w:rsid w:val="00A86487"/>
    <w:rsid w:val="00A86598"/>
    <w:rsid w:val="00A86722"/>
    <w:rsid w:val="00A86798"/>
    <w:rsid w:val="00A868B7"/>
    <w:rsid w:val="00A86E73"/>
    <w:rsid w:val="00A870E2"/>
    <w:rsid w:val="00A8734C"/>
    <w:rsid w:val="00A8747F"/>
    <w:rsid w:val="00A87CCC"/>
    <w:rsid w:val="00A87D1F"/>
    <w:rsid w:val="00A87FCD"/>
    <w:rsid w:val="00A901EE"/>
    <w:rsid w:val="00A90277"/>
    <w:rsid w:val="00A904FC"/>
    <w:rsid w:val="00A90B71"/>
    <w:rsid w:val="00A90E97"/>
    <w:rsid w:val="00A90F28"/>
    <w:rsid w:val="00A912C2"/>
    <w:rsid w:val="00A919A7"/>
    <w:rsid w:val="00A91B4D"/>
    <w:rsid w:val="00A9218F"/>
    <w:rsid w:val="00A92289"/>
    <w:rsid w:val="00A92417"/>
    <w:rsid w:val="00A92507"/>
    <w:rsid w:val="00A92532"/>
    <w:rsid w:val="00A927D1"/>
    <w:rsid w:val="00A928DF"/>
    <w:rsid w:val="00A92A3B"/>
    <w:rsid w:val="00A92B96"/>
    <w:rsid w:val="00A93050"/>
    <w:rsid w:val="00A93119"/>
    <w:rsid w:val="00A935F6"/>
    <w:rsid w:val="00A936EA"/>
    <w:rsid w:val="00A93817"/>
    <w:rsid w:val="00A93A1F"/>
    <w:rsid w:val="00A93A27"/>
    <w:rsid w:val="00A93BD0"/>
    <w:rsid w:val="00A93C1C"/>
    <w:rsid w:val="00A9406B"/>
    <w:rsid w:val="00A940AD"/>
    <w:rsid w:val="00A943F8"/>
    <w:rsid w:val="00A944BF"/>
    <w:rsid w:val="00A94806"/>
    <w:rsid w:val="00A94A53"/>
    <w:rsid w:val="00A94A5E"/>
    <w:rsid w:val="00A94AD7"/>
    <w:rsid w:val="00A957E8"/>
    <w:rsid w:val="00A958C5"/>
    <w:rsid w:val="00A9591C"/>
    <w:rsid w:val="00A95AC0"/>
    <w:rsid w:val="00A95B0A"/>
    <w:rsid w:val="00A95CED"/>
    <w:rsid w:val="00A95D68"/>
    <w:rsid w:val="00A9606C"/>
    <w:rsid w:val="00A9617A"/>
    <w:rsid w:val="00A96311"/>
    <w:rsid w:val="00A9639A"/>
    <w:rsid w:val="00A966CE"/>
    <w:rsid w:val="00A96816"/>
    <w:rsid w:val="00A96A68"/>
    <w:rsid w:val="00A96FF3"/>
    <w:rsid w:val="00A970A0"/>
    <w:rsid w:val="00A970FC"/>
    <w:rsid w:val="00A97649"/>
    <w:rsid w:val="00A9771F"/>
    <w:rsid w:val="00A97741"/>
    <w:rsid w:val="00A977D5"/>
    <w:rsid w:val="00AA010B"/>
    <w:rsid w:val="00AA02EE"/>
    <w:rsid w:val="00AA0935"/>
    <w:rsid w:val="00AA0B3D"/>
    <w:rsid w:val="00AA0BD2"/>
    <w:rsid w:val="00AA103C"/>
    <w:rsid w:val="00AA12F7"/>
    <w:rsid w:val="00AA1B3E"/>
    <w:rsid w:val="00AA2355"/>
    <w:rsid w:val="00AA2B6D"/>
    <w:rsid w:val="00AA2D24"/>
    <w:rsid w:val="00AA2D48"/>
    <w:rsid w:val="00AA2E61"/>
    <w:rsid w:val="00AA3742"/>
    <w:rsid w:val="00AA3974"/>
    <w:rsid w:val="00AA3A4C"/>
    <w:rsid w:val="00AA3B5B"/>
    <w:rsid w:val="00AA3C5C"/>
    <w:rsid w:val="00AA3CE9"/>
    <w:rsid w:val="00AA45D6"/>
    <w:rsid w:val="00AA4755"/>
    <w:rsid w:val="00AA48F5"/>
    <w:rsid w:val="00AA4910"/>
    <w:rsid w:val="00AA49E8"/>
    <w:rsid w:val="00AA4F8D"/>
    <w:rsid w:val="00AA5060"/>
    <w:rsid w:val="00AA50A5"/>
    <w:rsid w:val="00AA56A8"/>
    <w:rsid w:val="00AA56B6"/>
    <w:rsid w:val="00AA5814"/>
    <w:rsid w:val="00AA5C0D"/>
    <w:rsid w:val="00AA5E09"/>
    <w:rsid w:val="00AA5E5B"/>
    <w:rsid w:val="00AA63AE"/>
    <w:rsid w:val="00AA63FD"/>
    <w:rsid w:val="00AA68D2"/>
    <w:rsid w:val="00AA6999"/>
    <w:rsid w:val="00AA6BD2"/>
    <w:rsid w:val="00AA6D12"/>
    <w:rsid w:val="00AA6D4A"/>
    <w:rsid w:val="00AA6ED4"/>
    <w:rsid w:val="00AA6F4B"/>
    <w:rsid w:val="00AA72F6"/>
    <w:rsid w:val="00AA7516"/>
    <w:rsid w:val="00AA7839"/>
    <w:rsid w:val="00AA7B2B"/>
    <w:rsid w:val="00AA7CA1"/>
    <w:rsid w:val="00AA7F1F"/>
    <w:rsid w:val="00AB022D"/>
    <w:rsid w:val="00AB05DE"/>
    <w:rsid w:val="00AB0BFB"/>
    <w:rsid w:val="00AB0DED"/>
    <w:rsid w:val="00AB0E09"/>
    <w:rsid w:val="00AB0EA5"/>
    <w:rsid w:val="00AB1134"/>
    <w:rsid w:val="00AB11EF"/>
    <w:rsid w:val="00AB151E"/>
    <w:rsid w:val="00AB1803"/>
    <w:rsid w:val="00AB18AC"/>
    <w:rsid w:val="00AB1A01"/>
    <w:rsid w:val="00AB1B3C"/>
    <w:rsid w:val="00AB1B64"/>
    <w:rsid w:val="00AB1ED1"/>
    <w:rsid w:val="00AB2115"/>
    <w:rsid w:val="00AB2121"/>
    <w:rsid w:val="00AB234C"/>
    <w:rsid w:val="00AB285C"/>
    <w:rsid w:val="00AB293A"/>
    <w:rsid w:val="00AB29F6"/>
    <w:rsid w:val="00AB2BDA"/>
    <w:rsid w:val="00AB2CB8"/>
    <w:rsid w:val="00AB302D"/>
    <w:rsid w:val="00AB317B"/>
    <w:rsid w:val="00AB3A6E"/>
    <w:rsid w:val="00AB3BE8"/>
    <w:rsid w:val="00AB425E"/>
    <w:rsid w:val="00AB4453"/>
    <w:rsid w:val="00AB445A"/>
    <w:rsid w:val="00AB4527"/>
    <w:rsid w:val="00AB480A"/>
    <w:rsid w:val="00AB4A9F"/>
    <w:rsid w:val="00AB4ADB"/>
    <w:rsid w:val="00AB4C3B"/>
    <w:rsid w:val="00AB4F2C"/>
    <w:rsid w:val="00AB531A"/>
    <w:rsid w:val="00AB55E9"/>
    <w:rsid w:val="00AB5699"/>
    <w:rsid w:val="00AB5A48"/>
    <w:rsid w:val="00AB5ACB"/>
    <w:rsid w:val="00AB5AEA"/>
    <w:rsid w:val="00AB5AF7"/>
    <w:rsid w:val="00AB5BA2"/>
    <w:rsid w:val="00AB5FB0"/>
    <w:rsid w:val="00AB63C9"/>
    <w:rsid w:val="00AB6462"/>
    <w:rsid w:val="00AB6573"/>
    <w:rsid w:val="00AB65B9"/>
    <w:rsid w:val="00AB66F2"/>
    <w:rsid w:val="00AB676D"/>
    <w:rsid w:val="00AB68AD"/>
    <w:rsid w:val="00AB6942"/>
    <w:rsid w:val="00AB6A25"/>
    <w:rsid w:val="00AB6B64"/>
    <w:rsid w:val="00AB6D86"/>
    <w:rsid w:val="00AB71CD"/>
    <w:rsid w:val="00AB735D"/>
    <w:rsid w:val="00AB7476"/>
    <w:rsid w:val="00AB74BC"/>
    <w:rsid w:val="00AB7A31"/>
    <w:rsid w:val="00AB7DBD"/>
    <w:rsid w:val="00AB7EE4"/>
    <w:rsid w:val="00AB7F70"/>
    <w:rsid w:val="00AC0232"/>
    <w:rsid w:val="00AC052F"/>
    <w:rsid w:val="00AC0748"/>
    <w:rsid w:val="00AC08B2"/>
    <w:rsid w:val="00AC0A63"/>
    <w:rsid w:val="00AC0EF0"/>
    <w:rsid w:val="00AC11C8"/>
    <w:rsid w:val="00AC169A"/>
    <w:rsid w:val="00AC1B81"/>
    <w:rsid w:val="00AC22A8"/>
    <w:rsid w:val="00AC263F"/>
    <w:rsid w:val="00AC2859"/>
    <w:rsid w:val="00AC2CE6"/>
    <w:rsid w:val="00AC3633"/>
    <w:rsid w:val="00AC3A40"/>
    <w:rsid w:val="00AC3A63"/>
    <w:rsid w:val="00AC3B3D"/>
    <w:rsid w:val="00AC3D40"/>
    <w:rsid w:val="00AC3D85"/>
    <w:rsid w:val="00AC403B"/>
    <w:rsid w:val="00AC42FE"/>
    <w:rsid w:val="00AC436D"/>
    <w:rsid w:val="00AC439B"/>
    <w:rsid w:val="00AC4470"/>
    <w:rsid w:val="00AC4830"/>
    <w:rsid w:val="00AC4948"/>
    <w:rsid w:val="00AC4C2A"/>
    <w:rsid w:val="00AC4C9D"/>
    <w:rsid w:val="00AC4DA1"/>
    <w:rsid w:val="00AC4EAB"/>
    <w:rsid w:val="00AC536D"/>
    <w:rsid w:val="00AC537F"/>
    <w:rsid w:val="00AC5601"/>
    <w:rsid w:val="00AC58F2"/>
    <w:rsid w:val="00AC5AC8"/>
    <w:rsid w:val="00AC5B52"/>
    <w:rsid w:val="00AC5BDB"/>
    <w:rsid w:val="00AC5DAA"/>
    <w:rsid w:val="00AC5E77"/>
    <w:rsid w:val="00AC5F99"/>
    <w:rsid w:val="00AC61A6"/>
    <w:rsid w:val="00AC632A"/>
    <w:rsid w:val="00AC64AB"/>
    <w:rsid w:val="00AC6504"/>
    <w:rsid w:val="00AC6B3F"/>
    <w:rsid w:val="00AC6CEF"/>
    <w:rsid w:val="00AC6E8A"/>
    <w:rsid w:val="00AC7037"/>
    <w:rsid w:val="00AC7097"/>
    <w:rsid w:val="00AC7506"/>
    <w:rsid w:val="00AC75EF"/>
    <w:rsid w:val="00AC7691"/>
    <w:rsid w:val="00AC76B1"/>
    <w:rsid w:val="00AC79E7"/>
    <w:rsid w:val="00AC7A1A"/>
    <w:rsid w:val="00AC7A7D"/>
    <w:rsid w:val="00AD04C2"/>
    <w:rsid w:val="00AD066A"/>
    <w:rsid w:val="00AD06C6"/>
    <w:rsid w:val="00AD0BAA"/>
    <w:rsid w:val="00AD0F23"/>
    <w:rsid w:val="00AD0F27"/>
    <w:rsid w:val="00AD0F45"/>
    <w:rsid w:val="00AD0FD7"/>
    <w:rsid w:val="00AD0FF8"/>
    <w:rsid w:val="00AD1159"/>
    <w:rsid w:val="00AD1472"/>
    <w:rsid w:val="00AD19E1"/>
    <w:rsid w:val="00AD19E6"/>
    <w:rsid w:val="00AD1A83"/>
    <w:rsid w:val="00AD1FCB"/>
    <w:rsid w:val="00AD20FE"/>
    <w:rsid w:val="00AD264E"/>
    <w:rsid w:val="00AD2834"/>
    <w:rsid w:val="00AD295F"/>
    <w:rsid w:val="00AD29A0"/>
    <w:rsid w:val="00AD29AA"/>
    <w:rsid w:val="00AD2E8B"/>
    <w:rsid w:val="00AD2ED6"/>
    <w:rsid w:val="00AD2FCB"/>
    <w:rsid w:val="00AD325A"/>
    <w:rsid w:val="00AD360E"/>
    <w:rsid w:val="00AD3879"/>
    <w:rsid w:val="00AD3B5E"/>
    <w:rsid w:val="00AD3BEA"/>
    <w:rsid w:val="00AD3CEE"/>
    <w:rsid w:val="00AD3D8F"/>
    <w:rsid w:val="00AD3D99"/>
    <w:rsid w:val="00AD3DD1"/>
    <w:rsid w:val="00AD3E03"/>
    <w:rsid w:val="00AD4364"/>
    <w:rsid w:val="00AD4706"/>
    <w:rsid w:val="00AD48EC"/>
    <w:rsid w:val="00AD4A66"/>
    <w:rsid w:val="00AD4A82"/>
    <w:rsid w:val="00AD4D98"/>
    <w:rsid w:val="00AD50CD"/>
    <w:rsid w:val="00AD5155"/>
    <w:rsid w:val="00AD519A"/>
    <w:rsid w:val="00AD542E"/>
    <w:rsid w:val="00AD5506"/>
    <w:rsid w:val="00AD5586"/>
    <w:rsid w:val="00AD57E3"/>
    <w:rsid w:val="00AD5A57"/>
    <w:rsid w:val="00AD5AC6"/>
    <w:rsid w:val="00AD608E"/>
    <w:rsid w:val="00AD642B"/>
    <w:rsid w:val="00AD6812"/>
    <w:rsid w:val="00AD685B"/>
    <w:rsid w:val="00AD6905"/>
    <w:rsid w:val="00AD77FA"/>
    <w:rsid w:val="00AD7E8F"/>
    <w:rsid w:val="00AD7EB8"/>
    <w:rsid w:val="00AD7F86"/>
    <w:rsid w:val="00AE07D2"/>
    <w:rsid w:val="00AE0AD5"/>
    <w:rsid w:val="00AE133C"/>
    <w:rsid w:val="00AE137A"/>
    <w:rsid w:val="00AE1738"/>
    <w:rsid w:val="00AE17F8"/>
    <w:rsid w:val="00AE1B0F"/>
    <w:rsid w:val="00AE1BDE"/>
    <w:rsid w:val="00AE1CA3"/>
    <w:rsid w:val="00AE1F90"/>
    <w:rsid w:val="00AE204A"/>
    <w:rsid w:val="00AE2099"/>
    <w:rsid w:val="00AE20A6"/>
    <w:rsid w:val="00AE20AA"/>
    <w:rsid w:val="00AE26E9"/>
    <w:rsid w:val="00AE2A4A"/>
    <w:rsid w:val="00AE2A84"/>
    <w:rsid w:val="00AE2DA4"/>
    <w:rsid w:val="00AE2E7C"/>
    <w:rsid w:val="00AE2F55"/>
    <w:rsid w:val="00AE2FBC"/>
    <w:rsid w:val="00AE30A1"/>
    <w:rsid w:val="00AE31C8"/>
    <w:rsid w:val="00AE330C"/>
    <w:rsid w:val="00AE3534"/>
    <w:rsid w:val="00AE3ABD"/>
    <w:rsid w:val="00AE3C5F"/>
    <w:rsid w:val="00AE3C7F"/>
    <w:rsid w:val="00AE3E86"/>
    <w:rsid w:val="00AE42EB"/>
    <w:rsid w:val="00AE42FC"/>
    <w:rsid w:val="00AE4390"/>
    <w:rsid w:val="00AE465C"/>
    <w:rsid w:val="00AE49D3"/>
    <w:rsid w:val="00AE4F05"/>
    <w:rsid w:val="00AE51B9"/>
    <w:rsid w:val="00AE520F"/>
    <w:rsid w:val="00AE52FB"/>
    <w:rsid w:val="00AE53C1"/>
    <w:rsid w:val="00AE558C"/>
    <w:rsid w:val="00AE55AA"/>
    <w:rsid w:val="00AE598D"/>
    <w:rsid w:val="00AE59DE"/>
    <w:rsid w:val="00AE5C44"/>
    <w:rsid w:val="00AE5CD9"/>
    <w:rsid w:val="00AE5F0A"/>
    <w:rsid w:val="00AE619D"/>
    <w:rsid w:val="00AE61D8"/>
    <w:rsid w:val="00AE64BD"/>
    <w:rsid w:val="00AE64CA"/>
    <w:rsid w:val="00AE6A20"/>
    <w:rsid w:val="00AE6A53"/>
    <w:rsid w:val="00AE6AA9"/>
    <w:rsid w:val="00AE6B1F"/>
    <w:rsid w:val="00AE7473"/>
    <w:rsid w:val="00AE74B8"/>
    <w:rsid w:val="00AE763D"/>
    <w:rsid w:val="00AE76C7"/>
    <w:rsid w:val="00AE7901"/>
    <w:rsid w:val="00AE7CDC"/>
    <w:rsid w:val="00AF0001"/>
    <w:rsid w:val="00AF008A"/>
    <w:rsid w:val="00AF008D"/>
    <w:rsid w:val="00AF018F"/>
    <w:rsid w:val="00AF03F7"/>
    <w:rsid w:val="00AF0550"/>
    <w:rsid w:val="00AF05E3"/>
    <w:rsid w:val="00AF0E48"/>
    <w:rsid w:val="00AF11B8"/>
    <w:rsid w:val="00AF153C"/>
    <w:rsid w:val="00AF15C2"/>
    <w:rsid w:val="00AF1681"/>
    <w:rsid w:val="00AF2932"/>
    <w:rsid w:val="00AF2B83"/>
    <w:rsid w:val="00AF2E05"/>
    <w:rsid w:val="00AF369B"/>
    <w:rsid w:val="00AF392F"/>
    <w:rsid w:val="00AF3945"/>
    <w:rsid w:val="00AF3A83"/>
    <w:rsid w:val="00AF4030"/>
    <w:rsid w:val="00AF41D3"/>
    <w:rsid w:val="00AF434D"/>
    <w:rsid w:val="00AF44ED"/>
    <w:rsid w:val="00AF462C"/>
    <w:rsid w:val="00AF470E"/>
    <w:rsid w:val="00AF47B6"/>
    <w:rsid w:val="00AF5235"/>
    <w:rsid w:val="00AF5274"/>
    <w:rsid w:val="00AF528E"/>
    <w:rsid w:val="00AF568D"/>
    <w:rsid w:val="00AF5C6E"/>
    <w:rsid w:val="00AF5DDC"/>
    <w:rsid w:val="00AF6107"/>
    <w:rsid w:val="00AF6364"/>
    <w:rsid w:val="00AF6894"/>
    <w:rsid w:val="00AF6CDF"/>
    <w:rsid w:val="00AF6EAC"/>
    <w:rsid w:val="00AF726E"/>
    <w:rsid w:val="00AF72C1"/>
    <w:rsid w:val="00AF74F3"/>
    <w:rsid w:val="00AF7725"/>
    <w:rsid w:val="00AF78F4"/>
    <w:rsid w:val="00AF7AC4"/>
    <w:rsid w:val="00AF7C3C"/>
    <w:rsid w:val="00AF7D21"/>
    <w:rsid w:val="00AF7EDE"/>
    <w:rsid w:val="00B000BC"/>
    <w:rsid w:val="00B004DA"/>
    <w:rsid w:val="00B00617"/>
    <w:rsid w:val="00B00633"/>
    <w:rsid w:val="00B00935"/>
    <w:rsid w:val="00B01422"/>
    <w:rsid w:val="00B018D9"/>
    <w:rsid w:val="00B01BD0"/>
    <w:rsid w:val="00B01C18"/>
    <w:rsid w:val="00B01DD3"/>
    <w:rsid w:val="00B01ED1"/>
    <w:rsid w:val="00B026AA"/>
    <w:rsid w:val="00B02C40"/>
    <w:rsid w:val="00B02D78"/>
    <w:rsid w:val="00B02F54"/>
    <w:rsid w:val="00B02FBF"/>
    <w:rsid w:val="00B0303D"/>
    <w:rsid w:val="00B030A9"/>
    <w:rsid w:val="00B030BA"/>
    <w:rsid w:val="00B03205"/>
    <w:rsid w:val="00B03294"/>
    <w:rsid w:val="00B0378B"/>
    <w:rsid w:val="00B037AA"/>
    <w:rsid w:val="00B03A27"/>
    <w:rsid w:val="00B03EFB"/>
    <w:rsid w:val="00B0421E"/>
    <w:rsid w:val="00B0445A"/>
    <w:rsid w:val="00B04599"/>
    <w:rsid w:val="00B049C9"/>
    <w:rsid w:val="00B04BA5"/>
    <w:rsid w:val="00B04BC0"/>
    <w:rsid w:val="00B04D81"/>
    <w:rsid w:val="00B055C4"/>
    <w:rsid w:val="00B05761"/>
    <w:rsid w:val="00B057A7"/>
    <w:rsid w:val="00B058AE"/>
    <w:rsid w:val="00B05AD0"/>
    <w:rsid w:val="00B05C6C"/>
    <w:rsid w:val="00B05D5B"/>
    <w:rsid w:val="00B0637D"/>
    <w:rsid w:val="00B06423"/>
    <w:rsid w:val="00B064E1"/>
    <w:rsid w:val="00B0682E"/>
    <w:rsid w:val="00B06843"/>
    <w:rsid w:val="00B068F8"/>
    <w:rsid w:val="00B06D58"/>
    <w:rsid w:val="00B06D9E"/>
    <w:rsid w:val="00B06E0B"/>
    <w:rsid w:val="00B07BB4"/>
    <w:rsid w:val="00B07C2F"/>
    <w:rsid w:val="00B07F58"/>
    <w:rsid w:val="00B07FD1"/>
    <w:rsid w:val="00B07FF2"/>
    <w:rsid w:val="00B100A5"/>
    <w:rsid w:val="00B100FD"/>
    <w:rsid w:val="00B10201"/>
    <w:rsid w:val="00B10439"/>
    <w:rsid w:val="00B107AD"/>
    <w:rsid w:val="00B10A26"/>
    <w:rsid w:val="00B10AE5"/>
    <w:rsid w:val="00B10C90"/>
    <w:rsid w:val="00B10EAC"/>
    <w:rsid w:val="00B112AB"/>
    <w:rsid w:val="00B114B0"/>
    <w:rsid w:val="00B1161F"/>
    <w:rsid w:val="00B1193A"/>
    <w:rsid w:val="00B1237A"/>
    <w:rsid w:val="00B12639"/>
    <w:rsid w:val="00B12C35"/>
    <w:rsid w:val="00B12CBB"/>
    <w:rsid w:val="00B12F67"/>
    <w:rsid w:val="00B12FA0"/>
    <w:rsid w:val="00B13176"/>
    <w:rsid w:val="00B132FE"/>
    <w:rsid w:val="00B13524"/>
    <w:rsid w:val="00B13549"/>
    <w:rsid w:val="00B1364C"/>
    <w:rsid w:val="00B13714"/>
    <w:rsid w:val="00B13744"/>
    <w:rsid w:val="00B1375B"/>
    <w:rsid w:val="00B1391E"/>
    <w:rsid w:val="00B13921"/>
    <w:rsid w:val="00B13CC2"/>
    <w:rsid w:val="00B13D9E"/>
    <w:rsid w:val="00B141AB"/>
    <w:rsid w:val="00B1434A"/>
    <w:rsid w:val="00B14774"/>
    <w:rsid w:val="00B149B2"/>
    <w:rsid w:val="00B14B46"/>
    <w:rsid w:val="00B150D1"/>
    <w:rsid w:val="00B15160"/>
    <w:rsid w:val="00B15407"/>
    <w:rsid w:val="00B15583"/>
    <w:rsid w:val="00B15E31"/>
    <w:rsid w:val="00B15E46"/>
    <w:rsid w:val="00B1618D"/>
    <w:rsid w:val="00B169FF"/>
    <w:rsid w:val="00B16BFC"/>
    <w:rsid w:val="00B16F68"/>
    <w:rsid w:val="00B17055"/>
    <w:rsid w:val="00B17140"/>
    <w:rsid w:val="00B1721D"/>
    <w:rsid w:val="00B174DA"/>
    <w:rsid w:val="00B175E4"/>
    <w:rsid w:val="00B17736"/>
    <w:rsid w:val="00B178F7"/>
    <w:rsid w:val="00B17A15"/>
    <w:rsid w:val="00B17D55"/>
    <w:rsid w:val="00B2036F"/>
    <w:rsid w:val="00B205A0"/>
    <w:rsid w:val="00B2090D"/>
    <w:rsid w:val="00B20AB4"/>
    <w:rsid w:val="00B20B45"/>
    <w:rsid w:val="00B20E90"/>
    <w:rsid w:val="00B21470"/>
    <w:rsid w:val="00B21837"/>
    <w:rsid w:val="00B21F97"/>
    <w:rsid w:val="00B223D9"/>
    <w:rsid w:val="00B2251E"/>
    <w:rsid w:val="00B231E1"/>
    <w:rsid w:val="00B23244"/>
    <w:rsid w:val="00B234A4"/>
    <w:rsid w:val="00B237F9"/>
    <w:rsid w:val="00B23919"/>
    <w:rsid w:val="00B23BC6"/>
    <w:rsid w:val="00B23C32"/>
    <w:rsid w:val="00B23DA0"/>
    <w:rsid w:val="00B243A6"/>
    <w:rsid w:val="00B24626"/>
    <w:rsid w:val="00B24977"/>
    <w:rsid w:val="00B24D31"/>
    <w:rsid w:val="00B24FFD"/>
    <w:rsid w:val="00B25268"/>
    <w:rsid w:val="00B25747"/>
    <w:rsid w:val="00B25776"/>
    <w:rsid w:val="00B257F2"/>
    <w:rsid w:val="00B25CA5"/>
    <w:rsid w:val="00B25EF5"/>
    <w:rsid w:val="00B26328"/>
    <w:rsid w:val="00B26A74"/>
    <w:rsid w:val="00B26E7C"/>
    <w:rsid w:val="00B26FC8"/>
    <w:rsid w:val="00B27719"/>
    <w:rsid w:val="00B2778A"/>
    <w:rsid w:val="00B279CE"/>
    <w:rsid w:val="00B27A75"/>
    <w:rsid w:val="00B27A83"/>
    <w:rsid w:val="00B27AF2"/>
    <w:rsid w:val="00B27CFB"/>
    <w:rsid w:val="00B27FE4"/>
    <w:rsid w:val="00B30080"/>
    <w:rsid w:val="00B3019F"/>
    <w:rsid w:val="00B304D4"/>
    <w:rsid w:val="00B30586"/>
    <w:rsid w:val="00B305EB"/>
    <w:rsid w:val="00B30A6D"/>
    <w:rsid w:val="00B311B9"/>
    <w:rsid w:val="00B31348"/>
    <w:rsid w:val="00B3181C"/>
    <w:rsid w:val="00B31A44"/>
    <w:rsid w:val="00B31CD7"/>
    <w:rsid w:val="00B31DF7"/>
    <w:rsid w:val="00B3273D"/>
    <w:rsid w:val="00B328DD"/>
    <w:rsid w:val="00B32A42"/>
    <w:rsid w:val="00B32A88"/>
    <w:rsid w:val="00B32B84"/>
    <w:rsid w:val="00B32BB1"/>
    <w:rsid w:val="00B32CDC"/>
    <w:rsid w:val="00B330BA"/>
    <w:rsid w:val="00B33111"/>
    <w:rsid w:val="00B3311F"/>
    <w:rsid w:val="00B3386B"/>
    <w:rsid w:val="00B33A4A"/>
    <w:rsid w:val="00B33AEE"/>
    <w:rsid w:val="00B33BE9"/>
    <w:rsid w:val="00B33E7C"/>
    <w:rsid w:val="00B33F9D"/>
    <w:rsid w:val="00B34013"/>
    <w:rsid w:val="00B340E5"/>
    <w:rsid w:val="00B34135"/>
    <w:rsid w:val="00B341F1"/>
    <w:rsid w:val="00B34578"/>
    <w:rsid w:val="00B34644"/>
    <w:rsid w:val="00B346F8"/>
    <w:rsid w:val="00B348A4"/>
    <w:rsid w:val="00B34937"/>
    <w:rsid w:val="00B34D60"/>
    <w:rsid w:val="00B34D74"/>
    <w:rsid w:val="00B34FAE"/>
    <w:rsid w:val="00B352C7"/>
    <w:rsid w:val="00B3536E"/>
    <w:rsid w:val="00B354A7"/>
    <w:rsid w:val="00B3562A"/>
    <w:rsid w:val="00B357D4"/>
    <w:rsid w:val="00B3597A"/>
    <w:rsid w:val="00B35F13"/>
    <w:rsid w:val="00B3611E"/>
    <w:rsid w:val="00B3640C"/>
    <w:rsid w:val="00B364AF"/>
    <w:rsid w:val="00B36696"/>
    <w:rsid w:val="00B36A01"/>
    <w:rsid w:val="00B36AEF"/>
    <w:rsid w:val="00B36CD5"/>
    <w:rsid w:val="00B36F63"/>
    <w:rsid w:val="00B37076"/>
    <w:rsid w:val="00B37331"/>
    <w:rsid w:val="00B37367"/>
    <w:rsid w:val="00B3740F"/>
    <w:rsid w:val="00B3744C"/>
    <w:rsid w:val="00B37632"/>
    <w:rsid w:val="00B3784B"/>
    <w:rsid w:val="00B379A6"/>
    <w:rsid w:val="00B37C75"/>
    <w:rsid w:val="00B37DAB"/>
    <w:rsid w:val="00B37F18"/>
    <w:rsid w:val="00B37F91"/>
    <w:rsid w:val="00B40420"/>
    <w:rsid w:val="00B4096F"/>
    <w:rsid w:val="00B409E4"/>
    <w:rsid w:val="00B4110D"/>
    <w:rsid w:val="00B41553"/>
    <w:rsid w:val="00B416A0"/>
    <w:rsid w:val="00B416D1"/>
    <w:rsid w:val="00B41938"/>
    <w:rsid w:val="00B41998"/>
    <w:rsid w:val="00B41B52"/>
    <w:rsid w:val="00B422C5"/>
    <w:rsid w:val="00B422F3"/>
    <w:rsid w:val="00B423E7"/>
    <w:rsid w:val="00B4257D"/>
    <w:rsid w:val="00B42776"/>
    <w:rsid w:val="00B4281B"/>
    <w:rsid w:val="00B429AD"/>
    <w:rsid w:val="00B429AF"/>
    <w:rsid w:val="00B42BC0"/>
    <w:rsid w:val="00B42CCD"/>
    <w:rsid w:val="00B43201"/>
    <w:rsid w:val="00B43272"/>
    <w:rsid w:val="00B43282"/>
    <w:rsid w:val="00B43317"/>
    <w:rsid w:val="00B4366D"/>
    <w:rsid w:val="00B43705"/>
    <w:rsid w:val="00B43B84"/>
    <w:rsid w:val="00B44745"/>
    <w:rsid w:val="00B44983"/>
    <w:rsid w:val="00B44BC6"/>
    <w:rsid w:val="00B44E21"/>
    <w:rsid w:val="00B44E38"/>
    <w:rsid w:val="00B4536D"/>
    <w:rsid w:val="00B453ED"/>
    <w:rsid w:val="00B455BC"/>
    <w:rsid w:val="00B45929"/>
    <w:rsid w:val="00B459BC"/>
    <w:rsid w:val="00B45B14"/>
    <w:rsid w:val="00B463D8"/>
    <w:rsid w:val="00B46869"/>
    <w:rsid w:val="00B4686A"/>
    <w:rsid w:val="00B468C1"/>
    <w:rsid w:val="00B469C3"/>
    <w:rsid w:val="00B46ADC"/>
    <w:rsid w:val="00B46CF9"/>
    <w:rsid w:val="00B46F9A"/>
    <w:rsid w:val="00B46FB9"/>
    <w:rsid w:val="00B470B8"/>
    <w:rsid w:val="00B47174"/>
    <w:rsid w:val="00B47351"/>
    <w:rsid w:val="00B47C2F"/>
    <w:rsid w:val="00B47DE5"/>
    <w:rsid w:val="00B47DF0"/>
    <w:rsid w:val="00B47FF9"/>
    <w:rsid w:val="00B50098"/>
    <w:rsid w:val="00B502EE"/>
    <w:rsid w:val="00B505E3"/>
    <w:rsid w:val="00B50A94"/>
    <w:rsid w:val="00B50CED"/>
    <w:rsid w:val="00B50DDD"/>
    <w:rsid w:val="00B50E7A"/>
    <w:rsid w:val="00B50E91"/>
    <w:rsid w:val="00B51463"/>
    <w:rsid w:val="00B514A2"/>
    <w:rsid w:val="00B521E9"/>
    <w:rsid w:val="00B525DF"/>
    <w:rsid w:val="00B527C1"/>
    <w:rsid w:val="00B52E9F"/>
    <w:rsid w:val="00B52EB9"/>
    <w:rsid w:val="00B52FAA"/>
    <w:rsid w:val="00B532EC"/>
    <w:rsid w:val="00B53740"/>
    <w:rsid w:val="00B539AF"/>
    <w:rsid w:val="00B5484D"/>
    <w:rsid w:val="00B54921"/>
    <w:rsid w:val="00B54D2D"/>
    <w:rsid w:val="00B54EC9"/>
    <w:rsid w:val="00B550B6"/>
    <w:rsid w:val="00B5513B"/>
    <w:rsid w:val="00B55467"/>
    <w:rsid w:val="00B55607"/>
    <w:rsid w:val="00B55822"/>
    <w:rsid w:val="00B55AE1"/>
    <w:rsid w:val="00B55B6B"/>
    <w:rsid w:val="00B55B87"/>
    <w:rsid w:val="00B55B9E"/>
    <w:rsid w:val="00B56075"/>
    <w:rsid w:val="00B56156"/>
    <w:rsid w:val="00B56159"/>
    <w:rsid w:val="00B567D4"/>
    <w:rsid w:val="00B56895"/>
    <w:rsid w:val="00B568F5"/>
    <w:rsid w:val="00B56CDD"/>
    <w:rsid w:val="00B56F4D"/>
    <w:rsid w:val="00B57210"/>
    <w:rsid w:val="00B57418"/>
    <w:rsid w:val="00B57461"/>
    <w:rsid w:val="00B5749C"/>
    <w:rsid w:val="00B575AE"/>
    <w:rsid w:val="00B575FD"/>
    <w:rsid w:val="00B5761F"/>
    <w:rsid w:val="00B577C0"/>
    <w:rsid w:val="00B577FE"/>
    <w:rsid w:val="00B57C0A"/>
    <w:rsid w:val="00B57E36"/>
    <w:rsid w:val="00B60130"/>
    <w:rsid w:val="00B6047E"/>
    <w:rsid w:val="00B6103E"/>
    <w:rsid w:val="00B61177"/>
    <w:rsid w:val="00B614A4"/>
    <w:rsid w:val="00B614A5"/>
    <w:rsid w:val="00B61524"/>
    <w:rsid w:val="00B6200E"/>
    <w:rsid w:val="00B6241F"/>
    <w:rsid w:val="00B6264A"/>
    <w:rsid w:val="00B626F7"/>
    <w:rsid w:val="00B62774"/>
    <w:rsid w:val="00B62A0C"/>
    <w:rsid w:val="00B62DAC"/>
    <w:rsid w:val="00B62E50"/>
    <w:rsid w:val="00B630B9"/>
    <w:rsid w:val="00B6320E"/>
    <w:rsid w:val="00B635E0"/>
    <w:rsid w:val="00B6370A"/>
    <w:rsid w:val="00B63759"/>
    <w:rsid w:val="00B63A4D"/>
    <w:rsid w:val="00B63CE1"/>
    <w:rsid w:val="00B63F8E"/>
    <w:rsid w:val="00B64115"/>
    <w:rsid w:val="00B644AC"/>
    <w:rsid w:val="00B647EE"/>
    <w:rsid w:val="00B648A3"/>
    <w:rsid w:val="00B64923"/>
    <w:rsid w:val="00B64B8A"/>
    <w:rsid w:val="00B6508D"/>
    <w:rsid w:val="00B652C8"/>
    <w:rsid w:val="00B65B69"/>
    <w:rsid w:val="00B65DBD"/>
    <w:rsid w:val="00B65E3E"/>
    <w:rsid w:val="00B66099"/>
    <w:rsid w:val="00B660BD"/>
    <w:rsid w:val="00B6619C"/>
    <w:rsid w:val="00B664B3"/>
    <w:rsid w:val="00B664DE"/>
    <w:rsid w:val="00B66AA0"/>
    <w:rsid w:val="00B66B08"/>
    <w:rsid w:val="00B66E6E"/>
    <w:rsid w:val="00B66F42"/>
    <w:rsid w:val="00B67421"/>
    <w:rsid w:val="00B674BB"/>
    <w:rsid w:val="00B674C1"/>
    <w:rsid w:val="00B674F0"/>
    <w:rsid w:val="00B675FE"/>
    <w:rsid w:val="00B676C4"/>
    <w:rsid w:val="00B67751"/>
    <w:rsid w:val="00B67F44"/>
    <w:rsid w:val="00B700BB"/>
    <w:rsid w:val="00B702EE"/>
    <w:rsid w:val="00B704A8"/>
    <w:rsid w:val="00B704E7"/>
    <w:rsid w:val="00B706D4"/>
    <w:rsid w:val="00B707A3"/>
    <w:rsid w:val="00B70A0C"/>
    <w:rsid w:val="00B70B55"/>
    <w:rsid w:val="00B710FC"/>
    <w:rsid w:val="00B7125B"/>
    <w:rsid w:val="00B71284"/>
    <w:rsid w:val="00B712EA"/>
    <w:rsid w:val="00B7133F"/>
    <w:rsid w:val="00B7165E"/>
    <w:rsid w:val="00B717E7"/>
    <w:rsid w:val="00B71935"/>
    <w:rsid w:val="00B71D7B"/>
    <w:rsid w:val="00B73323"/>
    <w:rsid w:val="00B73CDB"/>
    <w:rsid w:val="00B740E0"/>
    <w:rsid w:val="00B744F6"/>
    <w:rsid w:val="00B74AD5"/>
    <w:rsid w:val="00B74B2C"/>
    <w:rsid w:val="00B74D87"/>
    <w:rsid w:val="00B74DB2"/>
    <w:rsid w:val="00B74FF2"/>
    <w:rsid w:val="00B751F9"/>
    <w:rsid w:val="00B754E2"/>
    <w:rsid w:val="00B7561B"/>
    <w:rsid w:val="00B7566F"/>
    <w:rsid w:val="00B75695"/>
    <w:rsid w:val="00B75880"/>
    <w:rsid w:val="00B7596A"/>
    <w:rsid w:val="00B75F7F"/>
    <w:rsid w:val="00B75F8C"/>
    <w:rsid w:val="00B761B3"/>
    <w:rsid w:val="00B762CE"/>
    <w:rsid w:val="00B76535"/>
    <w:rsid w:val="00B76624"/>
    <w:rsid w:val="00B7663A"/>
    <w:rsid w:val="00B77070"/>
    <w:rsid w:val="00B7713B"/>
    <w:rsid w:val="00B7735F"/>
    <w:rsid w:val="00B77722"/>
    <w:rsid w:val="00B77794"/>
    <w:rsid w:val="00B77C24"/>
    <w:rsid w:val="00B77C9E"/>
    <w:rsid w:val="00B77DC3"/>
    <w:rsid w:val="00B77E66"/>
    <w:rsid w:val="00B77FC8"/>
    <w:rsid w:val="00B8020A"/>
    <w:rsid w:val="00B8026B"/>
    <w:rsid w:val="00B804DB"/>
    <w:rsid w:val="00B80783"/>
    <w:rsid w:val="00B808B8"/>
    <w:rsid w:val="00B809E7"/>
    <w:rsid w:val="00B80BE0"/>
    <w:rsid w:val="00B810F5"/>
    <w:rsid w:val="00B81169"/>
    <w:rsid w:val="00B81192"/>
    <w:rsid w:val="00B81228"/>
    <w:rsid w:val="00B8130E"/>
    <w:rsid w:val="00B81784"/>
    <w:rsid w:val="00B819F0"/>
    <w:rsid w:val="00B81B92"/>
    <w:rsid w:val="00B81BA8"/>
    <w:rsid w:val="00B81DCF"/>
    <w:rsid w:val="00B8229E"/>
    <w:rsid w:val="00B824AE"/>
    <w:rsid w:val="00B82514"/>
    <w:rsid w:val="00B825AA"/>
    <w:rsid w:val="00B82633"/>
    <w:rsid w:val="00B82D83"/>
    <w:rsid w:val="00B82E92"/>
    <w:rsid w:val="00B8309B"/>
    <w:rsid w:val="00B8331C"/>
    <w:rsid w:val="00B83B7A"/>
    <w:rsid w:val="00B840A4"/>
    <w:rsid w:val="00B8420D"/>
    <w:rsid w:val="00B851D5"/>
    <w:rsid w:val="00B85244"/>
    <w:rsid w:val="00B85439"/>
    <w:rsid w:val="00B85599"/>
    <w:rsid w:val="00B857E8"/>
    <w:rsid w:val="00B858FA"/>
    <w:rsid w:val="00B85994"/>
    <w:rsid w:val="00B86A59"/>
    <w:rsid w:val="00B86A77"/>
    <w:rsid w:val="00B86AA9"/>
    <w:rsid w:val="00B86CA0"/>
    <w:rsid w:val="00B8700A"/>
    <w:rsid w:val="00B87499"/>
    <w:rsid w:val="00B87708"/>
    <w:rsid w:val="00B877EC"/>
    <w:rsid w:val="00B8783C"/>
    <w:rsid w:val="00B87EF3"/>
    <w:rsid w:val="00B902E6"/>
    <w:rsid w:val="00B9037F"/>
    <w:rsid w:val="00B903B5"/>
    <w:rsid w:val="00B91238"/>
    <w:rsid w:val="00B9151F"/>
    <w:rsid w:val="00B9177D"/>
    <w:rsid w:val="00B917F7"/>
    <w:rsid w:val="00B91808"/>
    <w:rsid w:val="00B91A5A"/>
    <w:rsid w:val="00B91B50"/>
    <w:rsid w:val="00B91F99"/>
    <w:rsid w:val="00B92489"/>
    <w:rsid w:val="00B9260E"/>
    <w:rsid w:val="00B9289D"/>
    <w:rsid w:val="00B92D44"/>
    <w:rsid w:val="00B92D62"/>
    <w:rsid w:val="00B935D0"/>
    <w:rsid w:val="00B93666"/>
    <w:rsid w:val="00B93A0C"/>
    <w:rsid w:val="00B93B2D"/>
    <w:rsid w:val="00B93E5D"/>
    <w:rsid w:val="00B93FF2"/>
    <w:rsid w:val="00B9413F"/>
    <w:rsid w:val="00B94371"/>
    <w:rsid w:val="00B9469B"/>
    <w:rsid w:val="00B9490A"/>
    <w:rsid w:val="00B94A36"/>
    <w:rsid w:val="00B94B74"/>
    <w:rsid w:val="00B94FA2"/>
    <w:rsid w:val="00B95237"/>
    <w:rsid w:val="00B95499"/>
    <w:rsid w:val="00B95597"/>
    <w:rsid w:val="00B9567B"/>
    <w:rsid w:val="00B956D2"/>
    <w:rsid w:val="00B9581C"/>
    <w:rsid w:val="00B95921"/>
    <w:rsid w:val="00B95B59"/>
    <w:rsid w:val="00B964C6"/>
    <w:rsid w:val="00B965CE"/>
    <w:rsid w:val="00B965EE"/>
    <w:rsid w:val="00B96CD5"/>
    <w:rsid w:val="00B96DB0"/>
    <w:rsid w:val="00B96EDD"/>
    <w:rsid w:val="00B96F75"/>
    <w:rsid w:val="00B9734B"/>
    <w:rsid w:val="00B97558"/>
    <w:rsid w:val="00B976BC"/>
    <w:rsid w:val="00B978A8"/>
    <w:rsid w:val="00B97A71"/>
    <w:rsid w:val="00B97D0E"/>
    <w:rsid w:val="00B97D2A"/>
    <w:rsid w:val="00BA0355"/>
    <w:rsid w:val="00BA049B"/>
    <w:rsid w:val="00BA06F6"/>
    <w:rsid w:val="00BA08CE"/>
    <w:rsid w:val="00BA09F9"/>
    <w:rsid w:val="00BA13D6"/>
    <w:rsid w:val="00BA1474"/>
    <w:rsid w:val="00BA14BB"/>
    <w:rsid w:val="00BA1527"/>
    <w:rsid w:val="00BA1765"/>
    <w:rsid w:val="00BA1807"/>
    <w:rsid w:val="00BA183B"/>
    <w:rsid w:val="00BA1E57"/>
    <w:rsid w:val="00BA222C"/>
    <w:rsid w:val="00BA2C48"/>
    <w:rsid w:val="00BA31AD"/>
    <w:rsid w:val="00BA351B"/>
    <w:rsid w:val="00BA3592"/>
    <w:rsid w:val="00BA35FD"/>
    <w:rsid w:val="00BA3637"/>
    <w:rsid w:val="00BA3807"/>
    <w:rsid w:val="00BA3E33"/>
    <w:rsid w:val="00BA40DE"/>
    <w:rsid w:val="00BA41A3"/>
    <w:rsid w:val="00BA4322"/>
    <w:rsid w:val="00BA465E"/>
    <w:rsid w:val="00BA46E8"/>
    <w:rsid w:val="00BA4768"/>
    <w:rsid w:val="00BA49F5"/>
    <w:rsid w:val="00BA4A09"/>
    <w:rsid w:val="00BA4BB8"/>
    <w:rsid w:val="00BA4CEA"/>
    <w:rsid w:val="00BA52A8"/>
    <w:rsid w:val="00BA5321"/>
    <w:rsid w:val="00BA5361"/>
    <w:rsid w:val="00BA5620"/>
    <w:rsid w:val="00BA56AD"/>
    <w:rsid w:val="00BA597C"/>
    <w:rsid w:val="00BA5DA6"/>
    <w:rsid w:val="00BA62F7"/>
    <w:rsid w:val="00BA6482"/>
    <w:rsid w:val="00BA69C2"/>
    <w:rsid w:val="00BA6CFE"/>
    <w:rsid w:val="00BA6F2C"/>
    <w:rsid w:val="00BA70EA"/>
    <w:rsid w:val="00BA7511"/>
    <w:rsid w:val="00BA76CD"/>
    <w:rsid w:val="00BA7701"/>
    <w:rsid w:val="00BA7824"/>
    <w:rsid w:val="00BA7C02"/>
    <w:rsid w:val="00BA7F55"/>
    <w:rsid w:val="00BB02AA"/>
    <w:rsid w:val="00BB0513"/>
    <w:rsid w:val="00BB0579"/>
    <w:rsid w:val="00BB0689"/>
    <w:rsid w:val="00BB0B03"/>
    <w:rsid w:val="00BB104B"/>
    <w:rsid w:val="00BB133B"/>
    <w:rsid w:val="00BB15D6"/>
    <w:rsid w:val="00BB1B7F"/>
    <w:rsid w:val="00BB1BD5"/>
    <w:rsid w:val="00BB1D38"/>
    <w:rsid w:val="00BB1F9A"/>
    <w:rsid w:val="00BB2009"/>
    <w:rsid w:val="00BB283A"/>
    <w:rsid w:val="00BB2905"/>
    <w:rsid w:val="00BB2A59"/>
    <w:rsid w:val="00BB2DDC"/>
    <w:rsid w:val="00BB2E94"/>
    <w:rsid w:val="00BB33AB"/>
    <w:rsid w:val="00BB3564"/>
    <w:rsid w:val="00BB3927"/>
    <w:rsid w:val="00BB3963"/>
    <w:rsid w:val="00BB3C5A"/>
    <w:rsid w:val="00BB4065"/>
    <w:rsid w:val="00BB47EC"/>
    <w:rsid w:val="00BB4D6B"/>
    <w:rsid w:val="00BB4D70"/>
    <w:rsid w:val="00BB4F5E"/>
    <w:rsid w:val="00BB5289"/>
    <w:rsid w:val="00BB5429"/>
    <w:rsid w:val="00BB57E0"/>
    <w:rsid w:val="00BB5BCC"/>
    <w:rsid w:val="00BB6528"/>
    <w:rsid w:val="00BB6682"/>
    <w:rsid w:val="00BB6745"/>
    <w:rsid w:val="00BB67D9"/>
    <w:rsid w:val="00BB68F0"/>
    <w:rsid w:val="00BB6C63"/>
    <w:rsid w:val="00BB6D23"/>
    <w:rsid w:val="00BB70DC"/>
    <w:rsid w:val="00BB74BB"/>
    <w:rsid w:val="00BB7515"/>
    <w:rsid w:val="00BB777A"/>
    <w:rsid w:val="00BB7D88"/>
    <w:rsid w:val="00BB7E9C"/>
    <w:rsid w:val="00BC012D"/>
    <w:rsid w:val="00BC0469"/>
    <w:rsid w:val="00BC05B8"/>
    <w:rsid w:val="00BC05EE"/>
    <w:rsid w:val="00BC07A4"/>
    <w:rsid w:val="00BC0905"/>
    <w:rsid w:val="00BC0A13"/>
    <w:rsid w:val="00BC0A52"/>
    <w:rsid w:val="00BC0AC1"/>
    <w:rsid w:val="00BC0AD1"/>
    <w:rsid w:val="00BC0AE4"/>
    <w:rsid w:val="00BC0B56"/>
    <w:rsid w:val="00BC0D01"/>
    <w:rsid w:val="00BC10C8"/>
    <w:rsid w:val="00BC113F"/>
    <w:rsid w:val="00BC1305"/>
    <w:rsid w:val="00BC148A"/>
    <w:rsid w:val="00BC1666"/>
    <w:rsid w:val="00BC17F3"/>
    <w:rsid w:val="00BC1B19"/>
    <w:rsid w:val="00BC1CCA"/>
    <w:rsid w:val="00BC1F2E"/>
    <w:rsid w:val="00BC20B2"/>
    <w:rsid w:val="00BC21EF"/>
    <w:rsid w:val="00BC2212"/>
    <w:rsid w:val="00BC22C0"/>
    <w:rsid w:val="00BC262D"/>
    <w:rsid w:val="00BC2653"/>
    <w:rsid w:val="00BC2715"/>
    <w:rsid w:val="00BC28DF"/>
    <w:rsid w:val="00BC2927"/>
    <w:rsid w:val="00BC2C93"/>
    <w:rsid w:val="00BC33E2"/>
    <w:rsid w:val="00BC34F4"/>
    <w:rsid w:val="00BC3A1B"/>
    <w:rsid w:val="00BC3D8C"/>
    <w:rsid w:val="00BC3E1D"/>
    <w:rsid w:val="00BC3E66"/>
    <w:rsid w:val="00BC446E"/>
    <w:rsid w:val="00BC471D"/>
    <w:rsid w:val="00BC4E0C"/>
    <w:rsid w:val="00BC4EE0"/>
    <w:rsid w:val="00BC590F"/>
    <w:rsid w:val="00BC5ADE"/>
    <w:rsid w:val="00BC5C13"/>
    <w:rsid w:val="00BC5C26"/>
    <w:rsid w:val="00BC5D34"/>
    <w:rsid w:val="00BC5FF7"/>
    <w:rsid w:val="00BC62E1"/>
    <w:rsid w:val="00BC68C2"/>
    <w:rsid w:val="00BC699D"/>
    <w:rsid w:val="00BC69E8"/>
    <w:rsid w:val="00BC6B3C"/>
    <w:rsid w:val="00BC6B3D"/>
    <w:rsid w:val="00BC6C15"/>
    <w:rsid w:val="00BC6C83"/>
    <w:rsid w:val="00BC6F74"/>
    <w:rsid w:val="00BC6FFB"/>
    <w:rsid w:val="00BC710D"/>
    <w:rsid w:val="00BC7636"/>
    <w:rsid w:val="00BC76E1"/>
    <w:rsid w:val="00BC7B25"/>
    <w:rsid w:val="00BC7BCA"/>
    <w:rsid w:val="00BC7EB8"/>
    <w:rsid w:val="00BD02E9"/>
    <w:rsid w:val="00BD04D7"/>
    <w:rsid w:val="00BD07DB"/>
    <w:rsid w:val="00BD09C6"/>
    <w:rsid w:val="00BD0EB3"/>
    <w:rsid w:val="00BD137A"/>
    <w:rsid w:val="00BD1950"/>
    <w:rsid w:val="00BD1F7C"/>
    <w:rsid w:val="00BD2002"/>
    <w:rsid w:val="00BD227B"/>
    <w:rsid w:val="00BD2373"/>
    <w:rsid w:val="00BD27ED"/>
    <w:rsid w:val="00BD284F"/>
    <w:rsid w:val="00BD29E4"/>
    <w:rsid w:val="00BD2A47"/>
    <w:rsid w:val="00BD3087"/>
    <w:rsid w:val="00BD314F"/>
    <w:rsid w:val="00BD3537"/>
    <w:rsid w:val="00BD353F"/>
    <w:rsid w:val="00BD3678"/>
    <w:rsid w:val="00BD370E"/>
    <w:rsid w:val="00BD372B"/>
    <w:rsid w:val="00BD3795"/>
    <w:rsid w:val="00BD3ABC"/>
    <w:rsid w:val="00BD3AC8"/>
    <w:rsid w:val="00BD40BA"/>
    <w:rsid w:val="00BD4232"/>
    <w:rsid w:val="00BD4245"/>
    <w:rsid w:val="00BD42C1"/>
    <w:rsid w:val="00BD440F"/>
    <w:rsid w:val="00BD48C5"/>
    <w:rsid w:val="00BD48F4"/>
    <w:rsid w:val="00BD4A0F"/>
    <w:rsid w:val="00BD4A16"/>
    <w:rsid w:val="00BD4A48"/>
    <w:rsid w:val="00BD4C26"/>
    <w:rsid w:val="00BD4CAC"/>
    <w:rsid w:val="00BD4CEE"/>
    <w:rsid w:val="00BD525B"/>
    <w:rsid w:val="00BD530D"/>
    <w:rsid w:val="00BD532E"/>
    <w:rsid w:val="00BD5525"/>
    <w:rsid w:val="00BD5606"/>
    <w:rsid w:val="00BD57CC"/>
    <w:rsid w:val="00BD5FB1"/>
    <w:rsid w:val="00BD5FBC"/>
    <w:rsid w:val="00BD6002"/>
    <w:rsid w:val="00BD60F1"/>
    <w:rsid w:val="00BD65A2"/>
    <w:rsid w:val="00BD66B2"/>
    <w:rsid w:val="00BD68E9"/>
    <w:rsid w:val="00BD6D62"/>
    <w:rsid w:val="00BD7004"/>
    <w:rsid w:val="00BD711F"/>
    <w:rsid w:val="00BD7144"/>
    <w:rsid w:val="00BD719E"/>
    <w:rsid w:val="00BD7586"/>
    <w:rsid w:val="00BD761D"/>
    <w:rsid w:val="00BD795D"/>
    <w:rsid w:val="00BE0097"/>
    <w:rsid w:val="00BE0143"/>
    <w:rsid w:val="00BE0227"/>
    <w:rsid w:val="00BE039D"/>
    <w:rsid w:val="00BE043B"/>
    <w:rsid w:val="00BE047A"/>
    <w:rsid w:val="00BE0511"/>
    <w:rsid w:val="00BE057A"/>
    <w:rsid w:val="00BE075C"/>
    <w:rsid w:val="00BE0EA1"/>
    <w:rsid w:val="00BE0F12"/>
    <w:rsid w:val="00BE0F87"/>
    <w:rsid w:val="00BE10D0"/>
    <w:rsid w:val="00BE116F"/>
    <w:rsid w:val="00BE121E"/>
    <w:rsid w:val="00BE1716"/>
    <w:rsid w:val="00BE171D"/>
    <w:rsid w:val="00BE19C8"/>
    <w:rsid w:val="00BE1A92"/>
    <w:rsid w:val="00BE1AEC"/>
    <w:rsid w:val="00BE1C38"/>
    <w:rsid w:val="00BE1DFF"/>
    <w:rsid w:val="00BE1E19"/>
    <w:rsid w:val="00BE20F4"/>
    <w:rsid w:val="00BE21BD"/>
    <w:rsid w:val="00BE2267"/>
    <w:rsid w:val="00BE22B1"/>
    <w:rsid w:val="00BE23C2"/>
    <w:rsid w:val="00BE251C"/>
    <w:rsid w:val="00BE2AE0"/>
    <w:rsid w:val="00BE2C87"/>
    <w:rsid w:val="00BE2F37"/>
    <w:rsid w:val="00BE311C"/>
    <w:rsid w:val="00BE33CC"/>
    <w:rsid w:val="00BE37F3"/>
    <w:rsid w:val="00BE3860"/>
    <w:rsid w:val="00BE3AED"/>
    <w:rsid w:val="00BE3D5D"/>
    <w:rsid w:val="00BE3E28"/>
    <w:rsid w:val="00BE3F37"/>
    <w:rsid w:val="00BE4339"/>
    <w:rsid w:val="00BE4603"/>
    <w:rsid w:val="00BE46A2"/>
    <w:rsid w:val="00BE46C8"/>
    <w:rsid w:val="00BE47F7"/>
    <w:rsid w:val="00BE4A1B"/>
    <w:rsid w:val="00BE4BDB"/>
    <w:rsid w:val="00BE4C50"/>
    <w:rsid w:val="00BE4E4A"/>
    <w:rsid w:val="00BE4EEB"/>
    <w:rsid w:val="00BE4F6B"/>
    <w:rsid w:val="00BE554B"/>
    <w:rsid w:val="00BE5788"/>
    <w:rsid w:val="00BE57BC"/>
    <w:rsid w:val="00BE5970"/>
    <w:rsid w:val="00BE5A0E"/>
    <w:rsid w:val="00BE5B11"/>
    <w:rsid w:val="00BE5D25"/>
    <w:rsid w:val="00BE64EE"/>
    <w:rsid w:val="00BE6634"/>
    <w:rsid w:val="00BE687F"/>
    <w:rsid w:val="00BE69AC"/>
    <w:rsid w:val="00BE6B1B"/>
    <w:rsid w:val="00BE6FA7"/>
    <w:rsid w:val="00BE700C"/>
    <w:rsid w:val="00BE7526"/>
    <w:rsid w:val="00BE7691"/>
    <w:rsid w:val="00BE7B7A"/>
    <w:rsid w:val="00BE7EB7"/>
    <w:rsid w:val="00BF0239"/>
    <w:rsid w:val="00BF06F4"/>
    <w:rsid w:val="00BF06F7"/>
    <w:rsid w:val="00BF0A0E"/>
    <w:rsid w:val="00BF0DDE"/>
    <w:rsid w:val="00BF0FEE"/>
    <w:rsid w:val="00BF122F"/>
    <w:rsid w:val="00BF20AC"/>
    <w:rsid w:val="00BF23B3"/>
    <w:rsid w:val="00BF25DB"/>
    <w:rsid w:val="00BF2607"/>
    <w:rsid w:val="00BF27FF"/>
    <w:rsid w:val="00BF2880"/>
    <w:rsid w:val="00BF28FC"/>
    <w:rsid w:val="00BF2A31"/>
    <w:rsid w:val="00BF2B29"/>
    <w:rsid w:val="00BF2BCA"/>
    <w:rsid w:val="00BF2C49"/>
    <w:rsid w:val="00BF33AE"/>
    <w:rsid w:val="00BF3814"/>
    <w:rsid w:val="00BF39D8"/>
    <w:rsid w:val="00BF3BE2"/>
    <w:rsid w:val="00BF3D70"/>
    <w:rsid w:val="00BF3E75"/>
    <w:rsid w:val="00BF4096"/>
    <w:rsid w:val="00BF42E0"/>
    <w:rsid w:val="00BF42FD"/>
    <w:rsid w:val="00BF45C2"/>
    <w:rsid w:val="00BF4700"/>
    <w:rsid w:val="00BF4831"/>
    <w:rsid w:val="00BF4872"/>
    <w:rsid w:val="00BF4975"/>
    <w:rsid w:val="00BF4CFC"/>
    <w:rsid w:val="00BF5139"/>
    <w:rsid w:val="00BF54E2"/>
    <w:rsid w:val="00BF55F6"/>
    <w:rsid w:val="00BF5662"/>
    <w:rsid w:val="00BF56A9"/>
    <w:rsid w:val="00BF575E"/>
    <w:rsid w:val="00BF5885"/>
    <w:rsid w:val="00BF5920"/>
    <w:rsid w:val="00BF5E28"/>
    <w:rsid w:val="00BF5E78"/>
    <w:rsid w:val="00BF61BC"/>
    <w:rsid w:val="00BF6306"/>
    <w:rsid w:val="00BF6C35"/>
    <w:rsid w:val="00BF7406"/>
    <w:rsid w:val="00BF7456"/>
    <w:rsid w:val="00BF757D"/>
    <w:rsid w:val="00BF7674"/>
    <w:rsid w:val="00BF7731"/>
    <w:rsid w:val="00BF7F45"/>
    <w:rsid w:val="00C00160"/>
    <w:rsid w:val="00C003EF"/>
    <w:rsid w:val="00C003F1"/>
    <w:rsid w:val="00C0051E"/>
    <w:rsid w:val="00C0058A"/>
    <w:rsid w:val="00C008FC"/>
    <w:rsid w:val="00C009F3"/>
    <w:rsid w:val="00C0112A"/>
    <w:rsid w:val="00C01427"/>
    <w:rsid w:val="00C01639"/>
    <w:rsid w:val="00C01896"/>
    <w:rsid w:val="00C01B7F"/>
    <w:rsid w:val="00C021CF"/>
    <w:rsid w:val="00C0242B"/>
    <w:rsid w:val="00C0290C"/>
    <w:rsid w:val="00C02BD3"/>
    <w:rsid w:val="00C02DEE"/>
    <w:rsid w:val="00C0316A"/>
    <w:rsid w:val="00C032D4"/>
    <w:rsid w:val="00C03583"/>
    <w:rsid w:val="00C039FE"/>
    <w:rsid w:val="00C03CB9"/>
    <w:rsid w:val="00C03D2F"/>
    <w:rsid w:val="00C03D56"/>
    <w:rsid w:val="00C03EE3"/>
    <w:rsid w:val="00C0404A"/>
    <w:rsid w:val="00C04165"/>
    <w:rsid w:val="00C046B2"/>
    <w:rsid w:val="00C04867"/>
    <w:rsid w:val="00C04AF8"/>
    <w:rsid w:val="00C04B48"/>
    <w:rsid w:val="00C052D1"/>
    <w:rsid w:val="00C0531F"/>
    <w:rsid w:val="00C055AC"/>
    <w:rsid w:val="00C05833"/>
    <w:rsid w:val="00C05A99"/>
    <w:rsid w:val="00C05BC7"/>
    <w:rsid w:val="00C0606C"/>
    <w:rsid w:val="00C062E8"/>
    <w:rsid w:val="00C068F9"/>
    <w:rsid w:val="00C06D78"/>
    <w:rsid w:val="00C06EF3"/>
    <w:rsid w:val="00C072F4"/>
    <w:rsid w:val="00C07955"/>
    <w:rsid w:val="00C07A03"/>
    <w:rsid w:val="00C07BDD"/>
    <w:rsid w:val="00C07F8D"/>
    <w:rsid w:val="00C10106"/>
    <w:rsid w:val="00C101E3"/>
    <w:rsid w:val="00C1044E"/>
    <w:rsid w:val="00C10491"/>
    <w:rsid w:val="00C10770"/>
    <w:rsid w:val="00C10A2B"/>
    <w:rsid w:val="00C10CDF"/>
    <w:rsid w:val="00C10DFE"/>
    <w:rsid w:val="00C10E55"/>
    <w:rsid w:val="00C11180"/>
    <w:rsid w:val="00C11358"/>
    <w:rsid w:val="00C1145F"/>
    <w:rsid w:val="00C1185D"/>
    <w:rsid w:val="00C118C6"/>
    <w:rsid w:val="00C11AAA"/>
    <w:rsid w:val="00C11C40"/>
    <w:rsid w:val="00C11D11"/>
    <w:rsid w:val="00C11E54"/>
    <w:rsid w:val="00C12100"/>
    <w:rsid w:val="00C121B6"/>
    <w:rsid w:val="00C12321"/>
    <w:rsid w:val="00C12722"/>
    <w:rsid w:val="00C12789"/>
    <w:rsid w:val="00C12C51"/>
    <w:rsid w:val="00C12D42"/>
    <w:rsid w:val="00C12E4E"/>
    <w:rsid w:val="00C13171"/>
    <w:rsid w:val="00C1320F"/>
    <w:rsid w:val="00C13369"/>
    <w:rsid w:val="00C134B3"/>
    <w:rsid w:val="00C136B9"/>
    <w:rsid w:val="00C13714"/>
    <w:rsid w:val="00C1378C"/>
    <w:rsid w:val="00C1378F"/>
    <w:rsid w:val="00C138A7"/>
    <w:rsid w:val="00C1395C"/>
    <w:rsid w:val="00C13D28"/>
    <w:rsid w:val="00C14100"/>
    <w:rsid w:val="00C1442C"/>
    <w:rsid w:val="00C144B7"/>
    <w:rsid w:val="00C14721"/>
    <w:rsid w:val="00C147B6"/>
    <w:rsid w:val="00C14A2D"/>
    <w:rsid w:val="00C14DED"/>
    <w:rsid w:val="00C150AC"/>
    <w:rsid w:val="00C15326"/>
    <w:rsid w:val="00C1557C"/>
    <w:rsid w:val="00C156D4"/>
    <w:rsid w:val="00C157FB"/>
    <w:rsid w:val="00C158BD"/>
    <w:rsid w:val="00C15A66"/>
    <w:rsid w:val="00C15AB1"/>
    <w:rsid w:val="00C15D7A"/>
    <w:rsid w:val="00C16A93"/>
    <w:rsid w:val="00C16C20"/>
    <w:rsid w:val="00C16C30"/>
    <w:rsid w:val="00C16FED"/>
    <w:rsid w:val="00C17592"/>
    <w:rsid w:val="00C17833"/>
    <w:rsid w:val="00C17C45"/>
    <w:rsid w:val="00C17D9A"/>
    <w:rsid w:val="00C20072"/>
    <w:rsid w:val="00C20183"/>
    <w:rsid w:val="00C20522"/>
    <w:rsid w:val="00C20605"/>
    <w:rsid w:val="00C20758"/>
    <w:rsid w:val="00C2084E"/>
    <w:rsid w:val="00C208B7"/>
    <w:rsid w:val="00C208ED"/>
    <w:rsid w:val="00C20AF6"/>
    <w:rsid w:val="00C20ED3"/>
    <w:rsid w:val="00C2136C"/>
    <w:rsid w:val="00C213C1"/>
    <w:rsid w:val="00C218A9"/>
    <w:rsid w:val="00C21E47"/>
    <w:rsid w:val="00C22404"/>
    <w:rsid w:val="00C2258E"/>
    <w:rsid w:val="00C22692"/>
    <w:rsid w:val="00C22890"/>
    <w:rsid w:val="00C2295D"/>
    <w:rsid w:val="00C22BC4"/>
    <w:rsid w:val="00C22DC4"/>
    <w:rsid w:val="00C23056"/>
    <w:rsid w:val="00C2314C"/>
    <w:rsid w:val="00C23652"/>
    <w:rsid w:val="00C23692"/>
    <w:rsid w:val="00C2370F"/>
    <w:rsid w:val="00C2432C"/>
    <w:rsid w:val="00C2444B"/>
    <w:rsid w:val="00C244E2"/>
    <w:rsid w:val="00C24644"/>
    <w:rsid w:val="00C24A81"/>
    <w:rsid w:val="00C24B23"/>
    <w:rsid w:val="00C24B63"/>
    <w:rsid w:val="00C24B6A"/>
    <w:rsid w:val="00C25139"/>
    <w:rsid w:val="00C25217"/>
    <w:rsid w:val="00C25616"/>
    <w:rsid w:val="00C2588D"/>
    <w:rsid w:val="00C2598D"/>
    <w:rsid w:val="00C259F7"/>
    <w:rsid w:val="00C25F4A"/>
    <w:rsid w:val="00C25F81"/>
    <w:rsid w:val="00C2629A"/>
    <w:rsid w:val="00C262CD"/>
    <w:rsid w:val="00C263C5"/>
    <w:rsid w:val="00C26783"/>
    <w:rsid w:val="00C26B29"/>
    <w:rsid w:val="00C26FE9"/>
    <w:rsid w:val="00C270FF"/>
    <w:rsid w:val="00C27525"/>
    <w:rsid w:val="00C275EC"/>
    <w:rsid w:val="00C27801"/>
    <w:rsid w:val="00C27EA8"/>
    <w:rsid w:val="00C27EBE"/>
    <w:rsid w:val="00C27F7F"/>
    <w:rsid w:val="00C27F8C"/>
    <w:rsid w:val="00C302E1"/>
    <w:rsid w:val="00C30A93"/>
    <w:rsid w:val="00C30AC2"/>
    <w:rsid w:val="00C30E7D"/>
    <w:rsid w:val="00C31063"/>
    <w:rsid w:val="00C31248"/>
    <w:rsid w:val="00C31764"/>
    <w:rsid w:val="00C31901"/>
    <w:rsid w:val="00C31A89"/>
    <w:rsid w:val="00C3219A"/>
    <w:rsid w:val="00C3239E"/>
    <w:rsid w:val="00C323E7"/>
    <w:rsid w:val="00C32542"/>
    <w:rsid w:val="00C325DC"/>
    <w:rsid w:val="00C325E6"/>
    <w:rsid w:val="00C32D20"/>
    <w:rsid w:val="00C33084"/>
    <w:rsid w:val="00C3309E"/>
    <w:rsid w:val="00C330CD"/>
    <w:rsid w:val="00C333F6"/>
    <w:rsid w:val="00C33595"/>
    <w:rsid w:val="00C33684"/>
    <w:rsid w:val="00C33893"/>
    <w:rsid w:val="00C33B75"/>
    <w:rsid w:val="00C33D9A"/>
    <w:rsid w:val="00C34697"/>
    <w:rsid w:val="00C34955"/>
    <w:rsid w:val="00C349B9"/>
    <w:rsid w:val="00C34A9B"/>
    <w:rsid w:val="00C34DB0"/>
    <w:rsid w:val="00C350F9"/>
    <w:rsid w:val="00C3555B"/>
    <w:rsid w:val="00C35815"/>
    <w:rsid w:val="00C35A05"/>
    <w:rsid w:val="00C35A51"/>
    <w:rsid w:val="00C35B48"/>
    <w:rsid w:val="00C35C53"/>
    <w:rsid w:val="00C35CC3"/>
    <w:rsid w:val="00C35DF3"/>
    <w:rsid w:val="00C35E75"/>
    <w:rsid w:val="00C35F9C"/>
    <w:rsid w:val="00C368C3"/>
    <w:rsid w:val="00C36A1A"/>
    <w:rsid w:val="00C373FE"/>
    <w:rsid w:val="00C37417"/>
    <w:rsid w:val="00C376AB"/>
    <w:rsid w:val="00C3776B"/>
    <w:rsid w:val="00C37B40"/>
    <w:rsid w:val="00C37C79"/>
    <w:rsid w:val="00C40125"/>
    <w:rsid w:val="00C403FE"/>
    <w:rsid w:val="00C40598"/>
    <w:rsid w:val="00C405FA"/>
    <w:rsid w:val="00C4074E"/>
    <w:rsid w:val="00C40880"/>
    <w:rsid w:val="00C40885"/>
    <w:rsid w:val="00C4099C"/>
    <w:rsid w:val="00C40DDC"/>
    <w:rsid w:val="00C40E86"/>
    <w:rsid w:val="00C40EEE"/>
    <w:rsid w:val="00C4139D"/>
    <w:rsid w:val="00C41773"/>
    <w:rsid w:val="00C41792"/>
    <w:rsid w:val="00C41853"/>
    <w:rsid w:val="00C41920"/>
    <w:rsid w:val="00C419AB"/>
    <w:rsid w:val="00C41B90"/>
    <w:rsid w:val="00C41B9E"/>
    <w:rsid w:val="00C41C9C"/>
    <w:rsid w:val="00C41EE9"/>
    <w:rsid w:val="00C42229"/>
    <w:rsid w:val="00C426DA"/>
    <w:rsid w:val="00C4283B"/>
    <w:rsid w:val="00C42895"/>
    <w:rsid w:val="00C42992"/>
    <w:rsid w:val="00C42AEE"/>
    <w:rsid w:val="00C43382"/>
    <w:rsid w:val="00C434CA"/>
    <w:rsid w:val="00C43615"/>
    <w:rsid w:val="00C43B02"/>
    <w:rsid w:val="00C43D23"/>
    <w:rsid w:val="00C44575"/>
    <w:rsid w:val="00C44809"/>
    <w:rsid w:val="00C44996"/>
    <w:rsid w:val="00C449A8"/>
    <w:rsid w:val="00C44A2E"/>
    <w:rsid w:val="00C44A75"/>
    <w:rsid w:val="00C44B2E"/>
    <w:rsid w:val="00C450BE"/>
    <w:rsid w:val="00C45305"/>
    <w:rsid w:val="00C45450"/>
    <w:rsid w:val="00C459B2"/>
    <w:rsid w:val="00C45C34"/>
    <w:rsid w:val="00C45C8B"/>
    <w:rsid w:val="00C45D5A"/>
    <w:rsid w:val="00C45F61"/>
    <w:rsid w:val="00C46395"/>
    <w:rsid w:val="00C4645B"/>
    <w:rsid w:val="00C46660"/>
    <w:rsid w:val="00C46878"/>
    <w:rsid w:val="00C468D5"/>
    <w:rsid w:val="00C468D7"/>
    <w:rsid w:val="00C46DC7"/>
    <w:rsid w:val="00C46FB0"/>
    <w:rsid w:val="00C46FD1"/>
    <w:rsid w:val="00C47131"/>
    <w:rsid w:val="00C47374"/>
    <w:rsid w:val="00C4788E"/>
    <w:rsid w:val="00C47A2C"/>
    <w:rsid w:val="00C47A61"/>
    <w:rsid w:val="00C47CBF"/>
    <w:rsid w:val="00C47D75"/>
    <w:rsid w:val="00C47DA7"/>
    <w:rsid w:val="00C500C1"/>
    <w:rsid w:val="00C501C6"/>
    <w:rsid w:val="00C5021A"/>
    <w:rsid w:val="00C5026F"/>
    <w:rsid w:val="00C50561"/>
    <w:rsid w:val="00C5058F"/>
    <w:rsid w:val="00C505F4"/>
    <w:rsid w:val="00C505FF"/>
    <w:rsid w:val="00C50C7C"/>
    <w:rsid w:val="00C50E37"/>
    <w:rsid w:val="00C50F89"/>
    <w:rsid w:val="00C51113"/>
    <w:rsid w:val="00C511A9"/>
    <w:rsid w:val="00C5121C"/>
    <w:rsid w:val="00C5132F"/>
    <w:rsid w:val="00C5139C"/>
    <w:rsid w:val="00C51719"/>
    <w:rsid w:val="00C517E2"/>
    <w:rsid w:val="00C51993"/>
    <w:rsid w:val="00C51BE2"/>
    <w:rsid w:val="00C51D07"/>
    <w:rsid w:val="00C52128"/>
    <w:rsid w:val="00C52558"/>
    <w:rsid w:val="00C52592"/>
    <w:rsid w:val="00C52677"/>
    <w:rsid w:val="00C52839"/>
    <w:rsid w:val="00C5294A"/>
    <w:rsid w:val="00C531F3"/>
    <w:rsid w:val="00C5326B"/>
    <w:rsid w:val="00C5328F"/>
    <w:rsid w:val="00C532E0"/>
    <w:rsid w:val="00C535EE"/>
    <w:rsid w:val="00C53657"/>
    <w:rsid w:val="00C5382A"/>
    <w:rsid w:val="00C53DD6"/>
    <w:rsid w:val="00C53DF2"/>
    <w:rsid w:val="00C540E7"/>
    <w:rsid w:val="00C54226"/>
    <w:rsid w:val="00C5440F"/>
    <w:rsid w:val="00C544F5"/>
    <w:rsid w:val="00C545E1"/>
    <w:rsid w:val="00C546DC"/>
    <w:rsid w:val="00C54A73"/>
    <w:rsid w:val="00C54C15"/>
    <w:rsid w:val="00C54DF9"/>
    <w:rsid w:val="00C5505C"/>
    <w:rsid w:val="00C55408"/>
    <w:rsid w:val="00C554D3"/>
    <w:rsid w:val="00C55524"/>
    <w:rsid w:val="00C55587"/>
    <w:rsid w:val="00C55971"/>
    <w:rsid w:val="00C55AD6"/>
    <w:rsid w:val="00C55D8D"/>
    <w:rsid w:val="00C55D97"/>
    <w:rsid w:val="00C56472"/>
    <w:rsid w:val="00C5668C"/>
    <w:rsid w:val="00C566CD"/>
    <w:rsid w:val="00C566F2"/>
    <w:rsid w:val="00C5685F"/>
    <w:rsid w:val="00C56D95"/>
    <w:rsid w:val="00C56F83"/>
    <w:rsid w:val="00C5730B"/>
    <w:rsid w:val="00C57A74"/>
    <w:rsid w:val="00C57B71"/>
    <w:rsid w:val="00C57BAE"/>
    <w:rsid w:val="00C57CCE"/>
    <w:rsid w:val="00C57F24"/>
    <w:rsid w:val="00C604D3"/>
    <w:rsid w:val="00C604F9"/>
    <w:rsid w:val="00C60ABB"/>
    <w:rsid w:val="00C60D5F"/>
    <w:rsid w:val="00C612A6"/>
    <w:rsid w:val="00C6170D"/>
    <w:rsid w:val="00C618BF"/>
    <w:rsid w:val="00C61F6F"/>
    <w:rsid w:val="00C61FBA"/>
    <w:rsid w:val="00C62164"/>
    <w:rsid w:val="00C6219B"/>
    <w:rsid w:val="00C6227E"/>
    <w:rsid w:val="00C623F4"/>
    <w:rsid w:val="00C6250F"/>
    <w:rsid w:val="00C62979"/>
    <w:rsid w:val="00C62D0B"/>
    <w:rsid w:val="00C62D76"/>
    <w:rsid w:val="00C62DBC"/>
    <w:rsid w:val="00C62E3E"/>
    <w:rsid w:val="00C630AB"/>
    <w:rsid w:val="00C631AD"/>
    <w:rsid w:val="00C63364"/>
    <w:rsid w:val="00C63573"/>
    <w:rsid w:val="00C63576"/>
    <w:rsid w:val="00C63613"/>
    <w:rsid w:val="00C6388A"/>
    <w:rsid w:val="00C6388B"/>
    <w:rsid w:val="00C63F21"/>
    <w:rsid w:val="00C643E5"/>
    <w:rsid w:val="00C645EF"/>
    <w:rsid w:val="00C648F1"/>
    <w:rsid w:val="00C6492D"/>
    <w:rsid w:val="00C64AAE"/>
    <w:rsid w:val="00C64D66"/>
    <w:rsid w:val="00C64DF7"/>
    <w:rsid w:val="00C64F15"/>
    <w:rsid w:val="00C64FA8"/>
    <w:rsid w:val="00C65A6C"/>
    <w:rsid w:val="00C65BE1"/>
    <w:rsid w:val="00C65F94"/>
    <w:rsid w:val="00C660F0"/>
    <w:rsid w:val="00C662DC"/>
    <w:rsid w:val="00C66446"/>
    <w:rsid w:val="00C6682D"/>
    <w:rsid w:val="00C66C7B"/>
    <w:rsid w:val="00C6706B"/>
    <w:rsid w:val="00C672AE"/>
    <w:rsid w:val="00C67635"/>
    <w:rsid w:val="00C67A96"/>
    <w:rsid w:val="00C67AEA"/>
    <w:rsid w:val="00C67DF4"/>
    <w:rsid w:val="00C67EA2"/>
    <w:rsid w:val="00C67EB0"/>
    <w:rsid w:val="00C700DB"/>
    <w:rsid w:val="00C7011E"/>
    <w:rsid w:val="00C706CC"/>
    <w:rsid w:val="00C70D0C"/>
    <w:rsid w:val="00C70EB9"/>
    <w:rsid w:val="00C70F8B"/>
    <w:rsid w:val="00C71102"/>
    <w:rsid w:val="00C71281"/>
    <w:rsid w:val="00C713CC"/>
    <w:rsid w:val="00C7151D"/>
    <w:rsid w:val="00C71735"/>
    <w:rsid w:val="00C719B6"/>
    <w:rsid w:val="00C71C80"/>
    <w:rsid w:val="00C71D52"/>
    <w:rsid w:val="00C71F79"/>
    <w:rsid w:val="00C71F89"/>
    <w:rsid w:val="00C728C0"/>
    <w:rsid w:val="00C72957"/>
    <w:rsid w:val="00C72AB7"/>
    <w:rsid w:val="00C72ADE"/>
    <w:rsid w:val="00C72CC5"/>
    <w:rsid w:val="00C72D86"/>
    <w:rsid w:val="00C733B4"/>
    <w:rsid w:val="00C734B3"/>
    <w:rsid w:val="00C734EB"/>
    <w:rsid w:val="00C73B6D"/>
    <w:rsid w:val="00C73E08"/>
    <w:rsid w:val="00C73F43"/>
    <w:rsid w:val="00C743A2"/>
    <w:rsid w:val="00C74560"/>
    <w:rsid w:val="00C74580"/>
    <w:rsid w:val="00C746CC"/>
    <w:rsid w:val="00C74932"/>
    <w:rsid w:val="00C74A02"/>
    <w:rsid w:val="00C74C41"/>
    <w:rsid w:val="00C74DB6"/>
    <w:rsid w:val="00C74E2E"/>
    <w:rsid w:val="00C74FFD"/>
    <w:rsid w:val="00C75013"/>
    <w:rsid w:val="00C75368"/>
    <w:rsid w:val="00C75436"/>
    <w:rsid w:val="00C75506"/>
    <w:rsid w:val="00C759A5"/>
    <w:rsid w:val="00C75A72"/>
    <w:rsid w:val="00C75B78"/>
    <w:rsid w:val="00C75E84"/>
    <w:rsid w:val="00C76002"/>
    <w:rsid w:val="00C763F7"/>
    <w:rsid w:val="00C7673C"/>
    <w:rsid w:val="00C76AB1"/>
    <w:rsid w:val="00C76E7C"/>
    <w:rsid w:val="00C77097"/>
    <w:rsid w:val="00C770AD"/>
    <w:rsid w:val="00C770FE"/>
    <w:rsid w:val="00C7769D"/>
    <w:rsid w:val="00C77861"/>
    <w:rsid w:val="00C77BB8"/>
    <w:rsid w:val="00C803C4"/>
    <w:rsid w:val="00C803E9"/>
    <w:rsid w:val="00C80785"/>
    <w:rsid w:val="00C80811"/>
    <w:rsid w:val="00C80A5D"/>
    <w:rsid w:val="00C80A79"/>
    <w:rsid w:val="00C80BBA"/>
    <w:rsid w:val="00C80BD3"/>
    <w:rsid w:val="00C80FDF"/>
    <w:rsid w:val="00C81215"/>
    <w:rsid w:val="00C8144D"/>
    <w:rsid w:val="00C817B1"/>
    <w:rsid w:val="00C81A68"/>
    <w:rsid w:val="00C81B0E"/>
    <w:rsid w:val="00C81C34"/>
    <w:rsid w:val="00C81CEB"/>
    <w:rsid w:val="00C81D3D"/>
    <w:rsid w:val="00C8219B"/>
    <w:rsid w:val="00C821D3"/>
    <w:rsid w:val="00C82282"/>
    <w:rsid w:val="00C82378"/>
    <w:rsid w:val="00C82974"/>
    <w:rsid w:val="00C82D84"/>
    <w:rsid w:val="00C83032"/>
    <w:rsid w:val="00C832C1"/>
    <w:rsid w:val="00C83B33"/>
    <w:rsid w:val="00C83C34"/>
    <w:rsid w:val="00C84253"/>
    <w:rsid w:val="00C84294"/>
    <w:rsid w:val="00C84364"/>
    <w:rsid w:val="00C84567"/>
    <w:rsid w:val="00C84761"/>
    <w:rsid w:val="00C847C0"/>
    <w:rsid w:val="00C85037"/>
    <w:rsid w:val="00C85338"/>
    <w:rsid w:val="00C8580A"/>
    <w:rsid w:val="00C85942"/>
    <w:rsid w:val="00C85C3D"/>
    <w:rsid w:val="00C85D0C"/>
    <w:rsid w:val="00C85D9D"/>
    <w:rsid w:val="00C85E00"/>
    <w:rsid w:val="00C85E2A"/>
    <w:rsid w:val="00C85F91"/>
    <w:rsid w:val="00C86063"/>
    <w:rsid w:val="00C8606F"/>
    <w:rsid w:val="00C86477"/>
    <w:rsid w:val="00C86504"/>
    <w:rsid w:val="00C86830"/>
    <w:rsid w:val="00C86846"/>
    <w:rsid w:val="00C868F2"/>
    <w:rsid w:val="00C86CBA"/>
    <w:rsid w:val="00C86F4A"/>
    <w:rsid w:val="00C870F5"/>
    <w:rsid w:val="00C87C91"/>
    <w:rsid w:val="00C87F1D"/>
    <w:rsid w:val="00C87F7B"/>
    <w:rsid w:val="00C87FA6"/>
    <w:rsid w:val="00C9023C"/>
    <w:rsid w:val="00C90432"/>
    <w:rsid w:val="00C90440"/>
    <w:rsid w:val="00C90624"/>
    <w:rsid w:val="00C90657"/>
    <w:rsid w:val="00C908A8"/>
    <w:rsid w:val="00C908D5"/>
    <w:rsid w:val="00C909DE"/>
    <w:rsid w:val="00C909FD"/>
    <w:rsid w:val="00C90AFE"/>
    <w:rsid w:val="00C90CA4"/>
    <w:rsid w:val="00C90EBC"/>
    <w:rsid w:val="00C91089"/>
    <w:rsid w:val="00C911D4"/>
    <w:rsid w:val="00C912CC"/>
    <w:rsid w:val="00C913D9"/>
    <w:rsid w:val="00C9144E"/>
    <w:rsid w:val="00C915AD"/>
    <w:rsid w:val="00C915EC"/>
    <w:rsid w:val="00C9174E"/>
    <w:rsid w:val="00C91A59"/>
    <w:rsid w:val="00C91BC5"/>
    <w:rsid w:val="00C92497"/>
    <w:rsid w:val="00C9296E"/>
    <w:rsid w:val="00C92B54"/>
    <w:rsid w:val="00C92CDC"/>
    <w:rsid w:val="00C92E6B"/>
    <w:rsid w:val="00C93227"/>
    <w:rsid w:val="00C93278"/>
    <w:rsid w:val="00C9353D"/>
    <w:rsid w:val="00C937B4"/>
    <w:rsid w:val="00C9399B"/>
    <w:rsid w:val="00C93CE7"/>
    <w:rsid w:val="00C93D0F"/>
    <w:rsid w:val="00C93EAB"/>
    <w:rsid w:val="00C93F6A"/>
    <w:rsid w:val="00C946BF"/>
    <w:rsid w:val="00C94B18"/>
    <w:rsid w:val="00C94B33"/>
    <w:rsid w:val="00C94B4D"/>
    <w:rsid w:val="00C951BB"/>
    <w:rsid w:val="00C95865"/>
    <w:rsid w:val="00C95941"/>
    <w:rsid w:val="00C9598A"/>
    <w:rsid w:val="00C959D1"/>
    <w:rsid w:val="00C95A24"/>
    <w:rsid w:val="00C95C9B"/>
    <w:rsid w:val="00C95E85"/>
    <w:rsid w:val="00C96371"/>
    <w:rsid w:val="00C964C1"/>
    <w:rsid w:val="00C9650A"/>
    <w:rsid w:val="00C96649"/>
    <w:rsid w:val="00C96883"/>
    <w:rsid w:val="00C96B54"/>
    <w:rsid w:val="00C96CC3"/>
    <w:rsid w:val="00C96F5E"/>
    <w:rsid w:val="00C9720D"/>
    <w:rsid w:val="00C973E4"/>
    <w:rsid w:val="00C975A8"/>
    <w:rsid w:val="00C97D50"/>
    <w:rsid w:val="00C97E9C"/>
    <w:rsid w:val="00C97F81"/>
    <w:rsid w:val="00CA00D0"/>
    <w:rsid w:val="00CA0237"/>
    <w:rsid w:val="00CA0441"/>
    <w:rsid w:val="00CA0524"/>
    <w:rsid w:val="00CA075D"/>
    <w:rsid w:val="00CA0892"/>
    <w:rsid w:val="00CA0D5C"/>
    <w:rsid w:val="00CA1231"/>
    <w:rsid w:val="00CA129E"/>
    <w:rsid w:val="00CA12A5"/>
    <w:rsid w:val="00CA142D"/>
    <w:rsid w:val="00CA173D"/>
    <w:rsid w:val="00CA17DB"/>
    <w:rsid w:val="00CA1DD5"/>
    <w:rsid w:val="00CA2163"/>
    <w:rsid w:val="00CA2274"/>
    <w:rsid w:val="00CA22B8"/>
    <w:rsid w:val="00CA28D6"/>
    <w:rsid w:val="00CA2B6D"/>
    <w:rsid w:val="00CA2C7E"/>
    <w:rsid w:val="00CA2E0D"/>
    <w:rsid w:val="00CA30CE"/>
    <w:rsid w:val="00CA31B1"/>
    <w:rsid w:val="00CA344C"/>
    <w:rsid w:val="00CA382B"/>
    <w:rsid w:val="00CA39DB"/>
    <w:rsid w:val="00CA3D60"/>
    <w:rsid w:val="00CA3D8C"/>
    <w:rsid w:val="00CA3DC4"/>
    <w:rsid w:val="00CA3E76"/>
    <w:rsid w:val="00CA412D"/>
    <w:rsid w:val="00CA4236"/>
    <w:rsid w:val="00CA453E"/>
    <w:rsid w:val="00CA49E6"/>
    <w:rsid w:val="00CA4AAB"/>
    <w:rsid w:val="00CA4B10"/>
    <w:rsid w:val="00CA4CA6"/>
    <w:rsid w:val="00CA4E72"/>
    <w:rsid w:val="00CA4F05"/>
    <w:rsid w:val="00CA4FA7"/>
    <w:rsid w:val="00CA5093"/>
    <w:rsid w:val="00CA50AB"/>
    <w:rsid w:val="00CA5182"/>
    <w:rsid w:val="00CA52F3"/>
    <w:rsid w:val="00CA56F7"/>
    <w:rsid w:val="00CA5EAC"/>
    <w:rsid w:val="00CA5ED5"/>
    <w:rsid w:val="00CA622E"/>
    <w:rsid w:val="00CA6503"/>
    <w:rsid w:val="00CA65AD"/>
    <w:rsid w:val="00CA6712"/>
    <w:rsid w:val="00CA67F2"/>
    <w:rsid w:val="00CA6845"/>
    <w:rsid w:val="00CA69B3"/>
    <w:rsid w:val="00CA6C60"/>
    <w:rsid w:val="00CA6E22"/>
    <w:rsid w:val="00CA6F6B"/>
    <w:rsid w:val="00CA72AD"/>
    <w:rsid w:val="00CA765C"/>
    <w:rsid w:val="00CB029B"/>
    <w:rsid w:val="00CB076C"/>
    <w:rsid w:val="00CB08F0"/>
    <w:rsid w:val="00CB0963"/>
    <w:rsid w:val="00CB097C"/>
    <w:rsid w:val="00CB0B0D"/>
    <w:rsid w:val="00CB1137"/>
    <w:rsid w:val="00CB16BF"/>
    <w:rsid w:val="00CB16FE"/>
    <w:rsid w:val="00CB19A3"/>
    <w:rsid w:val="00CB1DA8"/>
    <w:rsid w:val="00CB1ECD"/>
    <w:rsid w:val="00CB21C7"/>
    <w:rsid w:val="00CB25B0"/>
    <w:rsid w:val="00CB25D3"/>
    <w:rsid w:val="00CB277D"/>
    <w:rsid w:val="00CB28D5"/>
    <w:rsid w:val="00CB2912"/>
    <w:rsid w:val="00CB2D41"/>
    <w:rsid w:val="00CB3046"/>
    <w:rsid w:val="00CB36FD"/>
    <w:rsid w:val="00CB3708"/>
    <w:rsid w:val="00CB4088"/>
    <w:rsid w:val="00CB41B6"/>
    <w:rsid w:val="00CB452B"/>
    <w:rsid w:val="00CB45E6"/>
    <w:rsid w:val="00CB45ED"/>
    <w:rsid w:val="00CB4680"/>
    <w:rsid w:val="00CB491A"/>
    <w:rsid w:val="00CB4A94"/>
    <w:rsid w:val="00CB4E4D"/>
    <w:rsid w:val="00CB4EAD"/>
    <w:rsid w:val="00CB4ED4"/>
    <w:rsid w:val="00CB53A9"/>
    <w:rsid w:val="00CB5763"/>
    <w:rsid w:val="00CB57FE"/>
    <w:rsid w:val="00CB58D0"/>
    <w:rsid w:val="00CB5A0E"/>
    <w:rsid w:val="00CB5FA0"/>
    <w:rsid w:val="00CB60F2"/>
    <w:rsid w:val="00CB67A8"/>
    <w:rsid w:val="00CB6803"/>
    <w:rsid w:val="00CB69EF"/>
    <w:rsid w:val="00CB6FB0"/>
    <w:rsid w:val="00CB6FEB"/>
    <w:rsid w:val="00CB703E"/>
    <w:rsid w:val="00CB7101"/>
    <w:rsid w:val="00CB720D"/>
    <w:rsid w:val="00CB768F"/>
    <w:rsid w:val="00CB77C1"/>
    <w:rsid w:val="00CB78E6"/>
    <w:rsid w:val="00CB7BD2"/>
    <w:rsid w:val="00CB7D11"/>
    <w:rsid w:val="00CB7EB6"/>
    <w:rsid w:val="00CB7EF9"/>
    <w:rsid w:val="00CB7F1B"/>
    <w:rsid w:val="00CB7F66"/>
    <w:rsid w:val="00CB7FFA"/>
    <w:rsid w:val="00CC0095"/>
    <w:rsid w:val="00CC014C"/>
    <w:rsid w:val="00CC01A9"/>
    <w:rsid w:val="00CC069A"/>
    <w:rsid w:val="00CC0828"/>
    <w:rsid w:val="00CC08E4"/>
    <w:rsid w:val="00CC0A3D"/>
    <w:rsid w:val="00CC0B5D"/>
    <w:rsid w:val="00CC0D0F"/>
    <w:rsid w:val="00CC0D3F"/>
    <w:rsid w:val="00CC0E1C"/>
    <w:rsid w:val="00CC0F3A"/>
    <w:rsid w:val="00CC0FE7"/>
    <w:rsid w:val="00CC1263"/>
    <w:rsid w:val="00CC15B4"/>
    <w:rsid w:val="00CC1A49"/>
    <w:rsid w:val="00CC1B22"/>
    <w:rsid w:val="00CC1B6E"/>
    <w:rsid w:val="00CC1C41"/>
    <w:rsid w:val="00CC1F82"/>
    <w:rsid w:val="00CC24CB"/>
    <w:rsid w:val="00CC2590"/>
    <w:rsid w:val="00CC25CF"/>
    <w:rsid w:val="00CC261E"/>
    <w:rsid w:val="00CC26F8"/>
    <w:rsid w:val="00CC294E"/>
    <w:rsid w:val="00CC29A4"/>
    <w:rsid w:val="00CC2A86"/>
    <w:rsid w:val="00CC2B4C"/>
    <w:rsid w:val="00CC2D7A"/>
    <w:rsid w:val="00CC2D86"/>
    <w:rsid w:val="00CC3065"/>
    <w:rsid w:val="00CC3473"/>
    <w:rsid w:val="00CC3574"/>
    <w:rsid w:val="00CC3992"/>
    <w:rsid w:val="00CC3A9D"/>
    <w:rsid w:val="00CC3C1F"/>
    <w:rsid w:val="00CC3D62"/>
    <w:rsid w:val="00CC3E42"/>
    <w:rsid w:val="00CC3FCA"/>
    <w:rsid w:val="00CC4748"/>
    <w:rsid w:val="00CC4A18"/>
    <w:rsid w:val="00CC4A7F"/>
    <w:rsid w:val="00CC4ACC"/>
    <w:rsid w:val="00CC4E28"/>
    <w:rsid w:val="00CC5032"/>
    <w:rsid w:val="00CC503F"/>
    <w:rsid w:val="00CC5092"/>
    <w:rsid w:val="00CC51C9"/>
    <w:rsid w:val="00CC527F"/>
    <w:rsid w:val="00CC52A0"/>
    <w:rsid w:val="00CC5591"/>
    <w:rsid w:val="00CC56E1"/>
    <w:rsid w:val="00CC5B1F"/>
    <w:rsid w:val="00CC604A"/>
    <w:rsid w:val="00CC6560"/>
    <w:rsid w:val="00CC6847"/>
    <w:rsid w:val="00CC6DD4"/>
    <w:rsid w:val="00CC6E5F"/>
    <w:rsid w:val="00CC6F21"/>
    <w:rsid w:val="00CC70C9"/>
    <w:rsid w:val="00CC720C"/>
    <w:rsid w:val="00CC7267"/>
    <w:rsid w:val="00CC7358"/>
    <w:rsid w:val="00CC74C5"/>
    <w:rsid w:val="00CC7590"/>
    <w:rsid w:val="00CC7726"/>
    <w:rsid w:val="00CC7A3D"/>
    <w:rsid w:val="00CC7D4C"/>
    <w:rsid w:val="00CC7D86"/>
    <w:rsid w:val="00CC7F5F"/>
    <w:rsid w:val="00CD01D9"/>
    <w:rsid w:val="00CD0B51"/>
    <w:rsid w:val="00CD0D62"/>
    <w:rsid w:val="00CD0EC0"/>
    <w:rsid w:val="00CD10C8"/>
    <w:rsid w:val="00CD1143"/>
    <w:rsid w:val="00CD128B"/>
    <w:rsid w:val="00CD1301"/>
    <w:rsid w:val="00CD1397"/>
    <w:rsid w:val="00CD1544"/>
    <w:rsid w:val="00CD1649"/>
    <w:rsid w:val="00CD1743"/>
    <w:rsid w:val="00CD17BF"/>
    <w:rsid w:val="00CD1884"/>
    <w:rsid w:val="00CD1A16"/>
    <w:rsid w:val="00CD1AF9"/>
    <w:rsid w:val="00CD1C3C"/>
    <w:rsid w:val="00CD1CA8"/>
    <w:rsid w:val="00CD2382"/>
    <w:rsid w:val="00CD2433"/>
    <w:rsid w:val="00CD27C1"/>
    <w:rsid w:val="00CD284A"/>
    <w:rsid w:val="00CD2919"/>
    <w:rsid w:val="00CD2FF7"/>
    <w:rsid w:val="00CD3110"/>
    <w:rsid w:val="00CD311C"/>
    <w:rsid w:val="00CD33F4"/>
    <w:rsid w:val="00CD345F"/>
    <w:rsid w:val="00CD34B4"/>
    <w:rsid w:val="00CD385B"/>
    <w:rsid w:val="00CD389D"/>
    <w:rsid w:val="00CD3A25"/>
    <w:rsid w:val="00CD3A6B"/>
    <w:rsid w:val="00CD3EA8"/>
    <w:rsid w:val="00CD3FA0"/>
    <w:rsid w:val="00CD42D5"/>
    <w:rsid w:val="00CD48BC"/>
    <w:rsid w:val="00CD4A77"/>
    <w:rsid w:val="00CD4FC1"/>
    <w:rsid w:val="00CD554F"/>
    <w:rsid w:val="00CD5616"/>
    <w:rsid w:val="00CD5955"/>
    <w:rsid w:val="00CD5CA4"/>
    <w:rsid w:val="00CD5E34"/>
    <w:rsid w:val="00CD601B"/>
    <w:rsid w:val="00CD6125"/>
    <w:rsid w:val="00CD6128"/>
    <w:rsid w:val="00CD61AF"/>
    <w:rsid w:val="00CD627A"/>
    <w:rsid w:val="00CD6299"/>
    <w:rsid w:val="00CD62A5"/>
    <w:rsid w:val="00CD6385"/>
    <w:rsid w:val="00CD65C6"/>
    <w:rsid w:val="00CD68D6"/>
    <w:rsid w:val="00CD6954"/>
    <w:rsid w:val="00CD6B5C"/>
    <w:rsid w:val="00CD6D3A"/>
    <w:rsid w:val="00CD6F74"/>
    <w:rsid w:val="00CD7120"/>
    <w:rsid w:val="00CD71AE"/>
    <w:rsid w:val="00CD73B1"/>
    <w:rsid w:val="00CD74A5"/>
    <w:rsid w:val="00CD7B4D"/>
    <w:rsid w:val="00CD7EE0"/>
    <w:rsid w:val="00CE04CD"/>
    <w:rsid w:val="00CE053C"/>
    <w:rsid w:val="00CE055A"/>
    <w:rsid w:val="00CE06E5"/>
    <w:rsid w:val="00CE0819"/>
    <w:rsid w:val="00CE0BB8"/>
    <w:rsid w:val="00CE0DB2"/>
    <w:rsid w:val="00CE13C1"/>
    <w:rsid w:val="00CE14EA"/>
    <w:rsid w:val="00CE160A"/>
    <w:rsid w:val="00CE17C4"/>
    <w:rsid w:val="00CE1A5D"/>
    <w:rsid w:val="00CE1DD8"/>
    <w:rsid w:val="00CE1FAE"/>
    <w:rsid w:val="00CE2574"/>
    <w:rsid w:val="00CE2658"/>
    <w:rsid w:val="00CE26E1"/>
    <w:rsid w:val="00CE2716"/>
    <w:rsid w:val="00CE2CCE"/>
    <w:rsid w:val="00CE3057"/>
    <w:rsid w:val="00CE3150"/>
    <w:rsid w:val="00CE3C31"/>
    <w:rsid w:val="00CE4025"/>
    <w:rsid w:val="00CE44E0"/>
    <w:rsid w:val="00CE45E7"/>
    <w:rsid w:val="00CE483F"/>
    <w:rsid w:val="00CE4C2F"/>
    <w:rsid w:val="00CE50CF"/>
    <w:rsid w:val="00CE53D0"/>
    <w:rsid w:val="00CE5484"/>
    <w:rsid w:val="00CE56A9"/>
    <w:rsid w:val="00CE57C0"/>
    <w:rsid w:val="00CE5B5D"/>
    <w:rsid w:val="00CE5F21"/>
    <w:rsid w:val="00CE618C"/>
    <w:rsid w:val="00CE6212"/>
    <w:rsid w:val="00CE633B"/>
    <w:rsid w:val="00CE64A0"/>
    <w:rsid w:val="00CE670E"/>
    <w:rsid w:val="00CE696C"/>
    <w:rsid w:val="00CE6B62"/>
    <w:rsid w:val="00CE6FD6"/>
    <w:rsid w:val="00CE70A3"/>
    <w:rsid w:val="00CE73B8"/>
    <w:rsid w:val="00CE7446"/>
    <w:rsid w:val="00CE7605"/>
    <w:rsid w:val="00CE77E3"/>
    <w:rsid w:val="00CE78B9"/>
    <w:rsid w:val="00CE78E8"/>
    <w:rsid w:val="00CE79E6"/>
    <w:rsid w:val="00CE7B26"/>
    <w:rsid w:val="00CE7C78"/>
    <w:rsid w:val="00CE7CA0"/>
    <w:rsid w:val="00CE7CB3"/>
    <w:rsid w:val="00CE7D2E"/>
    <w:rsid w:val="00CF0081"/>
    <w:rsid w:val="00CF0369"/>
    <w:rsid w:val="00CF0C64"/>
    <w:rsid w:val="00CF0E6F"/>
    <w:rsid w:val="00CF0E7C"/>
    <w:rsid w:val="00CF0E7E"/>
    <w:rsid w:val="00CF129F"/>
    <w:rsid w:val="00CF139B"/>
    <w:rsid w:val="00CF14C9"/>
    <w:rsid w:val="00CF15F7"/>
    <w:rsid w:val="00CF1BFF"/>
    <w:rsid w:val="00CF1D38"/>
    <w:rsid w:val="00CF24C4"/>
    <w:rsid w:val="00CF257A"/>
    <w:rsid w:val="00CF2671"/>
    <w:rsid w:val="00CF26A3"/>
    <w:rsid w:val="00CF27E4"/>
    <w:rsid w:val="00CF2BA8"/>
    <w:rsid w:val="00CF2DCD"/>
    <w:rsid w:val="00CF2E9B"/>
    <w:rsid w:val="00CF3104"/>
    <w:rsid w:val="00CF368F"/>
    <w:rsid w:val="00CF388A"/>
    <w:rsid w:val="00CF38FB"/>
    <w:rsid w:val="00CF3AC6"/>
    <w:rsid w:val="00CF3BB7"/>
    <w:rsid w:val="00CF3FAF"/>
    <w:rsid w:val="00CF4033"/>
    <w:rsid w:val="00CF40CE"/>
    <w:rsid w:val="00CF461C"/>
    <w:rsid w:val="00CF46B6"/>
    <w:rsid w:val="00CF47CA"/>
    <w:rsid w:val="00CF48B7"/>
    <w:rsid w:val="00CF48EC"/>
    <w:rsid w:val="00CF4BD4"/>
    <w:rsid w:val="00CF4EAC"/>
    <w:rsid w:val="00CF5002"/>
    <w:rsid w:val="00CF51FF"/>
    <w:rsid w:val="00CF52F6"/>
    <w:rsid w:val="00CF56C6"/>
    <w:rsid w:val="00CF57A8"/>
    <w:rsid w:val="00CF5809"/>
    <w:rsid w:val="00CF5B37"/>
    <w:rsid w:val="00CF5C7C"/>
    <w:rsid w:val="00CF5FF1"/>
    <w:rsid w:val="00CF61D2"/>
    <w:rsid w:val="00CF6537"/>
    <w:rsid w:val="00CF65CF"/>
    <w:rsid w:val="00CF6646"/>
    <w:rsid w:val="00CF674A"/>
    <w:rsid w:val="00CF6777"/>
    <w:rsid w:val="00CF68E7"/>
    <w:rsid w:val="00CF6E8D"/>
    <w:rsid w:val="00CF717D"/>
    <w:rsid w:val="00CF74F4"/>
    <w:rsid w:val="00CF75A0"/>
    <w:rsid w:val="00CF765D"/>
    <w:rsid w:val="00CF76FB"/>
    <w:rsid w:val="00CF77BF"/>
    <w:rsid w:val="00CF794F"/>
    <w:rsid w:val="00CF7AC0"/>
    <w:rsid w:val="00CF7ACB"/>
    <w:rsid w:val="00D0013B"/>
    <w:rsid w:val="00D003AB"/>
    <w:rsid w:val="00D0071D"/>
    <w:rsid w:val="00D00815"/>
    <w:rsid w:val="00D00A45"/>
    <w:rsid w:val="00D00CA3"/>
    <w:rsid w:val="00D00FCC"/>
    <w:rsid w:val="00D010B2"/>
    <w:rsid w:val="00D014BD"/>
    <w:rsid w:val="00D017D9"/>
    <w:rsid w:val="00D018AC"/>
    <w:rsid w:val="00D01B44"/>
    <w:rsid w:val="00D01C4F"/>
    <w:rsid w:val="00D0210D"/>
    <w:rsid w:val="00D024DA"/>
    <w:rsid w:val="00D0293D"/>
    <w:rsid w:val="00D0299D"/>
    <w:rsid w:val="00D02C4B"/>
    <w:rsid w:val="00D02C89"/>
    <w:rsid w:val="00D02D05"/>
    <w:rsid w:val="00D02D09"/>
    <w:rsid w:val="00D02F07"/>
    <w:rsid w:val="00D0325D"/>
    <w:rsid w:val="00D035EB"/>
    <w:rsid w:val="00D03C17"/>
    <w:rsid w:val="00D03CA7"/>
    <w:rsid w:val="00D049C8"/>
    <w:rsid w:val="00D04C17"/>
    <w:rsid w:val="00D0551D"/>
    <w:rsid w:val="00D057DE"/>
    <w:rsid w:val="00D057E6"/>
    <w:rsid w:val="00D059DD"/>
    <w:rsid w:val="00D05F0A"/>
    <w:rsid w:val="00D05FD5"/>
    <w:rsid w:val="00D0623D"/>
    <w:rsid w:val="00D068AB"/>
    <w:rsid w:val="00D0692A"/>
    <w:rsid w:val="00D06B87"/>
    <w:rsid w:val="00D07316"/>
    <w:rsid w:val="00D076B6"/>
    <w:rsid w:val="00D077A0"/>
    <w:rsid w:val="00D07A8B"/>
    <w:rsid w:val="00D07ED0"/>
    <w:rsid w:val="00D1001C"/>
    <w:rsid w:val="00D10139"/>
    <w:rsid w:val="00D10261"/>
    <w:rsid w:val="00D102B3"/>
    <w:rsid w:val="00D10473"/>
    <w:rsid w:val="00D1076F"/>
    <w:rsid w:val="00D10922"/>
    <w:rsid w:val="00D109E7"/>
    <w:rsid w:val="00D10B25"/>
    <w:rsid w:val="00D10C43"/>
    <w:rsid w:val="00D1116F"/>
    <w:rsid w:val="00D114C5"/>
    <w:rsid w:val="00D1185F"/>
    <w:rsid w:val="00D118A1"/>
    <w:rsid w:val="00D11ADC"/>
    <w:rsid w:val="00D11B4F"/>
    <w:rsid w:val="00D11C43"/>
    <w:rsid w:val="00D11D13"/>
    <w:rsid w:val="00D11F02"/>
    <w:rsid w:val="00D121A0"/>
    <w:rsid w:val="00D12272"/>
    <w:rsid w:val="00D12471"/>
    <w:rsid w:val="00D127B4"/>
    <w:rsid w:val="00D12BB5"/>
    <w:rsid w:val="00D12FBE"/>
    <w:rsid w:val="00D1319D"/>
    <w:rsid w:val="00D132C7"/>
    <w:rsid w:val="00D13417"/>
    <w:rsid w:val="00D13E65"/>
    <w:rsid w:val="00D13E91"/>
    <w:rsid w:val="00D1445F"/>
    <w:rsid w:val="00D145D9"/>
    <w:rsid w:val="00D14713"/>
    <w:rsid w:val="00D147D7"/>
    <w:rsid w:val="00D148F6"/>
    <w:rsid w:val="00D14B33"/>
    <w:rsid w:val="00D15103"/>
    <w:rsid w:val="00D152CF"/>
    <w:rsid w:val="00D15331"/>
    <w:rsid w:val="00D15716"/>
    <w:rsid w:val="00D157EE"/>
    <w:rsid w:val="00D15B29"/>
    <w:rsid w:val="00D15C4F"/>
    <w:rsid w:val="00D16372"/>
    <w:rsid w:val="00D1645D"/>
    <w:rsid w:val="00D164E1"/>
    <w:rsid w:val="00D16864"/>
    <w:rsid w:val="00D16DF2"/>
    <w:rsid w:val="00D16ED5"/>
    <w:rsid w:val="00D17027"/>
    <w:rsid w:val="00D17082"/>
    <w:rsid w:val="00D172E5"/>
    <w:rsid w:val="00D17321"/>
    <w:rsid w:val="00D1752C"/>
    <w:rsid w:val="00D17652"/>
    <w:rsid w:val="00D17800"/>
    <w:rsid w:val="00D178E2"/>
    <w:rsid w:val="00D17951"/>
    <w:rsid w:val="00D17A2B"/>
    <w:rsid w:val="00D17A3B"/>
    <w:rsid w:val="00D17B17"/>
    <w:rsid w:val="00D2047C"/>
    <w:rsid w:val="00D20573"/>
    <w:rsid w:val="00D20CC2"/>
    <w:rsid w:val="00D20EF8"/>
    <w:rsid w:val="00D20F55"/>
    <w:rsid w:val="00D211E8"/>
    <w:rsid w:val="00D2149C"/>
    <w:rsid w:val="00D214E9"/>
    <w:rsid w:val="00D21812"/>
    <w:rsid w:val="00D21977"/>
    <w:rsid w:val="00D21DF3"/>
    <w:rsid w:val="00D21F80"/>
    <w:rsid w:val="00D220E6"/>
    <w:rsid w:val="00D2226D"/>
    <w:rsid w:val="00D2251E"/>
    <w:rsid w:val="00D22652"/>
    <w:rsid w:val="00D22DDF"/>
    <w:rsid w:val="00D22EB7"/>
    <w:rsid w:val="00D23347"/>
    <w:rsid w:val="00D233A9"/>
    <w:rsid w:val="00D23402"/>
    <w:rsid w:val="00D2349D"/>
    <w:rsid w:val="00D23581"/>
    <w:rsid w:val="00D23759"/>
    <w:rsid w:val="00D23870"/>
    <w:rsid w:val="00D23952"/>
    <w:rsid w:val="00D23964"/>
    <w:rsid w:val="00D23B62"/>
    <w:rsid w:val="00D23C64"/>
    <w:rsid w:val="00D23E6F"/>
    <w:rsid w:val="00D23E91"/>
    <w:rsid w:val="00D23FDB"/>
    <w:rsid w:val="00D242EE"/>
    <w:rsid w:val="00D246C7"/>
    <w:rsid w:val="00D24CAC"/>
    <w:rsid w:val="00D24E0D"/>
    <w:rsid w:val="00D25140"/>
    <w:rsid w:val="00D252ED"/>
    <w:rsid w:val="00D257E9"/>
    <w:rsid w:val="00D25DFD"/>
    <w:rsid w:val="00D25E8E"/>
    <w:rsid w:val="00D25EB5"/>
    <w:rsid w:val="00D26131"/>
    <w:rsid w:val="00D262D3"/>
    <w:rsid w:val="00D26404"/>
    <w:rsid w:val="00D26414"/>
    <w:rsid w:val="00D264FF"/>
    <w:rsid w:val="00D26578"/>
    <w:rsid w:val="00D266BA"/>
    <w:rsid w:val="00D267EF"/>
    <w:rsid w:val="00D26CA6"/>
    <w:rsid w:val="00D26DC9"/>
    <w:rsid w:val="00D26F53"/>
    <w:rsid w:val="00D2748D"/>
    <w:rsid w:val="00D27CF0"/>
    <w:rsid w:val="00D27EE2"/>
    <w:rsid w:val="00D27FF5"/>
    <w:rsid w:val="00D3006E"/>
    <w:rsid w:val="00D300D4"/>
    <w:rsid w:val="00D30267"/>
    <w:rsid w:val="00D30370"/>
    <w:rsid w:val="00D303CA"/>
    <w:rsid w:val="00D3047D"/>
    <w:rsid w:val="00D30653"/>
    <w:rsid w:val="00D306E6"/>
    <w:rsid w:val="00D30B6A"/>
    <w:rsid w:val="00D30E75"/>
    <w:rsid w:val="00D30F08"/>
    <w:rsid w:val="00D31028"/>
    <w:rsid w:val="00D31147"/>
    <w:rsid w:val="00D312A4"/>
    <w:rsid w:val="00D313C1"/>
    <w:rsid w:val="00D314CC"/>
    <w:rsid w:val="00D315D8"/>
    <w:rsid w:val="00D31666"/>
    <w:rsid w:val="00D31805"/>
    <w:rsid w:val="00D31C1C"/>
    <w:rsid w:val="00D31C57"/>
    <w:rsid w:val="00D32536"/>
    <w:rsid w:val="00D327E9"/>
    <w:rsid w:val="00D3288A"/>
    <w:rsid w:val="00D3289D"/>
    <w:rsid w:val="00D32AE1"/>
    <w:rsid w:val="00D32CE0"/>
    <w:rsid w:val="00D32CE4"/>
    <w:rsid w:val="00D32FA9"/>
    <w:rsid w:val="00D334A4"/>
    <w:rsid w:val="00D3355F"/>
    <w:rsid w:val="00D338EF"/>
    <w:rsid w:val="00D33946"/>
    <w:rsid w:val="00D33984"/>
    <w:rsid w:val="00D341C6"/>
    <w:rsid w:val="00D342A7"/>
    <w:rsid w:val="00D343C2"/>
    <w:rsid w:val="00D34401"/>
    <w:rsid w:val="00D34647"/>
    <w:rsid w:val="00D34DC4"/>
    <w:rsid w:val="00D34DF0"/>
    <w:rsid w:val="00D35338"/>
    <w:rsid w:val="00D3559F"/>
    <w:rsid w:val="00D356AF"/>
    <w:rsid w:val="00D357BC"/>
    <w:rsid w:val="00D35F64"/>
    <w:rsid w:val="00D3601A"/>
    <w:rsid w:val="00D3639D"/>
    <w:rsid w:val="00D364D7"/>
    <w:rsid w:val="00D3659E"/>
    <w:rsid w:val="00D36A32"/>
    <w:rsid w:val="00D36B67"/>
    <w:rsid w:val="00D3722B"/>
    <w:rsid w:val="00D37523"/>
    <w:rsid w:val="00D377CB"/>
    <w:rsid w:val="00D37B52"/>
    <w:rsid w:val="00D37CDD"/>
    <w:rsid w:val="00D37FDE"/>
    <w:rsid w:val="00D37FFC"/>
    <w:rsid w:val="00D40366"/>
    <w:rsid w:val="00D40389"/>
    <w:rsid w:val="00D403CA"/>
    <w:rsid w:val="00D40557"/>
    <w:rsid w:val="00D40B70"/>
    <w:rsid w:val="00D40C4B"/>
    <w:rsid w:val="00D40CF1"/>
    <w:rsid w:val="00D40DF9"/>
    <w:rsid w:val="00D41025"/>
    <w:rsid w:val="00D41266"/>
    <w:rsid w:val="00D41A59"/>
    <w:rsid w:val="00D41D73"/>
    <w:rsid w:val="00D41DD3"/>
    <w:rsid w:val="00D42120"/>
    <w:rsid w:val="00D42C86"/>
    <w:rsid w:val="00D42DE2"/>
    <w:rsid w:val="00D4305B"/>
    <w:rsid w:val="00D43147"/>
    <w:rsid w:val="00D43230"/>
    <w:rsid w:val="00D43761"/>
    <w:rsid w:val="00D43E67"/>
    <w:rsid w:val="00D43F0A"/>
    <w:rsid w:val="00D43F1C"/>
    <w:rsid w:val="00D44219"/>
    <w:rsid w:val="00D446B6"/>
    <w:rsid w:val="00D446F5"/>
    <w:rsid w:val="00D447A5"/>
    <w:rsid w:val="00D44D8E"/>
    <w:rsid w:val="00D44D94"/>
    <w:rsid w:val="00D451D5"/>
    <w:rsid w:val="00D4547F"/>
    <w:rsid w:val="00D45AC1"/>
    <w:rsid w:val="00D45D60"/>
    <w:rsid w:val="00D466D2"/>
    <w:rsid w:val="00D46C6A"/>
    <w:rsid w:val="00D46D09"/>
    <w:rsid w:val="00D46D8B"/>
    <w:rsid w:val="00D47080"/>
    <w:rsid w:val="00D470F1"/>
    <w:rsid w:val="00D47179"/>
    <w:rsid w:val="00D471F4"/>
    <w:rsid w:val="00D479F3"/>
    <w:rsid w:val="00D47B99"/>
    <w:rsid w:val="00D47DC9"/>
    <w:rsid w:val="00D47E21"/>
    <w:rsid w:val="00D50037"/>
    <w:rsid w:val="00D503CA"/>
    <w:rsid w:val="00D5077D"/>
    <w:rsid w:val="00D509AA"/>
    <w:rsid w:val="00D50BD8"/>
    <w:rsid w:val="00D50C3A"/>
    <w:rsid w:val="00D50D66"/>
    <w:rsid w:val="00D50E86"/>
    <w:rsid w:val="00D50EAD"/>
    <w:rsid w:val="00D50EF2"/>
    <w:rsid w:val="00D50F00"/>
    <w:rsid w:val="00D514A0"/>
    <w:rsid w:val="00D514C5"/>
    <w:rsid w:val="00D51742"/>
    <w:rsid w:val="00D51B44"/>
    <w:rsid w:val="00D51FA0"/>
    <w:rsid w:val="00D522B3"/>
    <w:rsid w:val="00D52363"/>
    <w:rsid w:val="00D52599"/>
    <w:rsid w:val="00D52741"/>
    <w:rsid w:val="00D52A0C"/>
    <w:rsid w:val="00D52A5B"/>
    <w:rsid w:val="00D5315E"/>
    <w:rsid w:val="00D53689"/>
    <w:rsid w:val="00D5371E"/>
    <w:rsid w:val="00D539D8"/>
    <w:rsid w:val="00D53FB9"/>
    <w:rsid w:val="00D543AB"/>
    <w:rsid w:val="00D54805"/>
    <w:rsid w:val="00D549F3"/>
    <w:rsid w:val="00D54A91"/>
    <w:rsid w:val="00D54EBD"/>
    <w:rsid w:val="00D54F32"/>
    <w:rsid w:val="00D55096"/>
    <w:rsid w:val="00D5517A"/>
    <w:rsid w:val="00D552E9"/>
    <w:rsid w:val="00D55316"/>
    <w:rsid w:val="00D55592"/>
    <w:rsid w:val="00D557A2"/>
    <w:rsid w:val="00D55801"/>
    <w:rsid w:val="00D55919"/>
    <w:rsid w:val="00D561FE"/>
    <w:rsid w:val="00D56253"/>
    <w:rsid w:val="00D563AC"/>
    <w:rsid w:val="00D5656D"/>
    <w:rsid w:val="00D565C4"/>
    <w:rsid w:val="00D565C7"/>
    <w:rsid w:val="00D5661D"/>
    <w:rsid w:val="00D56B2C"/>
    <w:rsid w:val="00D56B4A"/>
    <w:rsid w:val="00D56C68"/>
    <w:rsid w:val="00D57008"/>
    <w:rsid w:val="00D57662"/>
    <w:rsid w:val="00D57C16"/>
    <w:rsid w:val="00D57FFC"/>
    <w:rsid w:val="00D6020D"/>
    <w:rsid w:val="00D604B0"/>
    <w:rsid w:val="00D60D76"/>
    <w:rsid w:val="00D60E54"/>
    <w:rsid w:val="00D60E67"/>
    <w:rsid w:val="00D61004"/>
    <w:rsid w:val="00D612F5"/>
    <w:rsid w:val="00D614A0"/>
    <w:rsid w:val="00D617B6"/>
    <w:rsid w:val="00D61B65"/>
    <w:rsid w:val="00D61C41"/>
    <w:rsid w:val="00D61D04"/>
    <w:rsid w:val="00D61E3D"/>
    <w:rsid w:val="00D61EAC"/>
    <w:rsid w:val="00D6204C"/>
    <w:rsid w:val="00D622DF"/>
    <w:rsid w:val="00D62302"/>
    <w:rsid w:val="00D6231D"/>
    <w:rsid w:val="00D62494"/>
    <w:rsid w:val="00D625E0"/>
    <w:rsid w:val="00D627EB"/>
    <w:rsid w:val="00D62985"/>
    <w:rsid w:val="00D62D2E"/>
    <w:rsid w:val="00D62DC8"/>
    <w:rsid w:val="00D62E7F"/>
    <w:rsid w:val="00D62F25"/>
    <w:rsid w:val="00D631B6"/>
    <w:rsid w:val="00D6320C"/>
    <w:rsid w:val="00D6332E"/>
    <w:rsid w:val="00D6359A"/>
    <w:rsid w:val="00D6360E"/>
    <w:rsid w:val="00D636FD"/>
    <w:rsid w:val="00D63806"/>
    <w:rsid w:val="00D641E1"/>
    <w:rsid w:val="00D646C6"/>
    <w:rsid w:val="00D64746"/>
    <w:rsid w:val="00D64C92"/>
    <w:rsid w:val="00D65652"/>
    <w:rsid w:val="00D661B2"/>
    <w:rsid w:val="00D665AC"/>
    <w:rsid w:val="00D665C1"/>
    <w:rsid w:val="00D6677D"/>
    <w:rsid w:val="00D66BE0"/>
    <w:rsid w:val="00D67279"/>
    <w:rsid w:val="00D67324"/>
    <w:rsid w:val="00D673A0"/>
    <w:rsid w:val="00D674A0"/>
    <w:rsid w:val="00D679A1"/>
    <w:rsid w:val="00D67A82"/>
    <w:rsid w:val="00D67CAE"/>
    <w:rsid w:val="00D67D92"/>
    <w:rsid w:val="00D67FA4"/>
    <w:rsid w:val="00D7006F"/>
    <w:rsid w:val="00D70198"/>
    <w:rsid w:val="00D702EB"/>
    <w:rsid w:val="00D7044E"/>
    <w:rsid w:val="00D709A9"/>
    <w:rsid w:val="00D70DBF"/>
    <w:rsid w:val="00D71094"/>
    <w:rsid w:val="00D71403"/>
    <w:rsid w:val="00D71545"/>
    <w:rsid w:val="00D716C1"/>
    <w:rsid w:val="00D716E7"/>
    <w:rsid w:val="00D717DC"/>
    <w:rsid w:val="00D722B4"/>
    <w:rsid w:val="00D72377"/>
    <w:rsid w:val="00D725CA"/>
    <w:rsid w:val="00D72680"/>
    <w:rsid w:val="00D72891"/>
    <w:rsid w:val="00D7298B"/>
    <w:rsid w:val="00D72C20"/>
    <w:rsid w:val="00D72C95"/>
    <w:rsid w:val="00D72CE6"/>
    <w:rsid w:val="00D72D51"/>
    <w:rsid w:val="00D72DAB"/>
    <w:rsid w:val="00D731E6"/>
    <w:rsid w:val="00D73203"/>
    <w:rsid w:val="00D733CA"/>
    <w:rsid w:val="00D7383E"/>
    <w:rsid w:val="00D738C9"/>
    <w:rsid w:val="00D73D54"/>
    <w:rsid w:val="00D73EAB"/>
    <w:rsid w:val="00D740DD"/>
    <w:rsid w:val="00D741D2"/>
    <w:rsid w:val="00D743A8"/>
    <w:rsid w:val="00D746E6"/>
    <w:rsid w:val="00D74F98"/>
    <w:rsid w:val="00D74FAF"/>
    <w:rsid w:val="00D750F4"/>
    <w:rsid w:val="00D755D1"/>
    <w:rsid w:val="00D755F2"/>
    <w:rsid w:val="00D75954"/>
    <w:rsid w:val="00D75CB8"/>
    <w:rsid w:val="00D75E07"/>
    <w:rsid w:val="00D7623B"/>
    <w:rsid w:val="00D76657"/>
    <w:rsid w:val="00D766B8"/>
    <w:rsid w:val="00D7683F"/>
    <w:rsid w:val="00D76857"/>
    <w:rsid w:val="00D76883"/>
    <w:rsid w:val="00D768A9"/>
    <w:rsid w:val="00D76916"/>
    <w:rsid w:val="00D76B19"/>
    <w:rsid w:val="00D76C1F"/>
    <w:rsid w:val="00D76CEF"/>
    <w:rsid w:val="00D77268"/>
    <w:rsid w:val="00D77342"/>
    <w:rsid w:val="00D7746E"/>
    <w:rsid w:val="00D77696"/>
    <w:rsid w:val="00D7775E"/>
    <w:rsid w:val="00D778D5"/>
    <w:rsid w:val="00D77EF5"/>
    <w:rsid w:val="00D800BD"/>
    <w:rsid w:val="00D80568"/>
    <w:rsid w:val="00D805AA"/>
    <w:rsid w:val="00D805F9"/>
    <w:rsid w:val="00D80605"/>
    <w:rsid w:val="00D80817"/>
    <w:rsid w:val="00D80C1F"/>
    <w:rsid w:val="00D80C6B"/>
    <w:rsid w:val="00D810C3"/>
    <w:rsid w:val="00D81212"/>
    <w:rsid w:val="00D813FA"/>
    <w:rsid w:val="00D815F4"/>
    <w:rsid w:val="00D817BF"/>
    <w:rsid w:val="00D818EB"/>
    <w:rsid w:val="00D819C1"/>
    <w:rsid w:val="00D81AF4"/>
    <w:rsid w:val="00D82144"/>
    <w:rsid w:val="00D822D1"/>
    <w:rsid w:val="00D82788"/>
    <w:rsid w:val="00D82EA4"/>
    <w:rsid w:val="00D830E0"/>
    <w:rsid w:val="00D831A7"/>
    <w:rsid w:val="00D8366D"/>
    <w:rsid w:val="00D83856"/>
    <w:rsid w:val="00D83A2F"/>
    <w:rsid w:val="00D83C8E"/>
    <w:rsid w:val="00D843DF"/>
    <w:rsid w:val="00D8440A"/>
    <w:rsid w:val="00D845CA"/>
    <w:rsid w:val="00D845EE"/>
    <w:rsid w:val="00D84959"/>
    <w:rsid w:val="00D84B04"/>
    <w:rsid w:val="00D84C3C"/>
    <w:rsid w:val="00D84ED2"/>
    <w:rsid w:val="00D84FCD"/>
    <w:rsid w:val="00D851AC"/>
    <w:rsid w:val="00D857DE"/>
    <w:rsid w:val="00D85857"/>
    <w:rsid w:val="00D85D5B"/>
    <w:rsid w:val="00D85EBF"/>
    <w:rsid w:val="00D85F5B"/>
    <w:rsid w:val="00D85F77"/>
    <w:rsid w:val="00D863E7"/>
    <w:rsid w:val="00D864BA"/>
    <w:rsid w:val="00D86574"/>
    <w:rsid w:val="00D865C0"/>
    <w:rsid w:val="00D866CC"/>
    <w:rsid w:val="00D8676B"/>
    <w:rsid w:val="00D86ABE"/>
    <w:rsid w:val="00D86C83"/>
    <w:rsid w:val="00D86FA5"/>
    <w:rsid w:val="00D873E3"/>
    <w:rsid w:val="00D8748D"/>
    <w:rsid w:val="00D87757"/>
    <w:rsid w:val="00D87CAA"/>
    <w:rsid w:val="00D87D21"/>
    <w:rsid w:val="00D87FC0"/>
    <w:rsid w:val="00D902B1"/>
    <w:rsid w:val="00D906DA"/>
    <w:rsid w:val="00D908D3"/>
    <w:rsid w:val="00D90B6D"/>
    <w:rsid w:val="00D91251"/>
    <w:rsid w:val="00D91C18"/>
    <w:rsid w:val="00D91F9A"/>
    <w:rsid w:val="00D92212"/>
    <w:rsid w:val="00D925B3"/>
    <w:rsid w:val="00D929AC"/>
    <w:rsid w:val="00D92A05"/>
    <w:rsid w:val="00D92A2B"/>
    <w:rsid w:val="00D92A52"/>
    <w:rsid w:val="00D92ADA"/>
    <w:rsid w:val="00D93329"/>
    <w:rsid w:val="00D933E6"/>
    <w:rsid w:val="00D93674"/>
    <w:rsid w:val="00D937B8"/>
    <w:rsid w:val="00D9385D"/>
    <w:rsid w:val="00D93A7B"/>
    <w:rsid w:val="00D93BE2"/>
    <w:rsid w:val="00D93E09"/>
    <w:rsid w:val="00D93E19"/>
    <w:rsid w:val="00D93E35"/>
    <w:rsid w:val="00D93E68"/>
    <w:rsid w:val="00D93E7F"/>
    <w:rsid w:val="00D93F33"/>
    <w:rsid w:val="00D94409"/>
    <w:rsid w:val="00D94858"/>
    <w:rsid w:val="00D94AD4"/>
    <w:rsid w:val="00D94B86"/>
    <w:rsid w:val="00D94CE1"/>
    <w:rsid w:val="00D950BC"/>
    <w:rsid w:val="00D95124"/>
    <w:rsid w:val="00D95180"/>
    <w:rsid w:val="00D95368"/>
    <w:rsid w:val="00D953B6"/>
    <w:rsid w:val="00D95428"/>
    <w:rsid w:val="00D95475"/>
    <w:rsid w:val="00D9552C"/>
    <w:rsid w:val="00D95637"/>
    <w:rsid w:val="00D956E8"/>
    <w:rsid w:val="00D95718"/>
    <w:rsid w:val="00D95B1A"/>
    <w:rsid w:val="00D95D48"/>
    <w:rsid w:val="00D95D86"/>
    <w:rsid w:val="00D95DDF"/>
    <w:rsid w:val="00D95F37"/>
    <w:rsid w:val="00D95F40"/>
    <w:rsid w:val="00D96B9C"/>
    <w:rsid w:val="00D96F3A"/>
    <w:rsid w:val="00D97611"/>
    <w:rsid w:val="00D977A8"/>
    <w:rsid w:val="00D97B72"/>
    <w:rsid w:val="00D97BF7"/>
    <w:rsid w:val="00D97BFA"/>
    <w:rsid w:val="00D97C2D"/>
    <w:rsid w:val="00D97F9F"/>
    <w:rsid w:val="00DA006B"/>
    <w:rsid w:val="00DA009E"/>
    <w:rsid w:val="00DA036A"/>
    <w:rsid w:val="00DA048A"/>
    <w:rsid w:val="00DA05E6"/>
    <w:rsid w:val="00DA06A9"/>
    <w:rsid w:val="00DA0890"/>
    <w:rsid w:val="00DA0928"/>
    <w:rsid w:val="00DA09C2"/>
    <w:rsid w:val="00DA0AC1"/>
    <w:rsid w:val="00DA0C45"/>
    <w:rsid w:val="00DA0CB9"/>
    <w:rsid w:val="00DA0CF3"/>
    <w:rsid w:val="00DA0D7E"/>
    <w:rsid w:val="00DA1662"/>
    <w:rsid w:val="00DA1BDA"/>
    <w:rsid w:val="00DA1C30"/>
    <w:rsid w:val="00DA1D4C"/>
    <w:rsid w:val="00DA1E9D"/>
    <w:rsid w:val="00DA28F1"/>
    <w:rsid w:val="00DA291C"/>
    <w:rsid w:val="00DA2A13"/>
    <w:rsid w:val="00DA2EB3"/>
    <w:rsid w:val="00DA2FFC"/>
    <w:rsid w:val="00DA32C2"/>
    <w:rsid w:val="00DA33A7"/>
    <w:rsid w:val="00DA344A"/>
    <w:rsid w:val="00DA34A5"/>
    <w:rsid w:val="00DA34D5"/>
    <w:rsid w:val="00DA3802"/>
    <w:rsid w:val="00DA3909"/>
    <w:rsid w:val="00DA3BAF"/>
    <w:rsid w:val="00DA3CAD"/>
    <w:rsid w:val="00DA3DDB"/>
    <w:rsid w:val="00DA3E53"/>
    <w:rsid w:val="00DA3EFD"/>
    <w:rsid w:val="00DA4AB0"/>
    <w:rsid w:val="00DA4C9B"/>
    <w:rsid w:val="00DA4FDA"/>
    <w:rsid w:val="00DA558C"/>
    <w:rsid w:val="00DA55DD"/>
    <w:rsid w:val="00DA5760"/>
    <w:rsid w:val="00DA59BE"/>
    <w:rsid w:val="00DA5AC4"/>
    <w:rsid w:val="00DA5BA3"/>
    <w:rsid w:val="00DA5C86"/>
    <w:rsid w:val="00DA5DFE"/>
    <w:rsid w:val="00DA5E03"/>
    <w:rsid w:val="00DA5E51"/>
    <w:rsid w:val="00DA60F5"/>
    <w:rsid w:val="00DA6339"/>
    <w:rsid w:val="00DA6A1D"/>
    <w:rsid w:val="00DA71AC"/>
    <w:rsid w:val="00DA7B98"/>
    <w:rsid w:val="00DA7E82"/>
    <w:rsid w:val="00DB0210"/>
    <w:rsid w:val="00DB02F1"/>
    <w:rsid w:val="00DB0330"/>
    <w:rsid w:val="00DB03BA"/>
    <w:rsid w:val="00DB0817"/>
    <w:rsid w:val="00DB095F"/>
    <w:rsid w:val="00DB0A58"/>
    <w:rsid w:val="00DB0B17"/>
    <w:rsid w:val="00DB0D85"/>
    <w:rsid w:val="00DB0F35"/>
    <w:rsid w:val="00DB0F90"/>
    <w:rsid w:val="00DB15FC"/>
    <w:rsid w:val="00DB16AD"/>
    <w:rsid w:val="00DB19A9"/>
    <w:rsid w:val="00DB1BE9"/>
    <w:rsid w:val="00DB20AD"/>
    <w:rsid w:val="00DB2368"/>
    <w:rsid w:val="00DB2400"/>
    <w:rsid w:val="00DB24B3"/>
    <w:rsid w:val="00DB254C"/>
    <w:rsid w:val="00DB271A"/>
    <w:rsid w:val="00DB2730"/>
    <w:rsid w:val="00DB2943"/>
    <w:rsid w:val="00DB325D"/>
    <w:rsid w:val="00DB3472"/>
    <w:rsid w:val="00DB34F6"/>
    <w:rsid w:val="00DB362A"/>
    <w:rsid w:val="00DB3BDC"/>
    <w:rsid w:val="00DB3E05"/>
    <w:rsid w:val="00DB3F45"/>
    <w:rsid w:val="00DB3FF0"/>
    <w:rsid w:val="00DB4A05"/>
    <w:rsid w:val="00DB4A6A"/>
    <w:rsid w:val="00DB4AA6"/>
    <w:rsid w:val="00DB4B36"/>
    <w:rsid w:val="00DB4BF8"/>
    <w:rsid w:val="00DB4D97"/>
    <w:rsid w:val="00DB4F4F"/>
    <w:rsid w:val="00DB4FE7"/>
    <w:rsid w:val="00DB52A1"/>
    <w:rsid w:val="00DB5724"/>
    <w:rsid w:val="00DB5DA2"/>
    <w:rsid w:val="00DB5F07"/>
    <w:rsid w:val="00DB5F59"/>
    <w:rsid w:val="00DB619D"/>
    <w:rsid w:val="00DB646B"/>
    <w:rsid w:val="00DB6710"/>
    <w:rsid w:val="00DB69AE"/>
    <w:rsid w:val="00DB6A17"/>
    <w:rsid w:val="00DB732B"/>
    <w:rsid w:val="00DB7428"/>
    <w:rsid w:val="00DB76EB"/>
    <w:rsid w:val="00DB7758"/>
    <w:rsid w:val="00DB77BE"/>
    <w:rsid w:val="00DB79B4"/>
    <w:rsid w:val="00DB7A91"/>
    <w:rsid w:val="00DB7B7C"/>
    <w:rsid w:val="00DB7DB1"/>
    <w:rsid w:val="00DC00A7"/>
    <w:rsid w:val="00DC0A9F"/>
    <w:rsid w:val="00DC0C86"/>
    <w:rsid w:val="00DC0CBB"/>
    <w:rsid w:val="00DC0CD4"/>
    <w:rsid w:val="00DC0F82"/>
    <w:rsid w:val="00DC0FC1"/>
    <w:rsid w:val="00DC100B"/>
    <w:rsid w:val="00DC13FA"/>
    <w:rsid w:val="00DC159C"/>
    <w:rsid w:val="00DC167F"/>
    <w:rsid w:val="00DC1733"/>
    <w:rsid w:val="00DC18C2"/>
    <w:rsid w:val="00DC1AF5"/>
    <w:rsid w:val="00DC1C2A"/>
    <w:rsid w:val="00DC1E8B"/>
    <w:rsid w:val="00DC1FAB"/>
    <w:rsid w:val="00DC22D0"/>
    <w:rsid w:val="00DC245E"/>
    <w:rsid w:val="00DC2625"/>
    <w:rsid w:val="00DC27B2"/>
    <w:rsid w:val="00DC2F2E"/>
    <w:rsid w:val="00DC3069"/>
    <w:rsid w:val="00DC33CC"/>
    <w:rsid w:val="00DC3675"/>
    <w:rsid w:val="00DC3806"/>
    <w:rsid w:val="00DC3B48"/>
    <w:rsid w:val="00DC3BAD"/>
    <w:rsid w:val="00DC3D8D"/>
    <w:rsid w:val="00DC4013"/>
    <w:rsid w:val="00DC409D"/>
    <w:rsid w:val="00DC423B"/>
    <w:rsid w:val="00DC43DC"/>
    <w:rsid w:val="00DC4422"/>
    <w:rsid w:val="00DC4B4B"/>
    <w:rsid w:val="00DC4E5E"/>
    <w:rsid w:val="00DC4EB6"/>
    <w:rsid w:val="00DC51FB"/>
    <w:rsid w:val="00DC5980"/>
    <w:rsid w:val="00DC5ADD"/>
    <w:rsid w:val="00DC5AFC"/>
    <w:rsid w:val="00DC5B95"/>
    <w:rsid w:val="00DC5DF8"/>
    <w:rsid w:val="00DC5E29"/>
    <w:rsid w:val="00DC63A9"/>
    <w:rsid w:val="00DC64FF"/>
    <w:rsid w:val="00DC6AA1"/>
    <w:rsid w:val="00DC6E6D"/>
    <w:rsid w:val="00DC7455"/>
    <w:rsid w:val="00DC754F"/>
    <w:rsid w:val="00DC7D3E"/>
    <w:rsid w:val="00DC7F10"/>
    <w:rsid w:val="00DD00B7"/>
    <w:rsid w:val="00DD0288"/>
    <w:rsid w:val="00DD0C2D"/>
    <w:rsid w:val="00DD0C77"/>
    <w:rsid w:val="00DD0D98"/>
    <w:rsid w:val="00DD0FE4"/>
    <w:rsid w:val="00DD11AA"/>
    <w:rsid w:val="00DD165A"/>
    <w:rsid w:val="00DD16D7"/>
    <w:rsid w:val="00DD17C4"/>
    <w:rsid w:val="00DD196B"/>
    <w:rsid w:val="00DD19F0"/>
    <w:rsid w:val="00DD1D89"/>
    <w:rsid w:val="00DD1F8E"/>
    <w:rsid w:val="00DD2272"/>
    <w:rsid w:val="00DD24C7"/>
    <w:rsid w:val="00DD2709"/>
    <w:rsid w:val="00DD2779"/>
    <w:rsid w:val="00DD2929"/>
    <w:rsid w:val="00DD295E"/>
    <w:rsid w:val="00DD2A81"/>
    <w:rsid w:val="00DD2B82"/>
    <w:rsid w:val="00DD2BDD"/>
    <w:rsid w:val="00DD314F"/>
    <w:rsid w:val="00DD31F2"/>
    <w:rsid w:val="00DD32FC"/>
    <w:rsid w:val="00DD3327"/>
    <w:rsid w:val="00DD338F"/>
    <w:rsid w:val="00DD34FE"/>
    <w:rsid w:val="00DD3AFE"/>
    <w:rsid w:val="00DD453C"/>
    <w:rsid w:val="00DD4841"/>
    <w:rsid w:val="00DD48B7"/>
    <w:rsid w:val="00DD49C2"/>
    <w:rsid w:val="00DD4B63"/>
    <w:rsid w:val="00DD4D54"/>
    <w:rsid w:val="00DD5489"/>
    <w:rsid w:val="00DD599F"/>
    <w:rsid w:val="00DD5A08"/>
    <w:rsid w:val="00DD5C5B"/>
    <w:rsid w:val="00DD5DE9"/>
    <w:rsid w:val="00DD5F40"/>
    <w:rsid w:val="00DD61B4"/>
    <w:rsid w:val="00DD639F"/>
    <w:rsid w:val="00DD6466"/>
    <w:rsid w:val="00DD661C"/>
    <w:rsid w:val="00DD6649"/>
    <w:rsid w:val="00DD6AC4"/>
    <w:rsid w:val="00DD6BDC"/>
    <w:rsid w:val="00DD7112"/>
    <w:rsid w:val="00DD7116"/>
    <w:rsid w:val="00DD732C"/>
    <w:rsid w:val="00DD75ED"/>
    <w:rsid w:val="00DD762B"/>
    <w:rsid w:val="00DD7693"/>
    <w:rsid w:val="00DD7965"/>
    <w:rsid w:val="00DD7D3A"/>
    <w:rsid w:val="00DE0520"/>
    <w:rsid w:val="00DE07B8"/>
    <w:rsid w:val="00DE0890"/>
    <w:rsid w:val="00DE0F70"/>
    <w:rsid w:val="00DE1041"/>
    <w:rsid w:val="00DE11D3"/>
    <w:rsid w:val="00DE15A4"/>
    <w:rsid w:val="00DE1927"/>
    <w:rsid w:val="00DE1C02"/>
    <w:rsid w:val="00DE1F21"/>
    <w:rsid w:val="00DE237D"/>
    <w:rsid w:val="00DE278F"/>
    <w:rsid w:val="00DE29EF"/>
    <w:rsid w:val="00DE2A16"/>
    <w:rsid w:val="00DE2A26"/>
    <w:rsid w:val="00DE2C12"/>
    <w:rsid w:val="00DE2F7E"/>
    <w:rsid w:val="00DE3071"/>
    <w:rsid w:val="00DE3472"/>
    <w:rsid w:val="00DE4450"/>
    <w:rsid w:val="00DE45E7"/>
    <w:rsid w:val="00DE49DC"/>
    <w:rsid w:val="00DE4C2A"/>
    <w:rsid w:val="00DE4D55"/>
    <w:rsid w:val="00DE4F19"/>
    <w:rsid w:val="00DE4F9A"/>
    <w:rsid w:val="00DE4FE3"/>
    <w:rsid w:val="00DE554C"/>
    <w:rsid w:val="00DE566F"/>
    <w:rsid w:val="00DE5680"/>
    <w:rsid w:val="00DE5775"/>
    <w:rsid w:val="00DE5CB6"/>
    <w:rsid w:val="00DE5FE0"/>
    <w:rsid w:val="00DE60F7"/>
    <w:rsid w:val="00DE6160"/>
    <w:rsid w:val="00DE6251"/>
    <w:rsid w:val="00DE674F"/>
    <w:rsid w:val="00DE6A3C"/>
    <w:rsid w:val="00DE6DD0"/>
    <w:rsid w:val="00DE6F57"/>
    <w:rsid w:val="00DE709A"/>
    <w:rsid w:val="00DE71D7"/>
    <w:rsid w:val="00DE72A5"/>
    <w:rsid w:val="00DE76D9"/>
    <w:rsid w:val="00DE7B93"/>
    <w:rsid w:val="00DE7DE8"/>
    <w:rsid w:val="00DE7FA6"/>
    <w:rsid w:val="00DF035F"/>
    <w:rsid w:val="00DF05B8"/>
    <w:rsid w:val="00DF061D"/>
    <w:rsid w:val="00DF06B7"/>
    <w:rsid w:val="00DF0722"/>
    <w:rsid w:val="00DF08D0"/>
    <w:rsid w:val="00DF0AEA"/>
    <w:rsid w:val="00DF0C77"/>
    <w:rsid w:val="00DF1140"/>
    <w:rsid w:val="00DF12B9"/>
    <w:rsid w:val="00DF1546"/>
    <w:rsid w:val="00DF186B"/>
    <w:rsid w:val="00DF1AF6"/>
    <w:rsid w:val="00DF1C0D"/>
    <w:rsid w:val="00DF1E51"/>
    <w:rsid w:val="00DF1ED2"/>
    <w:rsid w:val="00DF2242"/>
    <w:rsid w:val="00DF22A0"/>
    <w:rsid w:val="00DF25C4"/>
    <w:rsid w:val="00DF2979"/>
    <w:rsid w:val="00DF2AA6"/>
    <w:rsid w:val="00DF2AAD"/>
    <w:rsid w:val="00DF2AF7"/>
    <w:rsid w:val="00DF2EF5"/>
    <w:rsid w:val="00DF2F45"/>
    <w:rsid w:val="00DF2FBD"/>
    <w:rsid w:val="00DF3024"/>
    <w:rsid w:val="00DF31AA"/>
    <w:rsid w:val="00DF34CD"/>
    <w:rsid w:val="00DF35E7"/>
    <w:rsid w:val="00DF3692"/>
    <w:rsid w:val="00DF3808"/>
    <w:rsid w:val="00DF3D5B"/>
    <w:rsid w:val="00DF3E2C"/>
    <w:rsid w:val="00DF4108"/>
    <w:rsid w:val="00DF4399"/>
    <w:rsid w:val="00DF4759"/>
    <w:rsid w:val="00DF48D9"/>
    <w:rsid w:val="00DF4CE4"/>
    <w:rsid w:val="00DF53AD"/>
    <w:rsid w:val="00DF53BA"/>
    <w:rsid w:val="00DF5566"/>
    <w:rsid w:val="00DF5AE9"/>
    <w:rsid w:val="00DF5CF6"/>
    <w:rsid w:val="00DF5D5A"/>
    <w:rsid w:val="00DF644E"/>
    <w:rsid w:val="00DF6654"/>
    <w:rsid w:val="00DF6885"/>
    <w:rsid w:val="00DF6A27"/>
    <w:rsid w:val="00DF6E47"/>
    <w:rsid w:val="00DF6FE6"/>
    <w:rsid w:val="00DF72C8"/>
    <w:rsid w:val="00DF748C"/>
    <w:rsid w:val="00DF7583"/>
    <w:rsid w:val="00DF7978"/>
    <w:rsid w:val="00DF7981"/>
    <w:rsid w:val="00DF7A5A"/>
    <w:rsid w:val="00DF7BB0"/>
    <w:rsid w:val="00DF7C82"/>
    <w:rsid w:val="00DF7FE7"/>
    <w:rsid w:val="00E00348"/>
    <w:rsid w:val="00E0055A"/>
    <w:rsid w:val="00E008B4"/>
    <w:rsid w:val="00E00949"/>
    <w:rsid w:val="00E00D48"/>
    <w:rsid w:val="00E00E58"/>
    <w:rsid w:val="00E011AE"/>
    <w:rsid w:val="00E01895"/>
    <w:rsid w:val="00E01A00"/>
    <w:rsid w:val="00E01B5B"/>
    <w:rsid w:val="00E01B9A"/>
    <w:rsid w:val="00E01C41"/>
    <w:rsid w:val="00E01D2B"/>
    <w:rsid w:val="00E01D66"/>
    <w:rsid w:val="00E01F56"/>
    <w:rsid w:val="00E02039"/>
    <w:rsid w:val="00E02122"/>
    <w:rsid w:val="00E021F9"/>
    <w:rsid w:val="00E028C7"/>
    <w:rsid w:val="00E02C00"/>
    <w:rsid w:val="00E02FBF"/>
    <w:rsid w:val="00E0320A"/>
    <w:rsid w:val="00E03376"/>
    <w:rsid w:val="00E0352F"/>
    <w:rsid w:val="00E03634"/>
    <w:rsid w:val="00E03E29"/>
    <w:rsid w:val="00E0416B"/>
    <w:rsid w:val="00E044C4"/>
    <w:rsid w:val="00E04766"/>
    <w:rsid w:val="00E048AB"/>
    <w:rsid w:val="00E04E95"/>
    <w:rsid w:val="00E04FBF"/>
    <w:rsid w:val="00E0555C"/>
    <w:rsid w:val="00E057AB"/>
    <w:rsid w:val="00E05A39"/>
    <w:rsid w:val="00E05B73"/>
    <w:rsid w:val="00E05F3A"/>
    <w:rsid w:val="00E063D4"/>
    <w:rsid w:val="00E06476"/>
    <w:rsid w:val="00E06842"/>
    <w:rsid w:val="00E06847"/>
    <w:rsid w:val="00E068E2"/>
    <w:rsid w:val="00E06B47"/>
    <w:rsid w:val="00E0725A"/>
    <w:rsid w:val="00E0744B"/>
    <w:rsid w:val="00E075BA"/>
    <w:rsid w:val="00E07DBC"/>
    <w:rsid w:val="00E07FAE"/>
    <w:rsid w:val="00E1022E"/>
    <w:rsid w:val="00E10237"/>
    <w:rsid w:val="00E102EB"/>
    <w:rsid w:val="00E105FC"/>
    <w:rsid w:val="00E10905"/>
    <w:rsid w:val="00E10C9D"/>
    <w:rsid w:val="00E10D7F"/>
    <w:rsid w:val="00E10F47"/>
    <w:rsid w:val="00E11272"/>
    <w:rsid w:val="00E11396"/>
    <w:rsid w:val="00E114A0"/>
    <w:rsid w:val="00E11590"/>
    <w:rsid w:val="00E118DE"/>
    <w:rsid w:val="00E1192B"/>
    <w:rsid w:val="00E11951"/>
    <w:rsid w:val="00E11A82"/>
    <w:rsid w:val="00E11A9F"/>
    <w:rsid w:val="00E11F12"/>
    <w:rsid w:val="00E120D5"/>
    <w:rsid w:val="00E12462"/>
    <w:rsid w:val="00E124B0"/>
    <w:rsid w:val="00E1256F"/>
    <w:rsid w:val="00E12603"/>
    <w:rsid w:val="00E12644"/>
    <w:rsid w:val="00E12A50"/>
    <w:rsid w:val="00E12B50"/>
    <w:rsid w:val="00E12E99"/>
    <w:rsid w:val="00E12EC3"/>
    <w:rsid w:val="00E13774"/>
    <w:rsid w:val="00E1378D"/>
    <w:rsid w:val="00E137D6"/>
    <w:rsid w:val="00E13A19"/>
    <w:rsid w:val="00E13A9B"/>
    <w:rsid w:val="00E13B81"/>
    <w:rsid w:val="00E13CF4"/>
    <w:rsid w:val="00E13FD3"/>
    <w:rsid w:val="00E143AB"/>
    <w:rsid w:val="00E143B8"/>
    <w:rsid w:val="00E144F5"/>
    <w:rsid w:val="00E14512"/>
    <w:rsid w:val="00E1470F"/>
    <w:rsid w:val="00E14765"/>
    <w:rsid w:val="00E1484A"/>
    <w:rsid w:val="00E14A72"/>
    <w:rsid w:val="00E14AC7"/>
    <w:rsid w:val="00E14B8D"/>
    <w:rsid w:val="00E14CA5"/>
    <w:rsid w:val="00E14DA4"/>
    <w:rsid w:val="00E15198"/>
    <w:rsid w:val="00E151CB"/>
    <w:rsid w:val="00E152AD"/>
    <w:rsid w:val="00E152B9"/>
    <w:rsid w:val="00E153DC"/>
    <w:rsid w:val="00E1540A"/>
    <w:rsid w:val="00E15551"/>
    <w:rsid w:val="00E1557C"/>
    <w:rsid w:val="00E15902"/>
    <w:rsid w:val="00E159F7"/>
    <w:rsid w:val="00E15B8D"/>
    <w:rsid w:val="00E15C86"/>
    <w:rsid w:val="00E15E0C"/>
    <w:rsid w:val="00E160A0"/>
    <w:rsid w:val="00E16343"/>
    <w:rsid w:val="00E168A1"/>
    <w:rsid w:val="00E16C77"/>
    <w:rsid w:val="00E17000"/>
    <w:rsid w:val="00E171C3"/>
    <w:rsid w:val="00E1723A"/>
    <w:rsid w:val="00E17458"/>
    <w:rsid w:val="00E17BB1"/>
    <w:rsid w:val="00E17C72"/>
    <w:rsid w:val="00E17C7F"/>
    <w:rsid w:val="00E17E80"/>
    <w:rsid w:val="00E17E9D"/>
    <w:rsid w:val="00E200A5"/>
    <w:rsid w:val="00E20318"/>
    <w:rsid w:val="00E205F5"/>
    <w:rsid w:val="00E20654"/>
    <w:rsid w:val="00E20890"/>
    <w:rsid w:val="00E20924"/>
    <w:rsid w:val="00E20A4B"/>
    <w:rsid w:val="00E20BE6"/>
    <w:rsid w:val="00E20CCF"/>
    <w:rsid w:val="00E20D5C"/>
    <w:rsid w:val="00E20D5F"/>
    <w:rsid w:val="00E20F74"/>
    <w:rsid w:val="00E211D5"/>
    <w:rsid w:val="00E21392"/>
    <w:rsid w:val="00E21412"/>
    <w:rsid w:val="00E21563"/>
    <w:rsid w:val="00E21FC4"/>
    <w:rsid w:val="00E2203B"/>
    <w:rsid w:val="00E2256F"/>
    <w:rsid w:val="00E22BA9"/>
    <w:rsid w:val="00E22C57"/>
    <w:rsid w:val="00E22E44"/>
    <w:rsid w:val="00E234CB"/>
    <w:rsid w:val="00E234E7"/>
    <w:rsid w:val="00E23A2E"/>
    <w:rsid w:val="00E23D0E"/>
    <w:rsid w:val="00E24105"/>
    <w:rsid w:val="00E2432A"/>
    <w:rsid w:val="00E2458C"/>
    <w:rsid w:val="00E24648"/>
    <w:rsid w:val="00E246E5"/>
    <w:rsid w:val="00E2476C"/>
    <w:rsid w:val="00E24807"/>
    <w:rsid w:val="00E24BA7"/>
    <w:rsid w:val="00E24D5B"/>
    <w:rsid w:val="00E253A9"/>
    <w:rsid w:val="00E25441"/>
    <w:rsid w:val="00E258F5"/>
    <w:rsid w:val="00E25C56"/>
    <w:rsid w:val="00E25D6E"/>
    <w:rsid w:val="00E25F29"/>
    <w:rsid w:val="00E25F38"/>
    <w:rsid w:val="00E26034"/>
    <w:rsid w:val="00E26038"/>
    <w:rsid w:val="00E262FB"/>
    <w:rsid w:val="00E26314"/>
    <w:rsid w:val="00E26344"/>
    <w:rsid w:val="00E26734"/>
    <w:rsid w:val="00E2677D"/>
    <w:rsid w:val="00E26929"/>
    <w:rsid w:val="00E2695D"/>
    <w:rsid w:val="00E26A37"/>
    <w:rsid w:val="00E26B3B"/>
    <w:rsid w:val="00E26BFB"/>
    <w:rsid w:val="00E27048"/>
    <w:rsid w:val="00E27482"/>
    <w:rsid w:val="00E274DE"/>
    <w:rsid w:val="00E27B3E"/>
    <w:rsid w:val="00E27D0B"/>
    <w:rsid w:val="00E27E0B"/>
    <w:rsid w:val="00E300AC"/>
    <w:rsid w:val="00E30248"/>
    <w:rsid w:val="00E3035F"/>
    <w:rsid w:val="00E303CF"/>
    <w:rsid w:val="00E30724"/>
    <w:rsid w:val="00E30880"/>
    <w:rsid w:val="00E30ABC"/>
    <w:rsid w:val="00E30BFF"/>
    <w:rsid w:val="00E30F97"/>
    <w:rsid w:val="00E31637"/>
    <w:rsid w:val="00E3166A"/>
    <w:rsid w:val="00E31A70"/>
    <w:rsid w:val="00E31B37"/>
    <w:rsid w:val="00E31EF0"/>
    <w:rsid w:val="00E31F71"/>
    <w:rsid w:val="00E31FFC"/>
    <w:rsid w:val="00E32753"/>
    <w:rsid w:val="00E3295B"/>
    <w:rsid w:val="00E32B34"/>
    <w:rsid w:val="00E32E8B"/>
    <w:rsid w:val="00E332A4"/>
    <w:rsid w:val="00E333C9"/>
    <w:rsid w:val="00E3359F"/>
    <w:rsid w:val="00E33653"/>
    <w:rsid w:val="00E3380D"/>
    <w:rsid w:val="00E33BF2"/>
    <w:rsid w:val="00E33FD6"/>
    <w:rsid w:val="00E3412F"/>
    <w:rsid w:val="00E3433B"/>
    <w:rsid w:val="00E344A3"/>
    <w:rsid w:val="00E344B8"/>
    <w:rsid w:val="00E3481C"/>
    <w:rsid w:val="00E34929"/>
    <w:rsid w:val="00E34B5D"/>
    <w:rsid w:val="00E34C48"/>
    <w:rsid w:val="00E34E4A"/>
    <w:rsid w:val="00E3577B"/>
    <w:rsid w:val="00E35F5A"/>
    <w:rsid w:val="00E36238"/>
    <w:rsid w:val="00E362C4"/>
    <w:rsid w:val="00E3672F"/>
    <w:rsid w:val="00E36736"/>
    <w:rsid w:val="00E367F1"/>
    <w:rsid w:val="00E36AEA"/>
    <w:rsid w:val="00E36D9A"/>
    <w:rsid w:val="00E373F3"/>
    <w:rsid w:val="00E374AB"/>
    <w:rsid w:val="00E3751B"/>
    <w:rsid w:val="00E3776F"/>
    <w:rsid w:val="00E3788B"/>
    <w:rsid w:val="00E379B8"/>
    <w:rsid w:val="00E37D24"/>
    <w:rsid w:val="00E40020"/>
    <w:rsid w:val="00E4014A"/>
    <w:rsid w:val="00E40204"/>
    <w:rsid w:val="00E4028B"/>
    <w:rsid w:val="00E4031D"/>
    <w:rsid w:val="00E40621"/>
    <w:rsid w:val="00E40B1B"/>
    <w:rsid w:val="00E40BB1"/>
    <w:rsid w:val="00E40D5E"/>
    <w:rsid w:val="00E41126"/>
    <w:rsid w:val="00E412C2"/>
    <w:rsid w:val="00E415CB"/>
    <w:rsid w:val="00E41898"/>
    <w:rsid w:val="00E41C3B"/>
    <w:rsid w:val="00E41DCA"/>
    <w:rsid w:val="00E41ED4"/>
    <w:rsid w:val="00E41EF9"/>
    <w:rsid w:val="00E42062"/>
    <w:rsid w:val="00E421A7"/>
    <w:rsid w:val="00E421F4"/>
    <w:rsid w:val="00E4224F"/>
    <w:rsid w:val="00E42335"/>
    <w:rsid w:val="00E427FA"/>
    <w:rsid w:val="00E4287E"/>
    <w:rsid w:val="00E428BE"/>
    <w:rsid w:val="00E428E8"/>
    <w:rsid w:val="00E429D4"/>
    <w:rsid w:val="00E42DDE"/>
    <w:rsid w:val="00E42F7E"/>
    <w:rsid w:val="00E43308"/>
    <w:rsid w:val="00E43419"/>
    <w:rsid w:val="00E43450"/>
    <w:rsid w:val="00E43D2E"/>
    <w:rsid w:val="00E43E54"/>
    <w:rsid w:val="00E43EA9"/>
    <w:rsid w:val="00E44324"/>
    <w:rsid w:val="00E44922"/>
    <w:rsid w:val="00E449DA"/>
    <w:rsid w:val="00E4507D"/>
    <w:rsid w:val="00E4517C"/>
    <w:rsid w:val="00E4521E"/>
    <w:rsid w:val="00E453AC"/>
    <w:rsid w:val="00E45635"/>
    <w:rsid w:val="00E4587F"/>
    <w:rsid w:val="00E45EB8"/>
    <w:rsid w:val="00E4615E"/>
    <w:rsid w:val="00E4624F"/>
    <w:rsid w:val="00E46298"/>
    <w:rsid w:val="00E462E9"/>
    <w:rsid w:val="00E462EC"/>
    <w:rsid w:val="00E463C6"/>
    <w:rsid w:val="00E46602"/>
    <w:rsid w:val="00E4660D"/>
    <w:rsid w:val="00E46621"/>
    <w:rsid w:val="00E4666B"/>
    <w:rsid w:val="00E46895"/>
    <w:rsid w:val="00E46CF1"/>
    <w:rsid w:val="00E46DA7"/>
    <w:rsid w:val="00E46E0B"/>
    <w:rsid w:val="00E46FB7"/>
    <w:rsid w:val="00E47233"/>
    <w:rsid w:val="00E472D4"/>
    <w:rsid w:val="00E4748D"/>
    <w:rsid w:val="00E474D3"/>
    <w:rsid w:val="00E47ADB"/>
    <w:rsid w:val="00E47C5B"/>
    <w:rsid w:val="00E47FD3"/>
    <w:rsid w:val="00E5020F"/>
    <w:rsid w:val="00E50303"/>
    <w:rsid w:val="00E5039A"/>
    <w:rsid w:val="00E507AF"/>
    <w:rsid w:val="00E50883"/>
    <w:rsid w:val="00E50D2E"/>
    <w:rsid w:val="00E50EAA"/>
    <w:rsid w:val="00E51294"/>
    <w:rsid w:val="00E516E2"/>
    <w:rsid w:val="00E5196B"/>
    <w:rsid w:val="00E51C0E"/>
    <w:rsid w:val="00E51CFC"/>
    <w:rsid w:val="00E51F44"/>
    <w:rsid w:val="00E52067"/>
    <w:rsid w:val="00E5252B"/>
    <w:rsid w:val="00E52A42"/>
    <w:rsid w:val="00E52AA4"/>
    <w:rsid w:val="00E52D3D"/>
    <w:rsid w:val="00E52DBB"/>
    <w:rsid w:val="00E52E2F"/>
    <w:rsid w:val="00E52EFA"/>
    <w:rsid w:val="00E5306F"/>
    <w:rsid w:val="00E53301"/>
    <w:rsid w:val="00E534AF"/>
    <w:rsid w:val="00E53802"/>
    <w:rsid w:val="00E5383C"/>
    <w:rsid w:val="00E53B75"/>
    <w:rsid w:val="00E53C23"/>
    <w:rsid w:val="00E53C9E"/>
    <w:rsid w:val="00E53DE7"/>
    <w:rsid w:val="00E53ED0"/>
    <w:rsid w:val="00E53F0A"/>
    <w:rsid w:val="00E541CF"/>
    <w:rsid w:val="00E541D0"/>
    <w:rsid w:val="00E54240"/>
    <w:rsid w:val="00E54752"/>
    <w:rsid w:val="00E54A52"/>
    <w:rsid w:val="00E54A79"/>
    <w:rsid w:val="00E54AE1"/>
    <w:rsid w:val="00E54B21"/>
    <w:rsid w:val="00E54E67"/>
    <w:rsid w:val="00E54F60"/>
    <w:rsid w:val="00E54FCF"/>
    <w:rsid w:val="00E551D6"/>
    <w:rsid w:val="00E554AB"/>
    <w:rsid w:val="00E557AB"/>
    <w:rsid w:val="00E55A19"/>
    <w:rsid w:val="00E55C2C"/>
    <w:rsid w:val="00E55D0E"/>
    <w:rsid w:val="00E563B1"/>
    <w:rsid w:val="00E566CD"/>
    <w:rsid w:val="00E56DAC"/>
    <w:rsid w:val="00E56DFA"/>
    <w:rsid w:val="00E56ECC"/>
    <w:rsid w:val="00E5711F"/>
    <w:rsid w:val="00E5721A"/>
    <w:rsid w:val="00E573EA"/>
    <w:rsid w:val="00E5749E"/>
    <w:rsid w:val="00E574EF"/>
    <w:rsid w:val="00E5773A"/>
    <w:rsid w:val="00E57A90"/>
    <w:rsid w:val="00E57B2D"/>
    <w:rsid w:val="00E57D43"/>
    <w:rsid w:val="00E57DDA"/>
    <w:rsid w:val="00E60315"/>
    <w:rsid w:val="00E60386"/>
    <w:rsid w:val="00E6078C"/>
    <w:rsid w:val="00E60CE5"/>
    <w:rsid w:val="00E60ED3"/>
    <w:rsid w:val="00E610B1"/>
    <w:rsid w:val="00E611C2"/>
    <w:rsid w:val="00E611D8"/>
    <w:rsid w:val="00E611E6"/>
    <w:rsid w:val="00E611F4"/>
    <w:rsid w:val="00E619E9"/>
    <w:rsid w:val="00E61AC0"/>
    <w:rsid w:val="00E61AC8"/>
    <w:rsid w:val="00E61FF8"/>
    <w:rsid w:val="00E62137"/>
    <w:rsid w:val="00E62406"/>
    <w:rsid w:val="00E6248D"/>
    <w:rsid w:val="00E625E9"/>
    <w:rsid w:val="00E6267E"/>
    <w:rsid w:val="00E62923"/>
    <w:rsid w:val="00E62A53"/>
    <w:rsid w:val="00E62A88"/>
    <w:rsid w:val="00E62E98"/>
    <w:rsid w:val="00E63413"/>
    <w:rsid w:val="00E635AB"/>
    <w:rsid w:val="00E63D0C"/>
    <w:rsid w:val="00E63F70"/>
    <w:rsid w:val="00E64010"/>
    <w:rsid w:val="00E64033"/>
    <w:rsid w:val="00E6416C"/>
    <w:rsid w:val="00E6421F"/>
    <w:rsid w:val="00E643A6"/>
    <w:rsid w:val="00E64568"/>
    <w:rsid w:val="00E649B8"/>
    <w:rsid w:val="00E649E3"/>
    <w:rsid w:val="00E64D57"/>
    <w:rsid w:val="00E64ECF"/>
    <w:rsid w:val="00E64FC8"/>
    <w:rsid w:val="00E6554E"/>
    <w:rsid w:val="00E65BC2"/>
    <w:rsid w:val="00E65CBA"/>
    <w:rsid w:val="00E65D26"/>
    <w:rsid w:val="00E65DCC"/>
    <w:rsid w:val="00E661B5"/>
    <w:rsid w:val="00E6659D"/>
    <w:rsid w:val="00E6689A"/>
    <w:rsid w:val="00E668CB"/>
    <w:rsid w:val="00E6694E"/>
    <w:rsid w:val="00E66A4A"/>
    <w:rsid w:val="00E66CA4"/>
    <w:rsid w:val="00E66D5E"/>
    <w:rsid w:val="00E66EEB"/>
    <w:rsid w:val="00E67439"/>
    <w:rsid w:val="00E674F4"/>
    <w:rsid w:val="00E67599"/>
    <w:rsid w:val="00E677DA"/>
    <w:rsid w:val="00E6780D"/>
    <w:rsid w:val="00E679FF"/>
    <w:rsid w:val="00E67B45"/>
    <w:rsid w:val="00E67E95"/>
    <w:rsid w:val="00E7013E"/>
    <w:rsid w:val="00E70195"/>
    <w:rsid w:val="00E701A5"/>
    <w:rsid w:val="00E7042B"/>
    <w:rsid w:val="00E704C3"/>
    <w:rsid w:val="00E706CC"/>
    <w:rsid w:val="00E70729"/>
    <w:rsid w:val="00E70A53"/>
    <w:rsid w:val="00E70D14"/>
    <w:rsid w:val="00E70DF9"/>
    <w:rsid w:val="00E71082"/>
    <w:rsid w:val="00E712CD"/>
    <w:rsid w:val="00E7144A"/>
    <w:rsid w:val="00E71758"/>
    <w:rsid w:val="00E71784"/>
    <w:rsid w:val="00E7178B"/>
    <w:rsid w:val="00E71E16"/>
    <w:rsid w:val="00E720DE"/>
    <w:rsid w:val="00E720FF"/>
    <w:rsid w:val="00E721C6"/>
    <w:rsid w:val="00E72322"/>
    <w:rsid w:val="00E72417"/>
    <w:rsid w:val="00E72813"/>
    <w:rsid w:val="00E72BFE"/>
    <w:rsid w:val="00E72D52"/>
    <w:rsid w:val="00E72F2B"/>
    <w:rsid w:val="00E730BC"/>
    <w:rsid w:val="00E732A0"/>
    <w:rsid w:val="00E732AC"/>
    <w:rsid w:val="00E733B5"/>
    <w:rsid w:val="00E7390D"/>
    <w:rsid w:val="00E73A9E"/>
    <w:rsid w:val="00E74494"/>
    <w:rsid w:val="00E74AE0"/>
    <w:rsid w:val="00E74C12"/>
    <w:rsid w:val="00E74E1D"/>
    <w:rsid w:val="00E74F08"/>
    <w:rsid w:val="00E75024"/>
    <w:rsid w:val="00E7502D"/>
    <w:rsid w:val="00E7508D"/>
    <w:rsid w:val="00E75481"/>
    <w:rsid w:val="00E75D83"/>
    <w:rsid w:val="00E75ED9"/>
    <w:rsid w:val="00E75FA8"/>
    <w:rsid w:val="00E75FAB"/>
    <w:rsid w:val="00E76077"/>
    <w:rsid w:val="00E76294"/>
    <w:rsid w:val="00E76330"/>
    <w:rsid w:val="00E763A8"/>
    <w:rsid w:val="00E76698"/>
    <w:rsid w:val="00E767F5"/>
    <w:rsid w:val="00E76934"/>
    <w:rsid w:val="00E76F06"/>
    <w:rsid w:val="00E774C8"/>
    <w:rsid w:val="00E776E1"/>
    <w:rsid w:val="00E77BA6"/>
    <w:rsid w:val="00E80097"/>
    <w:rsid w:val="00E80A07"/>
    <w:rsid w:val="00E80BC8"/>
    <w:rsid w:val="00E80BF5"/>
    <w:rsid w:val="00E80D33"/>
    <w:rsid w:val="00E8100A"/>
    <w:rsid w:val="00E81343"/>
    <w:rsid w:val="00E81351"/>
    <w:rsid w:val="00E814A8"/>
    <w:rsid w:val="00E81505"/>
    <w:rsid w:val="00E8159C"/>
    <w:rsid w:val="00E815A4"/>
    <w:rsid w:val="00E819B6"/>
    <w:rsid w:val="00E81DBC"/>
    <w:rsid w:val="00E8210F"/>
    <w:rsid w:val="00E824AB"/>
    <w:rsid w:val="00E82817"/>
    <w:rsid w:val="00E82B62"/>
    <w:rsid w:val="00E82BA3"/>
    <w:rsid w:val="00E83124"/>
    <w:rsid w:val="00E83156"/>
    <w:rsid w:val="00E8316F"/>
    <w:rsid w:val="00E83288"/>
    <w:rsid w:val="00E834BE"/>
    <w:rsid w:val="00E83F9E"/>
    <w:rsid w:val="00E8411B"/>
    <w:rsid w:val="00E8444C"/>
    <w:rsid w:val="00E84669"/>
    <w:rsid w:val="00E847B4"/>
    <w:rsid w:val="00E84A69"/>
    <w:rsid w:val="00E84D50"/>
    <w:rsid w:val="00E84DFB"/>
    <w:rsid w:val="00E8518C"/>
    <w:rsid w:val="00E85822"/>
    <w:rsid w:val="00E85945"/>
    <w:rsid w:val="00E85CFC"/>
    <w:rsid w:val="00E86357"/>
    <w:rsid w:val="00E86373"/>
    <w:rsid w:val="00E86417"/>
    <w:rsid w:val="00E864C8"/>
    <w:rsid w:val="00E86617"/>
    <w:rsid w:val="00E86646"/>
    <w:rsid w:val="00E866C7"/>
    <w:rsid w:val="00E86C5B"/>
    <w:rsid w:val="00E86D46"/>
    <w:rsid w:val="00E86F26"/>
    <w:rsid w:val="00E86F78"/>
    <w:rsid w:val="00E8703B"/>
    <w:rsid w:val="00E87096"/>
    <w:rsid w:val="00E871AC"/>
    <w:rsid w:val="00E87696"/>
    <w:rsid w:val="00E87C44"/>
    <w:rsid w:val="00E87DA8"/>
    <w:rsid w:val="00E9008E"/>
    <w:rsid w:val="00E903C2"/>
    <w:rsid w:val="00E90459"/>
    <w:rsid w:val="00E906D8"/>
    <w:rsid w:val="00E909EF"/>
    <w:rsid w:val="00E90F90"/>
    <w:rsid w:val="00E9102D"/>
    <w:rsid w:val="00E91852"/>
    <w:rsid w:val="00E91D88"/>
    <w:rsid w:val="00E921AA"/>
    <w:rsid w:val="00E922DE"/>
    <w:rsid w:val="00E92370"/>
    <w:rsid w:val="00E92559"/>
    <w:rsid w:val="00E925DF"/>
    <w:rsid w:val="00E92645"/>
    <w:rsid w:val="00E92671"/>
    <w:rsid w:val="00E926F4"/>
    <w:rsid w:val="00E9273B"/>
    <w:rsid w:val="00E92E2A"/>
    <w:rsid w:val="00E936A9"/>
    <w:rsid w:val="00E93756"/>
    <w:rsid w:val="00E9383C"/>
    <w:rsid w:val="00E93A8A"/>
    <w:rsid w:val="00E93C79"/>
    <w:rsid w:val="00E942D7"/>
    <w:rsid w:val="00E943A6"/>
    <w:rsid w:val="00E94954"/>
    <w:rsid w:val="00E94CB8"/>
    <w:rsid w:val="00E94D8F"/>
    <w:rsid w:val="00E95054"/>
    <w:rsid w:val="00E95426"/>
    <w:rsid w:val="00E95674"/>
    <w:rsid w:val="00E95957"/>
    <w:rsid w:val="00E959FE"/>
    <w:rsid w:val="00E95AA3"/>
    <w:rsid w:val="00E95B91"/>
    <w:rsid w:val="00E95C65"/>
    <w:rsid w:val="00E95DC0"/>
    <w:rsid w:val="00E9610C"/>
    <w:rsid w:val="00E9616E"/>
    <w:rsid w:val="00E961D1"/>
    <w:rsid w:val="00E963FA"/>
    <w:rsid w:val="00E96401"/>
    <w:rsid w:val="00E96444"/>
    <w:rsid w:val="00E967A8"/>
    <w:rsid w:val="00E9682E"/>
    <w:rsid w:val="00E96A19"/>
    <w:rsid w:val="00E96C41"/>
    <w:rsid w:val="00E96CB3"/>
    <w:rsid w:val="00E96CCD"/>
    <w:rsid w:val="00E97018"/>
    <w:rsid w:val="00E971F7"/>
    <w:rsid w:val="00E9767D"/>
    <w:rsid w:val="00E97807"/>
    <w:rsid w:val="00E97ACE"/>
    <w:rsid w:val="00E97C58"/>
    <w:rsid w:val="00E97CDE"/>
    <w:rsid w:val="00E97CFA"/>
    <w:rsid w:val="00E97DC8"/>
    <w:rsid w:val="00E97E7B"/>
    <w:rsid w:val="00EA01DE"/>
    <w:rsid w:val="00EA0504"/>
    <w:rsid w:val="00EA07C5"/>
    <w:rsid w:val="00EA0BF4"/>
    <w:rsid w:val="00EA0DDE"/>
    <w:rsid w:val="00EA0E5B"/>
    <w:rsid w:val="00EA1038"/>
    <w:rsid w:val="00EA105F"/>
    <w:rsid w:val="00EA172B"/>
    <w:rsid w:val="00EA18EB"/>
    <w:rsid w:val="00EA1E1D"/>
    <w:rsid w:val="00EA20D0"/>
    <w:rsid w:val="00EA20D8"/>
    <w:rsid w:val="00EA215A"/>
    <w:rsid w:val="00EA2356"/>
    <w:rsid w:val="00EA251C"/>
    <w:rsid w:val="00EA2600"/>
    <w:rsid w:val="00EA267B"/>
    <w:rsid w:val="00EA272E"/>
    <w:rsid w:val="00EA287B"/>
    <w:rsid w:val="00EA2D5B"/>
    <w:rsid w:val="00EA30AB"/>
    <w:rsid w:val="00EA3186"/>
    <w:rsid w:val="00EA39C0"/>
    <w:rsid w:val="00EA39E3"/>
    <w:rsid w:val="00EA3C56"/>
    <w:rsid w:val="00EA3C8D"/>
    <w:rsid w:val="00EA3DC5"/>
    <w:rsid w:val="00EA3DF4"/>
    <w:rsid w:val="00EA4022"/>
    <w:rsid w:val="00EA43BE"/>
    <w:rsid w:val="00EA44E2"/>
    <w:rsid w:val="00EA4D95"/>
    <w:rsid w:val="00EA4EB2"/>
    <w:rsid w:val="00EA4EC9"/>
    <w:rsid w:val="00EA4F70"/>
    <w:rsid w:val="00EA584A"/>
    <w:rsid w:val="00EA5C5F"/>
    <w:rsid w:val="00EA5D19"/>
    <w:rsid w:val="00EA5FD3"/>
    <w:rsid w:val="00EA63B0"/>
    <w:rsid w:val="00EA662D"/>
    <w:rsid w:val="00EA66D4"/>
    <w:rsid w:val="00EA67CB"/>
    <w:rsid w:val="00EA68B5"/>
    <w:rsid w:val="00EA6AEF"/>
    <w:rsid w:val="00EA6C10"/>
    <w:rsid w:val="00EA6DCD"/>
    <w:rsid w:val="00EA6ECC"/>
    <w:rsid w:val="00EA7098"/>
    <w:rsid w:val="00EA70FB"/>
    <w:rsid w:val="00EA72F8"/>
    <w:rsid w:val="00EA7574"/>
    <w:rsid w:val="00EA75BB"/>
    <w:rsid w:val="00EA77DF"/>
    <w:rsid w:val="00EA7937"/>
    <w:rsid w:val="00EA79B7"/>
    <w:rsid w:val="00EB0080"/>
    <w:rsid w:val="00EB031F"/>
    <w:rsid w:val="00EB047F"/>
    <w:rsid w:val="00EB04A7"/>
    <w:rsid w:val="00EB0DA0"/>
    <w:rsid w:val="00EB0F9D"/>
    <w:rsid w:val="00EB145A"/>
    <w:rsid w:val="00EB14A2"/>
    <w:rsid w:val="00EB16B6"/>
    <w:rsid w:val="00EB1C2A"/>
    <w:rsid w:val="00EB1F6A"/>
    <w:rsid w:val="00EB2051"/>
    <w:rsid w:val="00EB2227"/>
    <w:rsid w:val="00EB2A56"/>
    <w:rsid w:val="00EB30D6"/>
    <w:rsid w:val="00EB3251"/>
    <w:rsid w:val="00EB33D8"/>
    <w:rsid w:val="00EB340E"/>
    <w:rsid w:val="00EB36CA"/>
    <w:rsid w:val="00EB37C6"/>
    <w:rsid w:val="00EB3931"/>
    <w:rsid w:val="00EB3E40"/>
    <w:rsid w:val="00EB41E9"/>
    <w:rsid w:val="00EB4602"/>
    <w:rsid w:val="00EB468B"/>
    <w:rsid w:val="00EB468F"/>
    <w:rsid w:val="00EB4889"/>
    <w:rsid w:val="00EB48D5"/>
    <w:rsid w:val="00EB4A41"/>
    <w:rsid w:val="00EB4C18"/>
    <w:rsid w:val="00EB4CC0"/>
    <w:rsid w:val="00EB55FC"/>
    <w:rsid w:val="00EB578B"/>
    <w:rsid w:val="00EB5846"/>
    <w:rsid w:val="00EB5AC6"/>
    <w:rsid w:val="00EB5AC8"/>
    <w:rsid w:val="00EB5FDF"/>
    <w:rsid w:val="00EB6165"/>
    <w:rsid w:val="00EB6221"/>
    <w:rsid w:val="00EB63FB"/>
    <w:rsid w:val="00EB6490"/>
    <w:rsid w:val="00EB64E8"/>
    <w:rsid w:val="00EB674D"/>
    <w:rsid w:val="00EB699E"/>
    <w:rsid w:val="00EB6C56"/>
    <w:rsid w:val="00EB6CA3"/>
    <w:rsid w:val="00EB6DD5"/>
    <w:rsid w:val="00EB6DF3"/>
    <w:rsid w:val="00EB6E19"/>
    <w:rsid w:val="00EB6FA3"/>
    <w:rsid w:val="00EB6FA6"/>
    <w:rsid w:val="00EB7126"/>
    <w:rsid w:val="00EB72BC"/>
    <w:rsid w:val="00EB7435"/>
    <w:rsid w:val="00EB768C"/>
    <w:rsid w:val="00EB76CF"/>
    <w:rsid w:val="00EB7745"/>
    <w:rsid w:val="00EB7B71"/>
    <w:rsid w:val="00EB7C67"/>
    <w:rsid w:val="00EB7CA0"/>
    <w:rsid w:val="00EB7DD6"/>
    <w:rsid w:val="00EB7FD6"/>
    <w:rsid w:val="00EC0078"/>
    <w:rsid w:val="00EC05ED"/>
    <w:rsid w:val="00EC0B8A"/>
    <w:rsid w:val="00EC0EFE"/>
    <w:rsid w:val="00EC10BD"/>
    <w:rsid w:val="00EC10F3"/>
    <w:rsid w:val="00EC121B"/>
    <w:rsid w:val="00EC13AD"/>
    <w:rsid w:val="00EC15BE"/>
    <w:rsid w:val="00EC1674"/>
    <w:rsid w:val="00EC16E9"/>
    <w:rsid w:val="00EC1808"/>
    <w:rsid w:val="00EC1ECD"/>
    <w:rsid w:val="00EC2234"/>
    <w:rsid w:val="00EC2320"/>
    <w:rsid w:val="00EC25F1"/>
    <w:rsid w:val="00EC25FE"/>
    <w:rsid w:val="00EC277D"/>
    <w:rsid w:val="00EC27C6"/>
    <w:rsid w:val="00EC293C"/>
    <w:rsid w:val="00EC2B29"/>
    <w:rsid w:val="00EC2B3D"/>
    <w:rsid w:val="00EC2B99"/>
    <w:rsid w:val="00EC2D0B"/>
    <w:rsid w:val="00EC2E08"/>
    <w:rsid w:val="00EC2F1C"/>
    <w:rsid w:val="00EC2FE5"/>
    <w:rsid w:val="00EC313E"/>
    <w:rsid w:val="00EC3242"/>
    <w:rsid w:val="00EC337E"/>
    <w:rsid w:val="00EC33C3"/>
    <w:rsid w:val="00EC3A14"/>
    <w:rsid w:val="00EC3EDF"/>
    <w:rsid w:val="00EC3F2F"/>
    <w:rsid w:val="00EC43E0"/>
    <w:rsid w:val="00EC473B"/>
    <w:rsid w:val="00EC47A7"/>
    <w:rsid w:val="00EC4891"/>
    <w:rsid w:val="00EC49BB"/>
    <w:rsid w:val="00EC4B34"/>
    <w:rsid w:val="00EC4DC9"/>
    <w:rsid w:val="00EC518A"/>
    <w:rsid w:val="00EC52A6"/>
    <w:rsid w:val="00EC58EF"/>
    <w:rsid w:val="00EC5A40"/>
    <w:rsid w:val="00EC5A6B"/>
    <w:rsid w:val="00EC5B09"/>
    <w:rsid w:val="00EC5BB3"/>
    <w:rsid w:val="00EC5D31"/>
    <w:rsid w:val="00EC5ED3"/>
    <w:rsid w:val="00EC6036"/>
    <w:rsid w:val="00EC60E3"/>
    <w:rsid w:val="00EC61B1"/>
    <w:rsid w:val="00EC639C"/>
    <w:rsid w:val="00EC6ACE"/>
    <w:rsid w:val="00EC6C1E"/>
    <w:rsid w:val="00EC6D0E"/>
    <w:rsid w:val="00EC7444"/>
    <w:rsid w:val="00EC79C3"/>
    <w:rsid w:val="00EC7AB8"/>
    <w:rsid w:val="00EC7B98"/>
    <w:rsid w:val="00EC7C10"/>
    <w:rsid w:val="00EC7C37"/>
    <w:rsid w:val="00EC7D4B"/>
    <w:rsid w:val="00EC7DF5"/>
    <w:rsid w:val="00ED058E"/>
    <w:rsid w:val="00ED0684"/>
    <w:rsid w:val="00ED06EC"/>
    <w:rsid w:val="00ED07F8"/>
    <w:rsid w:val="00ED0952"/>
    <w:rsid w:val="00ED0B21"/>
    <w:rsid w:val="00ED0BA2"/>
    <w:rsid w:val="00ED0F96"/>
    <w:rsid w:val="00ED10BB"/>
    <w:rsid w:val="00ED117A"/>
    <w:rsid w:val="00ED1506"/>
    <w:rsid w:val="00ED159D"/>
    <w:rsid w:val="00ED1657"/>
    <w:rsid w:val="00ED1732"/>
    <w:rsid w:val="00ED1815"/>
    <w:rsid w:val="00ED1A5F"/>
    <w:rsid w:val="00ED1D13"/>
    <w:rsid w:val="00ED1F0F"/>
    <w:rsid w:val="00ED20C7"/>
    <w:rsid w:val="00ED2FA7"/>
    <w:rsid w:val="00ED31D9"/>
    <w:rsid w:val="00ED3525"/>
    <w:rsid w:val="00ED3536"/>
    <w:rsid w:val="00ED3611"/>
    <w:rsid w:val="00ED39B7"/>
    <w:rsid w:val="00ED3A35"/>
    <w:rsid w:val="00ED3C99"/>
    <w:rsid w:val="00ED3CB4"/>
    <w:rsid w:val="00ED3DF5"/>
    <w:rsid w:val="00ED3F59"/>
    <w:rsid w:val="00ED419E"/>
    <w:rsid w:val="00ED41E5"/>
    <w:rsid w:val="00ED4276"/>
    <w:rsid w:val="00ED4736"/>
    <w:rsid w:val="00ED49DF"/>
    <w:rsid w:val="00ED4C91"/>
    <w:rsid w:val="00ED4CA0"/>
    <w:rsid w:val="00ED513E"/>
    <w:rsid w:val="00ED5DBC"/>
    <w:rsid w:val="00ED63BF"/>
    <w:rsid w:val="00ED661F"/>
    <w:rsid w:val="00ED667A"/>
    <w:rsid w:val="00ED6995"/>
    <w:rsid w:val="00ED6D6D"/>
    <w:rsid w:val="00ED6D72"/>
    <w:rsid w:val="00ED6ECC"/>
    <w:rsid w:val="00ED7027"/>
    <w:rsid w:val="00ED7349"/>
    <w:rsid w:val="00ED7765"/>
    <w:rsid w:val="00ED790D"/>
    <w:rsid w:val="00ED7986"/>
    <w:rsid w:val="00ED7B87"/>
    <w:rsid w:val="00ED7D13"/>
    <w:rsid w:val="00ED7E7E"/>
    <w:rsid w:val="00EE0291"/>
    <w:rsid w:val="00EE0432"/>
    <w:rsid w:val="00EE04E3"/>
    <w:rsid w:val="00EE0627"/>
    <w:rsid w:val="00EE068C"/>
    <w:rsid w:val="00EE0774"/>
    <w:rsid w:val="00EE0780"/>
    <w:rsid w:val="00EE08E5"/>
    <w:rsid w:val="00EE097A"/>
    <w:rsid w:val="00EE09C7"/>
    <w:rsid w:val="00EE0A27"/>
    <w:rsid w:val="00EE1057"/>
    <w:rsid w:val="00EE12B8"/>
    <w:rsid w:val="00EE13A8"/>
    <w:rsid w:val="00EE1A1E"/>
    <w:rsid w:val="00EE1A87"/>
    <w:rsid w:val="00EE1BE2"/>
    <w:rsid w:val="00EE1D1B"/>
    <w:rsid w:val="00EE2405"/>
    <w:rsid w:val="00EE2482"/>
    <w:rsid w:val="00EE265C"/>
    <w:rsid w:val="00EE2854"/>
    <w:rsid w:val="00EE285E"/>
    <w:rsid w:val="00EE2910"/>
    <w:rsid w:val="00EE301B"/>
    <w:rsid w:val="00EE31A9"/>
    <w:rsid w:val="00EE31DE"/>
    <w:rsid w:val="00EE329C"/>
    <w:rsid w:val="00EE389C"/>
    <w:rsid w:val="00EE38CF"/>
    <w:rsid w:val="00EE38D7"/>
    <w:rsid w:val="00EE3977"/>
    <w:rsid w:val="00EE3A4A"/>
    <w:rsid w:val="00EE3BBB"/>
    <w:rsid w:val="00EE3C3D"/>
    <w:rsid w:val="00EE3C4C"/>
    <w:rsid w:val="00EE3D28"/>
    <w:rsid w:val="00EE3E65"/>
    <w:rsid w:val="00EE3F1C"/>
    <w:rsid w:val="00EE405C"/>
    <w:rsid w:val="00EE41AC"/>
    <w:rsid w:val="00EE4AB0"/>
    <w:rsid w:val="00EE4CD0"/>
    <w:rsid w:val="00EE51E6"/>
    <w:rsid w:val="00EE525E"/>
    <w:rsid w:val="00EE5429"/>
    <w:rsid w:val="00EE54B6"/>
    <w:rsid w:val="00EE583F"/>
    <w:rsid w:val="00EE5F3E"/>
    <w:rsid w:val="00EE61BF"/>
    <w:rsid w:val="00EE628E"/>
    <w:rsid w:val="00EE63A9"/>
    <w:rsid w:val="00EE66C8"/>
    <w:rsid w:val="00EE69D5"/>
    <w:rsid w:val="00EE6AF1"/>
    <w:rsid w:val="00EE6B26"/>
    <w:rsid w:val="00EE6BA5"/>
    <w:rsid w:val="00EE6DA8"/>
    <w:rsid w:val="00EE7082"/>
    <w:rsid w:val="00EE70D2"/>
    <w:rsid w:val="00EE725D"/>
    <w:rsid w:val="00EE75C9"/>
    <w:rsid w:val="00EE7B92"/>
    <w:rsid w:val="00EE7E25"/>
    <w:rsid w:val="00EE7FBC"/>
    <w:rsid w:val="00EF0083"/>
    <w:rsid w:val="00EF03CE"/>
    <w:rsid w:val="00EF0DBE"/>
    <w:rsid w:val="00EF0E46"/>
    <w:rsid w:val="00EF0F46"/>
    <w:rsid w:val="00EF15FC"/>
    <w:rsid w:val="00EF1986"/>
    <w:rsid w:val="00EF1987"/>
    <w:rsid w:val="00EF1A3D"/>
    <w:rsid w:val="00EF23CF"/>
    <w:rsid w:val="00EF2619"/>
    <w:rsid w:val="00EF26DC"/>
    <w:rsid w:val="00EF2892"/>
    <w:rsid w:val="00EF2A11"/>
    <w:rsid w:val="00EF2AF0"/>
    <w:rsid w:val="00EF303D"/>
    <w:rsid w:val="00EF3492"/>
    <w:rsid w:val="00EF3956"/>
    <w:rsid w:val="00EF4097"/>
    <w:rsid w:val="00EF40EA"/>
    <w:rsid w:val="00EF4175"/>
    <w:rsid w:val="00EF41E7"/>
    <w:rsid w:val="00EF427F"/>
    <w:rsid w:val="00EF431B"/>
    <w:rsid w:val="00EF433A"/>
    <w:rsid w:val="00EF4554"/>
    <w:rsid w:val="00EF49AC"/>
    <w:rsid w:val="00EF4A90"/>
    <w:rsid w:val="00EF4B1C"/>
    <w:rsid w:val="00EF5103"/>
    <w:rsid w:val="00EF51DB"/>
    <w:rsid w:val="00EF5350"/>
    <w:rsid w:val="00EF556E"/>
    <w:rsid w:val="00EF5589"/>
    <w:rsid w:val="00EF5B11"/>
    <w:rsid w:val="00EF5DD4"/>
    <w:rsid w:val="00EF609F"/>
    <w:rsid w:val="00EF60ED"/>
    <w:rsid w:val="00EF6296"/>
    <w:rsid w:val="00EF6350"/>
    <w:rsid w:val="00EF6561"/>
    <w:rsid w:val="00EF6862"/>
    <w:rsid w:val="00EF6E96"/>
    <w:rsid w:val="00EF747C"/>
    <w:rsid w:val="00EF7587"/>
    <w:rsid w:val="00EF773F"/>
    <w:rsid w:val="00EF79B4"/>
    <w:rsid w:val="00F00306"/>
    <w:rsid w:val="00F006C6"/>
    <w:rsid w:val="00F00938"/>
    <w:rsid w:val="00F00B09"/>
    <w:rsid w:val="00F00C58"/>
    <w:rsid w:val="00F00CFB"/>
    <w:rsid w:val="00F00E6B"/>
    <w:rsid w:val="00F011BA"/>
    <w:rsid w:val="00F01614"/>
    <w:rsid w:val="00F0173B"/>
    <w:rsid w:val="00F0191E"/>
    <w:rsid w:val="00F01CC9"/>
    <w:rsid w:val="00F01E8F"/>
    <w:rsid w:val="00F01F46"/>
    <w:rsid w:val="00F020EB"/>
    <w:rsid w:val="00F0268D"/>
    <w:rsid w:val="00F02FDF"/>
    <w:rsid w:val="00F03165"/>
    <w:rsid w:val="00F036CB"/>
    <w:rsid w:val="00F036D5"/>
    <w:rsid w:val="00F03DF3"/>
    <w:rsid w:val="00F03EF0"/>
    <w:rsid w:val="00F03F9F"/>
    <w:rsid w:val="00F04058"/>
    <w:rsid w:val="00F04139"/>
    <w:rsid w:val="00F04806"/>
    <w:rsid w:val="00F048E6"/>
    <w:rsid w:val="00F048FF"/>
    <w:rsid w:val="00F04D45"/>
    <w:rsid w:val="00F04D99"/>
    <w:rsid w:val="00F05823"/>
    <w:rsid w:val="00F05BF1"/>
    <w:rsid w:val="00F05E70"/>
    <w:rsid w:val="00F05EB6"/>
    <w:rsid w:val="00F05EC5"/>
    <w:rsid w:val="00F0624B"/>
    <w:rsid w:val="00F062C5"/>
    <w:rsid w:val="00F06839"/>
    <w:rsid w:val="00F0697A"/>
    <w:rsid w:val="00F06A95"/>
    <w:rsid w:val="00F06DEB"/>
    <w:rsid w:val="00F06F39"/>
    <w:rsid w:val="00F06F59"/>
    <w:rsid w:val="00F07336"/>
    <w:rsid w:val="00F07399"/>
    <w:rsid w:val="00F0747C"/>
    <w:rsid w:val="00F0752C"/>
    <w:rsid w:val="00F0757C"/>
    <w:rsid w:val="00F0760B"/>
    <w:rsid w:val="00F076BE"/>
    <w:rsid w:val="00F07944"/>
    <w:rsid w:val="00F07E39"/>
    <w:rsid w:val="00F07ECD"/>
    <w:rsid w:val="00F10284"/>
    <w:rsid w:val="00F102C1"/>
    <w:rsid w:val="00F10302"/>
    <w:rsid w:val="00F104C3"/>
    <w:rsid w:val="00F10609"/>
    <w:rsid w:val="00F1060E"/>
    <w:rsid w:val="00F1084F"/>
    <w:rsid w:val="00F10BBA"/>
    <w:rsid w:val="00F118FD"/>
    <w:rsid w:val="00F1194D"/>
    <w:rsid w:val="00F1214B"/>
    <w:rsid w:val="00F1225D"/>
    <w:rsid w:val="00F12515"/>
    <w:rsid w:val="00F126F9"/>
    <w:rsid w:val="00F12823"/>
    <w:rsid w:val="00F12853"/>
    <w:rsid w:val="00F12869"/>
    <w:rsid w:val="00F12AC2"/>
    <w:rsid w:val="00F12B4B"/>
    <w:rsid w:val="00F12CA8"/>
    <w:rsid w:val="00F13429"/>
    <w:rsid w:val="00F13843"/>
    <w:rsid w:val="00F13DEC"/>
    <w:rsid w:val="00F13E68"/>
    <w:rsid w:val="00F13EE0"/>
    <w:rsid w:val="00F14080"/>
    <w:rsid w:val="00F1427A"/>
    <w:rsid w:val="00F14416"/>
    <w:rsid w:val="00F14594"/>
    <w:rsid w:val="00F14BFE"/>
    <w:rsid w:val="00F14D66"/>
    <w:rsid w:val="00F14EAA"/>
    <w:rsid w:val="00F14F37"/>
    <w:rsid w:val="00F150C3"/>
    <w:rsid w:val="00F1527D"/>
    <w:rsid w:val="00F154E4"/>
    <w:rsid w:val="00F157E8"/>
    <w:rsid w:val="00F1597F"/>
    <w:rsid w:val="00F15C12"/>
    <w:rsid w:val="00F16126"/>
    <w:rsid w:val="00F161D3"/>
    <w:rsid w:val="00F16453"/>
    <w:rsid w:val="00F168E6"/>
    <w:rsid w:val="00F16990"/>
    <w:rsid w:val="00F16BA3"/>
    <w:rsid w:val="00F17357"/>
    <w:rsid w:val="00F173F5"/>
    <w:rsid w:val="00F1748E"/>
    <w:rsid w:val="00F17631"/>
    <w:rsid w:val="00F177AD"/>
    <w:rsid w:val="00F17B4B"/>
    <w:rsid w:val="00F17B50"/>
    <w:rsid w:val="00F17F8D"/>
    <w:rsid w:val="00F17FDB"/>
    <w:rsid w:val="00F20195"/>
    <w:rsid w:val="00F207FF"/>
    <w:rsid w:val="00F20884"/>
    <w:rsid w:val="00F20A7B"/>
    <w:rsid w:val="00F20BC3"/>
    <w:rsid w:val="00F20FF1"/>
    <w:rsid w:val="00F2124A"/>
    <w:rsid w:val="00F217E2"/>
    <w:rsid w:val="00F21CB7"/>
    <w:rsid w:val="00F21F2E"/>
    <w:rsid w:val="00F21FE6"/>
    <w:rsid w:val="00F22486"/>
    <w:rsid w:val="00F2271B"/>
    <w:rsid w:val="00F22729"/>
    <w:rsid w:val="00F22C63"/>
    <w:rsid w:val="00F22CDD"/>
    <w:rsid w:val="00F22E94"/>
    <w:rsid w:val="00F23277"/>
    <w:rsid w:val="00F232BA"/>
    <w:rsid w:val="00F2359E"/>
    <w:rsid w:val="00F23977"/>
    <w:rsid w:val="00F239B6"/>
    <w:rsid w:val="00F23CD0"/>
    <w:rsid w:val="00F23E97"/>
    <w:rsid w:val="00F23FEC"/>
    <w:rsid w:val="00F24138"/>
    <w:rsid w:val="00F241CD"/>
    <w:rsid w:val="00F24AB6"/>
    <w:rsid w:val="00F24AD1"/>
    <w:rsid w:val="00F24B48"/>
    <w:rsid w:val="00F24D0B"/>
    <w:rsid w:val="00F24D56"/>
    <w:rsid w:val="00F24E65"/>
    <w:rsid w:val="00F24EB2"/>
    <w:rsid w:val="00F24FB4"/>
    <w:rsid w:val="00F252B9"/>
    <w:rsid w:val="00F253FB"/>
    <w:rsid w:val="00F2552E"/>
    <w:rsid w:val="00F255B7"/>
    <w:rsid w:val="00F258E4"/>
    <w:rsid w:val="00F25D2F"/>
    <w:rsid w:val="00F26030"/>
    <w:rsid w:val="00F261DE"/>
    <w:rsid w:val="00F262B1"/>
    <w:rsid w:val="00F265BE"/>
    <w:rsid w:val="00F266B5"/>
    <w:rsid w:val="00F26B8B"/>
    <w:rsid w:val="00F26D19"/>
    <w:rsid w:val="00F26E64"/>
    <w:rsid w:val="00F26EDE"/>
    <w:rsid w:val="00F270C2"/>
    <w:rsid w:val="00F2727D"/>
    <w:rsid w:val="00F274EC"/>
    <w:rsid w:val="00F275A4"/>
    <w:rsid w:val="00F277EB"/>
    <w:rsid w:val="00F278E3"/>
    <w:rsid w:val="00F27BB1"/>
    <w:rsid w:val="00F27F15"/>
    <w:rsid w:val="00F302C8"/>
    <w:rsid w:val="00F30438"/>
    <w:rsid w:val="00F30910"/>
    <w:rsid w:val="00F30A14"/>
    <w:rsid w:val="00F30E3D"/>
    <w:rsid w:val="00F31183"/>
    <w:rsid w:val="00F31AB8"/>
    <w:rsid w:val="00F31F37"/>
    <w:rsid w:val="00F31F76"/>
    <w:rsid w:val="00F322DD"/>
    <w:rsid w:val="00F32379"/>
    <w:rsid w:val="00F323D5"/>
    <w:rsid w:val="00F32441"/>
    <w:rsid w:val="00F324B3"/>
    <w:rsid w:val="00F32533"/>
    <w:rsid w:val="00F325D3"/>
    <w:rsid w:val="00F32B2B"/>
    <w:rsid w:val="00F32B3A"/>
    <w:rsid w:val="00F32D8C"/>
    <w:rsid w:val="00F3306D"/>
    <w:rsid w:val="00F3328A"/>
    <w:rsid w:val="00F3336D"/>
    <w:rsid w:val="00F33692"/>
    <w:rsid w:val="00F3390A"/>
    <w:rsid w:val="00F33BF7"/>
    <w:rsid w:val="00F33EDE"/>
    <w:rsid w:val="00F33FF3"/>
    <w:rsid w:val="00F340EA"/>
    <w:rsid w:val="00F34160"/>
    <w:rsid w:val="00F344AF"/>
    <w:rsid w:val="00F34838"/>
    <w:rsid w:val="00F3486F"/>
    <w:rsid w:val="00F34A68"/>
    <w:rsid w:val="00F3517D"/>
    <w:rsid w:val="00F352C5"/>
    <w:rsid w:val="00F353AC"/>
    <w:rsid w:val="00F3545D"/>
    <w:rsid w:val="00F35533"/>
    <w:rsid w:val="00F3560C"/>
    <w:rsid w:val="00F3573B"/>
    <w:rsid w:val="00F357F9"/>
    <w:rsid w:val="00F3587A"/>
    <w:rsid w:val="00F35B4B"/>
    <w:rsid w:val="00F35CE1"/>
    <w:rsid w:val="00F360CC"/>
    <w:rsid w:val="00F3622B"/>
    <w:rsid w:val="00F36617"/>
    <w:rsid w:val="00F36699"/>
    <w:rsid w:val="00F36978"/>
    <w:rsid w:val="00F36B7B"/>
    <w:rsid w:val="00F36C8B"/>
    <w:rsid w:val="00F37013"/>
    <w:rsid w:val="00F370E1"/>
    <w:rsid w:val="00F370F9"/>
    <w:rsid w:val="00F3720F"/>
    <w:rsid w:val="00F374D1"/>
    <w:rsid w:val="00F378B7"/>
    <w:rsid w:val="00F3796F"/>
    <w:rsid w:val="00F37A68"/>
    <w:rsid w:val="00F37B21"/>
    <w:rsid w:val="00F37D81"/>
    <w:rsid w:val="00F37E9D"/>
    <w:rsid w:val="00F40267"/>
    <w:rsid w:val="00F40688"/>
    <w:rsid w:val="00F40AB6"/>
    <w:rsid w:val="00F40B3C"/>
    <w:rsid w:val="00F40C4B"/>
    <w:rsid w:val="00F418B1"/>
    <w:rsid w:val="00F419E4"/>
    <w:rsid w:val="00F41BE2"/>
    <w:rsid w:val="00F41C62"/>
    <w:rsid w:val="00F41D1D"/>
    <w:rsid w:val="00F41DF2"/>
    <w:rsid w:val="00F425D9"/>
    <w:rsid w:val="00F427EB"/>
    <w:rsid w:val="00F429D7"/>
    <w:rsid w:val="00F42BFB"/>
    <w:rsid w:val="00F42C07"/>
    <w:rsid w:val="00F42CFD"/>
    <w:rsid w:val="00F42D31"/>
    <w:rsid w:val="00F4347F"/>
    <w:rsid w:val="00F43656"/>
    <w:rsid w:val="00F437F8"/>
    <w:rsid w:val="00F43D16"/>
    <w:rsid w:val="00F44148"/>
    <w:rsid w:val="00F44573"/>
    <w:rsid w:val="00F445CA"/>
    <w:rsid w:val="00F44B09"/>
    <w:rsid w:val="00F44E45"/>
    <w:rsid w:val="00F44EC9"/>
    <w:rsid w:val="00F44F87"/>
    <w:rsid w:val="00F4510F"/>
    <w:rsid w:val="00F4517C"/>
    <w:rsid w:val="00F451E8"/>
    <w:rsid w:val="00F4527D"/>
    <w:rsid w:val="00F452F6"/>
    <w:rsid w:val="00F453D3"/>
    <w:rsid w:val="00F45810"/>
    <w:rsid w:val="00F45BE4"/>
    <w:rsid w:val="00F45C0D"/>
    <w:rsid w:val="00F45CDE"/>
    <w:rsid w:val="00F45E56"/>
    <w:rsid w:val="00F45FE7"/>
    <w:rsid w:val="00F464E1"/>
    <w:rsid w:val="00F4663B"/>
    <w:rsid w:val="00F47248"/>
    <w:rsid w:val="00F473DD"/>
    <w:rsid w:val="00F4775F"/>
    <w:rsid w:val="00F47998"/>
    <w:rsid w:val="00F47CC9"/>
    <w:rsid w:val="00F47F9B"/>
    <w:rsid w:val="00F501CE"/>
    <w:rsid w:val="00F5034D"/>
    <w:rsid w:val="00F503AE"/>
    <w:rsid w:val="00F50427"/>
    <w:rsid w:val="00F5094A"/>
    <w:rsid w:val="00F512D3"/>
    <w:rsid w:val="00F51456"/>
    <w:rsid w:val="00F51786"/>
    <w:rsid w:val="00F51903"/>
    <w:rsid w:val="00F519D2"/>
    <w:rsid w:val="00F51B51"/>
    <w:rsid w:val="00F51BB0"/>
    <w:rsid w:val="00F51F39"/>
    <w:rsid w:val="00F52245"/>
    <w:rsid w:val="00F522B7"/>
    <w:rsid w:val="00F523B0"/>
    <w:rsid w:val="00F52E00"/>
    <w:rsid w:val="00F52E29"/>
    <w:rsid w:val="00F52F91"/>
    <w:rsid w:val="00F531DC"/>
    <w:rsid w:val="00F532BC"/>
    <w:rsid w:val="00F534BB"/>
    <w:rsid w:val="00F536D6"/>
    <w:rsid w:val="00F54518"/>
    <w:rsid w:val="00F54650"/>
    <w:rsid w:val="00F54819"/>
    <w:rsid w:val="00F548AC"/>
    <w:rsid w:val="00F54A6D"/>
    <w:rsid w:val="00F54DE6"/>
    <w:rsid w:val="00F54FCC"/>
    <w:rsid w:val="00F55099"/>
    <w:rsid w:val="00F55128"/>
    <w:rsid w:val="00F552CD"/>
    <w:rsid w:val="00F5558D"/>
    <w:rsid w:val="00F5574F"/>
    <w:rsid w:val="00F557BC"/>
    <w:rsid w:val="00F5610B"/>
    <w:rsid w:val="00F564CB"/>
    <w:rsid w:val="00F56590"/>
    <w:rsid w:val="00F565AF"/>
    <w:rsid w:val="00F568DD"/>
    <w:rsid w:val="00F56952"/>
    <w:rsid w:val="00F56CD8"/>
    <w:rsid w:val="00F570AA"/>
    <w:rsid w:val="00F5710D"/>
    <w:rsid w:val="00F57159"/>
    <w:rsid w:val="00F57253"/>
    <w:rsid w:val="00F5794E"/>
    <w:rsid w:val="00F57AAB"/>
    <w:rsid w:val="00F6000F"/>
    <w:rsid w:val="00F60152"/>
    <w:rsid w:val="00F60490"/>
    <w:rsid w:val="00F6052A"/>
    <w:rsid w:val="00F609CC"/>
    <w:rsid w:val="00F60D6C"/>
    <w:rsid w:val="00F60FE0"/>
    <w:rsid w:val="00F610D0"/>
    <w:rsid w:val="00F61219"/>
    <w:rsid w:val="00F61541"/>
    <w:rsid w:val="00F61972"/>
    <w:rsid w:val="00F61ADF"/>
    <w:rsid w:val="00F61B5B"/>
    <w:rsid w:val="00F61E97"/>
    <w:rsid w:val="00F62214"/>
    <w:rsid w:val="00F623CB"/>
    <w:rsid w:val="00F623D1"/>
    <w:rsid w:val="00F625E7"/>
    <w:rsid w:val="00F6272F"/>
    <w:rsid w:val="00F627EB"/>
    <w:rsid w:val="00F62872"/>
    <w:rsid w:val="00F629E3"/>
    <w:rsid w:val="00F62A62"/>
    <w:rsid w:val="00F62AF7"/>
    <w:rsid w:val="00F62E45"/>
    <w:rsid w:val="00F63487"/>
    <w:rsid w:val="00F63836"/>
    <w:rsid w:val="00F63945"/>
    <w:rsid w:val="00F639E7"/>
    <w:rsid w:val="00F64405"/>
    <w:rsid w:val="00F64F5A"/>
    <w:rsid w:val="00F65171"/>
    <w:rsid w:val="00F65451"/>
    <w:rsid w:val="00F65CFA"/>
    <w:rsid w:val="00F65D35"/>
    <w:rsid w:val="00F65E72"/>
    <w:rsid w:val="00F66025"/>
    <w:rsid w:val="00F661F5"/>
    <w:rsid w:val="00F6628F"/>
    <w:rsid w:val="00F6650D"/>
    <w:rsid w:val="00F6656B"/>
    <w:rsid w:val="00F668EE"/>
    <w:rsid w:val="00F669CC"/>
    <w:rsid w:val="00F66A7B"/>
    <w:rsid w:val="00F66E68"/>
    <w:rsid w:val="00F67287"/>
    <w:rsid w:val="00F67E55"/>
    <w:rsid w:val="00F67E75"/>
    <w:rsid w:val="00F67EF9"/>
    <w:rsid w:val="00F67FBC"/>
    <w:rsid w:val="00F7000C"/>
    <w:rsid w:val="00F7007E"/>
    <w:rsid w:val="00F703F4"/>
    <w:rsid w:val="00F70553"/>
    <w:rsid w:val="00F706BA"/>
    <w:rsid w:val="00F70805"/>
    <w:rsid w:val="00F70F92"/>
    <w:rsid w:val="00F71011"/>
    <w:rsid w:val="00F714B1"/>
    <w:rsid w:val="00F71816"/>
    <w:rsid w:val="00F71966"/>
    <w:rsid w:val="00F71B10"/>
    <w:rsid w:val="00F71B4F"/>
    <w:rsid w:val="00F71C63"/>
    <w:rsid w:val="00F71D1C"/>
    <w:rsid w:val="00F71FB9"/>
    <w:rsid w:val="00F72157"/>
    <w:rsid w:val="00F7257C"/>
    <w:rsid w:val="00F72701"/>
    <w:rsid w:val="00F72A6F"/>
    <w:rsid w:val="00F72B6D"/>
    <w:rsid w:val="00F72B7A"/>
    <w:rsid w:val="00F72BCE"/>
    <w:rsid w:val="00F72C64"/>
    <w:rsid w:val="00F72C8D"/>
    <w:rsid w:val="00F72EC1"/>
    <w:rsid w:val="00F732B9"/>
    <w:rsid w:val="00F732D3"/>
    <w:rsid w:val="00F73399"/>
    <w:rsid w:val="00F73651"/>
    <w:rsid w:val="00F7374D"/>
    <w:rsid w:val="00F73D44"/>
    <w:rsid w:val="00F74124"/>
    <w:rsid w:val="00F74290"/>
    <w:rsid w:val="00F74596"/>
    <w:rsid w:val="00F7467D"/>
    <w:rsid w:val="00F74740"/>
    <w:rsid w:val="00F74823"/>
    <w:rsid w:val="00F74E34"/>
    <w:rsid w:val="00F74EB8"/>
    <w:rsid w:val="00F74EFA"/>
    <w:rsid w:val="00F74F68"/>
    <w:rsid w:val="00F75356"/>
    <w:rsid w:val="00F75538"/>
    <w:rsid w:val="00F756C6"/>
    <w:rsid w:val="00F75833"/>
    <w:rsid w:val="00F75AFD"/>
    <w:rsid w:val="00F75BDC"/>
    <w:rsid w:val="00F76065"/>
    <w:rsid w:val="00F76260"/>
    <w:rsid w:val="00F76416"/>
    <w:rsid w:val="00F76921"/>
    <w:rsid w:val="00F772F8"/>
    <w:rsid w:val="00F77373"/>
    <w:rsid w:val="00F773FF"/>
    <w:rsid w:val="00F77D24"/>
    <w:rsid w:val="00F80012"/>
    <w:rsid w:val="00F8033D"/>
    <w:rsid w:val="00F805CF"/>
    <w:rsid w:val="00F805D8"/>
    <w:rsid w:val="00F80871"/>
    <w:rsid w:val="00F80D79"/>
    <w:rsid w:val="00F80E52"/>
    <w:rsid w:val="00F80E95"/>
    <w:rsid w:val="00F80F2A"/>
    <w:rsid w:val="00F80FC5"/>
    <w:rsid w:val="00F8101B"/>
    <w:rsid w:val="00F812CF"/>
    <w:rsid w:val="00F81432"/>
    <w:rsid w:val="00F8154E"/>
    <w:rsid w:val="00F8179A"/>
    <w:rsid w:val="00F819E7"/>
    <w:rsid w:val="00F81B4E"/>
    <w:rsid w:val="00F81DBB"/>
    <w:rsid w:val="00F8230E"/>
    <w:rsid w:val="00F82731"/>
    <w:rsid w:val="00F8297B"/>
    <w:rsid w:val="00F829C8"/>
    <w:rsid w:val="00F82A12"/>
    <w:rsid w:val="00F82A57"/>
    <w:rsid w:val="00F82E6C"/>
    <w:rsid w:val="00F831F3"/>
    <w:rsid w:val="00F839E3"/>
    <w:rsid w:val="00F83FC3"/>
    <w:rsid w:val="00F84409"/>
    <w:rsid w:val="00F844F0"/>
    <w:rsid w:val="00F8522B"/>
    <w:rsid w:val="00F8523A"/>
    <w:rsid w:val="00F8538D"/>
    <w:rsid w:val="00F85EE6"/>
    <w:rsid w:val="00F85F0C"/>
    <w:rsid w:val="00F862EB"/>
    <w:rsid w:val="00F8684C"/>
    <w:rsid w:val="00F868A9"/>
    <w:rsid w:val="00F869FC"/>
    <w:rsid w:val="00F86AD7"/>
    <w:rsid w:val="00F86BB5"/>
    <w:rsid w:val="00F86DF8"/>
    <w:rsid w:val="00F870DA"/>
    <w:rsid w:val="00F87185"/>
    <w:rsid w:val="00F87B55"/>
    <w:rsid w:val="00F87D17"/>
    <w:rsid w:val="00F90122"/>
    <w:rsid w:val="00F908D6"/>
    <w:rsid w:val="00F90DD8"/>
    <w:rsid w:val="00F9124A"/>
    <w:rsid w:val="00F91810"/>
    <w:rsid w:val="00F91909"/>
    <w:rsid w:val="00F91FB6"/>
    <w:rsid w:val="00F921AC"/>
    <w:rsid w:val="00F9247A"/>
    <w:rsid w:val="00F92ACD"/>
    <w:rsid w:val="00F92C12"/>
    <w:rsid w:val="00F92CB7"/>
    <w:rsid w:val="00F92F8C"/>
    <w:rsid w:val="00F93253"/>
    <w:rsid w:val="00F93261"/>
    <w:rsid w:val="00F93456"/>
    <w:rsid w:val="00F9359F"/>
    <w:rsid w:val="00F935B1"/>
    <w:rsid w:val="00F936E0"/>
    <w:rsid w:val="00F936FD"/>
    <w:rsid w:val="00F937E6"/>
    <w:rsid w:val="00F938AE"/>
    <w:rsid w:val="00F938FC"/>
    <w:rsid w:val="00F93C4B"/>
    <w:rsid w:val="00F93F46"/>
    <w:rsid w:val="00F9420F"/>
    <w:rsid w:val="00F945AA"/>
    <w:rsid w:val="00F947AC"/>
    <w:rsid w:val="00F94ACC"/>
    <w:rsid w:val="00F94AFC"/>
    <w:rsid w:val="00F94B22"/>
    <w:rsid w:val="00F94C4A"/>
    <w:rsid w:val="00F94C80"/>
    <w:rsid w:val="00F953F8"/>
    <w:rsid w:val="00F95831"/>
    <w:rsid w:val="00F959E2"/>
    <w:rsid w:val="00F95AFD"/>
    <w:rsid w:val="00F95B28"/>
    <w:rsid w:val="00F95B80"/>
    <w:rsid w:val="00F95DD3"/>
    <w:rsid w:val="00F9639C"/>
    <w:rsid w:val="00F9642D"/>
    <w:rsid w:val="00F964B6"/>
    <w:rsid w:val="00F9685D"/>
    <w:rsid w:val="00F96B80"/>
    <w:rsid w:val="00F96DFF"/>
    <w:rsid w:val="00F97176"/>
    <w:rsid w:val="00F97304"/>
    <w:rsid w:val="00F976C9"/>
    <w:rsid w:val="00F9775C"/>
    <w:rsid w:val="00F97BFB"/>
    <w:rsid w:val="00F97EF7"/>
    <w:rsid w:val="00FA0021"/>
    <w:rsid w:val="00FA0502"/>
    <w:rsid w:val="00FA05A3"/>
    <w:rsid w:val="00FA05A5"/>
    <w:rsid w:val="00FA0629"/>
    <w:rsid w:val="00FA0823"/>
    <w:rsid w:val="00FA09F0"/>
    <w:rsid w:val="00FA0B6D"/>
    <w:rsid w:val="00FA0E28"/>
    <w:rsid w:val="00FA0E77"/>
    <w:rsid w:val="00FA1023"/>
    <w:rsid w:val="00FA1165"/>
    <w:rsid w:val="00FA12D4"/>
    <w:rsid w:val="00FA14CF"/>
    <w:rsid w:val="00FA160A"/>
    <w:rsid w:val="00FA1762"/>
    <w:rsid w:val="00FA1BA7"/>
    <w:rsid w:val="00FA1D86"/>
    <w:rsid w:val="00FA1D99"/>
    <w:rsid w:val="00FA1EF2"/>
    <w:rsid w:val="00FA1F0D"/>
    <w:rsid w:val="00FA2046"/>
    <w:rsid w:val="00FA208F"/>
    <w:rsid w:val="00FA217B"/>
    <w:rsid w:val="00FA2884"/>
    <w:rsid w:val="00FA33ED"/>
    <w:rsid w:val="00FA3426"/>
    <w:rsid w:val="00FA35AE"/>
    <w:rsid w:val="00FA3654"/>
    <w:rsid w:val="00FA3710"/>
    <w:rsid w:val="00FA3727"/>
    <w:rsid w:val="00FA37AF"/>
    <w:rsid w:val="00FA3A00"/>
    <w:rsid w:val="00FA3AEC"/>
    <w:rsid w:val="00FA3CB4"/>
    <w:rsid w:val="00FA3EB9"/>
    <w:rsid w:val="00FA40FA"/>
    <w:rsid w:val="00FA4283"/>
    <w:rsid w:val="00FA44CD"/>
    <w:rsid w:val="00FA48E2"/>
    <w:rsid w:val="00FA4E84"/>
    <w:rsid w:val="00FA5229"/>
    <w:rsid w:val="00FA5302"/>
    <w:rsid w:val="00FA5F8B"/>
    <w:rsid w:val="00FA62D8"/>
    <w:rsid w:val="00FA6766"/>
    <w:rsid w:val="00FA67BD"/>
    <w:rsid w:val="00FA68F8"/>
    <w:rsid w:val="00FA6910"/>
    <w:rsid w:val="00FA697B"/>
    <w:rsid w:val="00FA6B59"/>
    <w:rsid w:val="00FA6EAC"/>
    <w:rsid w:val="00FA7044"/>
    <w:rsid w:val="00FA7068"/>
    <w:rsid w:val="00FA7355"/>
    <w:rsid w:val="00FA74B9"/>
    <w:rsid w:val="00FA7966"/>
    <w:rsid w:val="00FA7B91"/>
    <w:rsid w:val="00FA7EAD"/>
    <w:rsid w:val="00FA7F9A"/>
    <w:rsid w:val="00FB021F"/>
    <w:rsid w:val="00FB083D"/>
    <w:rsid w:val="00FB08A4"/>
    <w:rsid w:val="00FB08F0"/>
    <w:rsid w:val="00FB0A84"/>
    <w:rsid w:val="00FB0B8D"/>
    <w:rsid w:val="00FB0D1F"/>
    <w:rsid w:val="00FB10FF"/>
    <w:rsid w:val="00FB118B"/>
    <w:rsid w:val="00FB12CB"/>
    <w:rsid w:val="00FB13D6"/>
    <w:rsid w:val="00FB145E"/>
    <w:rsid w:val="00FB1811"/>
    <w:rsid w:val="00FB21A2"/>
    <w:rsid w:val="00FB2832"/>
    <w:rsid w:val="00FB3212"/>
    <w:rsid w:val="00FB3232"/>
    <w:rsid w:val="00FB36D1"/>
    <w:rsid w:val="00FB3944"/>
    <w:rsid w:val="00FB3A70"/>
    <w:rsid w:val="00FB3A82"/>
    <w:rsid w:val="00FB3E15"/>
    <w:rsid w:val="00FB3F2C"/>
    <w:rsid w:val="00FB3FB2"/>
    <w:rsid w:val="00FB3FD0"/>
    <w:rsid w:val="00FB3FF3"/>
    <w:rsid w:val="00FB409B"/>
    <w:rsid w:val="00FB430F"/>
    <w:rsid w:val="00FB4417"/>
    <w:rsid w:val="00FB4506"/>
    <w:rsid w:val="00FB4CC9"/>
    <w:rsid w:val="00FB4DF0"/>
    <w:rsid w:val="00FB52E0"/>
    <w:rsid w:val="00FB53A5"/>
    <w:rsid w:val="00FB55B2"/>
    <w:rsid w:val="00FB572C"/>
    <w:rsid w:val="00FB5779"/>
    <w:rsid w:val="00FB57A1"/>
    <w:rsid w:val="00FB59CA"/>
    <w:rsid w:val="00FB5A68"/>
    <w:rsid w:val="00FB5B99"/>
    <w:rsid w:val="00FB5D43"/>
    <w:rsid w:val="00FB6185"/>
    <w:rsid w:val="00FB648B"/>
    <w:rsid w:val="00FB6688"/>
    <w:rsid w:val="00FB6BA6"/>
    <w:rsid w:val="00FB6D49"/>
    <w:rsid w:val="00FB7026"/>
    <w:rsid w:val="00FB72C7"/>
    <w:rsid w:val="00FB735E"/>
    <w:rsid w:val="00FB75AF"/>
    <w:rsid w:val="00FB77E8"/>
    <w:rsid w:val="00FB788A"/>
    <w:rsid w:val="00FB7996"/>
    <w:rsid w:val="00FB7A40"/>
    <w:rsid w:val="00FB7CC6"/>
    <w:rsid w:val="00FB7DD2"/>
    <w:rsid w:val="00FB7EA3"/>
    <w:rsid w:val="00FC057A"/>
    <w:rsid w:val="00FC085B"/>
    <w:rsid w:val="00FC0A5D"/>
    <w:rsid w:val="00FC0CE3"/>
    <w:rsid w:val="00FC0D91"/>
    <w:rsid w:val="00FC0E31"/>
    <w:rsid w:val="00FC117E"/>
    <w:rsid w:val="00FC1388"/>
    <w:rsid w:val="00FC13A6"/>
    <w:rsid w:val="00FC1401"/>
    <w:rsid w:val="00FC18AF"/>
    <w:rsid w:val="00FC1ACE"/>
    <w:rsid w:val="00FC1AF7"/>
    <w:rsid w:val="00FC1E91"/>
    <w:rsid w:val="00FC207C"/>
    <w:rsid w:val="00FC2149"/>
    <w:rsid w:val="00FC232B"/>
    <w:rsid w:val="00FC23A0"/>
    <w:rsid w:val="00FC2426"/>
    <w:rsid w:val="00FC2483"/>
    <w:rsid w:val="00FC2606"/>
    <w:rsid w:val="00FC2B3C"/>
    <w:rsid w:val="00FC2B5E"/>
    <w:rsid w:val="00FC2B77"/>
    <w:rsid w:val="00FC2BA2"/>
    <w:rsid w:val="00FC2C44"/>
    <w:rsid w:val="00FC2E31"/>
    <w:rsid w:val="00FC31B2"/>
    <w:rsid w:val="00FC3377"/>
    <w:rsid w:val="00FC33C4"/>
    <w:rsid w:val="00FC3417"/>
    <w:rsid w:val="00FC356F"/>
    <w:rsid w:val="00FC39DC"/>
    <w:rsid w:val="00FC415B"/>
    <w:rsid w:val="00FC456E"/>
    <w:rsid w:val="00FC4BB3"/>
    <w:rsid w:val="00FC4F7C"/>
    <w:rsid w:val="00FC5228"/>
    <w:rsid w:val="00FC5563"/>
    <w:rsid w:val="00FC5567"/>
    <w:rsid w:val="00FC5646"/>
    <w:rsid w:val="00FC5A0C"/>
    <w:rsid w:val="00FC5ABB"/>
    <w:rsid w:val="00FC5AD1"/>
    <w:rsid w:val="00FC60E6"/>
    <w:rsid w:val="00FC6206"/>
    <w:rsid w:val="00FC6588"/>
    <w:rsid w:val="00FC6593"/>
    <w:rsid w:val="00FC66A8"/>
    <w:rsid w:val="00FC6890"/>
    <w:rsid w:val="00FC6919"/>
    <w:rsid w:val="00FC6997"/>
    <w:rsid w:val="00FC69D7"/>
    <w:rsid w:val="00FC6C5E"/>
    <w:rsid w:val="00FC6CB6"/>
    <w:rsid w:val="00FC6D7F"/>
    <w:rsid w:val="00FC6DBB"/>
    <w:rsid w:val="00FC6E4A"/>
    <w:rsid w:val="00FC70F1"/>
    <w:rsid w:val="00FC738B"/>
    <w:rsid w:val="00FC74A9"/>
    <w:rsid w:val="00FC762C"/>
    <w:rsid w:val="00FC780A"/>
    <w:rsid w:val="00FC79CE"/>
    <w:rsid w:val="00FC7BEA"/>
    <w:rsid w:val="00FD0348"/>
    <w:rsid w:val="00FD0674"/>
    <w:rsid w:val="00FD06EC"/>
    <w:rsid w:val="00FD082E"/>
    <w:rsid w:val="00FD0A0D"/>
    <w:rsid w:val="00FD12D9"/>
    <w:rsid w:val="00FD1456"/>
    <w:rsid w:val="00FD14F6"/>
    <w:rsid w:val="00FD164F"/>
    <w:rsid w:val="00FD1665"/>
    <w:rsid w:val="00FD1B34"/>
    <w:rsid w:val="00FD1C1D"/>
    <w:rsid w:val="00FD1D34"/>
    <w:rsid w:val="00FD1E84"/>
    <w:rsid w:val="00FD1F08"/>
    <w:rsid w:val="00FD2046"/>
    <w:rsid w:val="00FD2117"/>
    <w:rsid w:val="00FD22B4"/>
    <w:rsid w:val="00FD23AF"/>
    <w:rsid w:val="00FD23B4"/>
    <w:rsid w:val="00FD24A2"/>
    <w:rsid w:val="00FD25D5"/>
    <w:rsid w:val="00FD2F76"/>
    <w:rsid w:val="00FD3015"/>
    <w:rsid w:val="00FD3096"/>
    <w:rsid w:val="00FD3191"/>
    <w:rsid w:val="00FD32A5"/>
    <w:rsid w:val="00FD3308"/>
    <w:rsid w:val="00FD349C"/>
    <w:rsid w:val="00FD34D6"/>
    <w:rsid w:val="00FD3500"/>
    <w:rsid w:val="00FD3675"/>
    <w:rsid w:val="00FD36CB"/>
    <w:rsid w:val="00FD38C1"/>
    <w:rsid w:val="00FD3936"/>
    <w:rsid w:val="00FD3C17"/>
    <w:rsid w:val="00FD3F11"/>
    <w:rsid w:val="00FD4A99"/>
    <w:rsid w:val="00FD4C54"/>
    <w:rsid w:val="00FD4D1E"/>
    <w:rsid w:val="00FD4E8E"/>
    <w:rsid w:val="00FD514E"/>
    <w:rsid w:val="00FD58A0"/>
    <w:rsid w:val="00FD59DC"/>
    <w:rsid w:val="00FD5D75"/>
    <w:rsid w:val="00FD5E49"/>
    <w:rsid w:val="00FD636F"/>
    <w:rsid w:val="00FD6390"/>
    <w:rsid w:val="00FD63EB"/>
    <w:rsid w:val="00FD694F"/>
    <w:rsid w:val="00FD6A21"/>
    <w:rsid w:val="00FD6C1D"/>
    <w:rsid w:val="00FD6C4E"/>
    <w:rsid w:val="00FD6DC8"/>
    <w:rsid w:val="00FD6EAC"/>
    <w:rsid w:val="00FD709F"/>
    <w:rsid w:val="00FD734D"/>
    <w:rsid w:val="00FD7438"/>
    <w:rsid w:val="00FD78C9"/>
    <w:rsid w:val="00FD7A0B"/>
    <w:rsid w:val="00FE00F1"/>
    <w:rsid w:val="00FE0149"/>
    <w:rsid w:val="00FE01EC"/>
    <w:rsid w:val="00FE0246"/>
    <w:rsid w:val="00FE034E"/>
    <w:rsid w:val="00FE078C"/>
    <w:rsid w:val="00FE099F"/>
    <w:rsid w:val="00FE0C70"/>
    <w:rsid w:val="00FE0D58"/>
    <w:rsid w:val="00FE0F93"/>
    <w:rsid w:val="00FE12F0"/>
    <w:rsid w:val="00FE1594"/>
    <w:rsid w:val="00FE19A9"/>
    <w:rsid w:val="00FE1B71"/>
    <w:rsid w:val="00FE1B76"/>
    <w:rsid w:val="00FE1E10"/>
    <w:rsid w:val="00FE1E5B"/>
    <w:rsid w:val="00FE20A5"/>
    <w:rsid w:val="00FE281E"/>
    <w:rsid w:val="00FE2971"/>
    <w:rsid w:val="00FE2B91"/>
    <w:rsid w:val="00FE2E0A"/>
    <w:rsid w:val="00FE3078"/>
    <w:rsid w:val="00FE3243"/>
    <w:rsid w:val="00FE33C1"/>
    <w:rsid w:val="00FE35CE"/>
    <w:rsid w:val="00FE3937"/>
    <w:rsid w:val="00FE3A4B"/>
    <w:rsid w:val="00FE3ADF"/>
    <w:rsid w:val="00FE3C5E"/>
    <w:rsid w:val="00FE3CA2"/>
    <w:rsid w:val="00FE3E35"/>
    <w:rsid w:val="00FE3E40"/>
    <w:rsid w:val="00FE3EAE"/>
    <w:rsid w:val="00FE45A0"/>
    <w:rsid w:val="00FE465C"/>
    <w:rsid w:val="00FE4E1D"/>
    <w:rsid w:val="00FE4F42"/>
    <w:rsid w:val="00FE5185"/>
    <w:rsid w:val="00FE51C4"/>
    <w:rsid w:val="00FE520E"/>
    <w:rsid w:val="00FE52AE"/>
    <w:rsid w:val="00FE52E1"/>
    <w:rsid w:val="00FE531D"/>
    <w:rsid w:val="00FE5A3A"/>
    <w:rsid w:val="00FE5C2F"/>
    <w:rsid w:val="00FE6061"/>
    <w:rsid w:val="00FE60E9"/>
    <w:rsid w:val="00FE625B"/>
    <w:rsid w:val="00FE65C6"/>
    <w:rsid w:val="00FE6A38"/>
    <w:rsid w:val="00FE6BD0"/>
    <w:rsid w:val="00FE6D46"/>
    <w:rsid w:val="00FE6F0C"/>
    <w:rsid w:val="00FE6F37"/>
    <w:rsid w:val="00FE6FA6"/>
    <w:rsid w:val="00FE6FEE"/>
    <w:rsid w:val="00FE737F"/>
    <w:rsid w:val="00FE79D6"/>
    <w:rsid w:val="00FE7CFA"/>
    <w:rsid w:val="00FE7EF8"/>
    <w:rsid w:val="00FF01AF"/>
    <w:rsid w:val="00FF0949"/>
    <w:rsid w:val="00FF0BE7"/>
    <w:rsid w:val="00FF0DF1"/>
    <w:rsid w:val="00FF1128"/>
    <w:rsid w:val="00FF11AC"/>
    <w:rsid w:val="00FF1464"/>
    <w:rsid w:val="00FF1B67"/>
    <w:rsid w:val="00FF1CA3"/>
    <w:rsid w:val="00FF1CCC"/>
    <w:rsid w:val="00FF1F3D"/>
    <w:rsid w:val="00FF21B5"/>
    <w:rsid w:val="00FF22FB"/>
    <w:rsid w:val="00FF23D6"/>
    <w:rsid w:val="00FF250A"/>
    <w:rsid w:val="00FF27AC"/>
    <w:rsid w:val="00FF2870"/>
    <w:rsid w:val="00FF2C2E"/>
    <w:rsid w:val="00FF2FF1"/>
    <w:rsid w:val="00FF345E"/>
    <w:rsid w:val="00FF3AFE"/>
    <w:rsid w:val="00FF3FB2"/>
    <w:rsid w:val="00FF4224"/>
    <w:rsid w:val="00FF4492"/>
    <w:rsid w:val="00FF45A6"/>
    <w:rsid w:val="00FF46F6"/>
    <w:rsid w:val="00FF47C2"/>
    <w:rsid w:val="00FF496E"/>
    <w:rsid w:val="00FF4A78"/>
    <w:rsid w:val="00FF4BFA"/>
    <w:rsid w:val="00FF4FD8"/>
    <w:rsid w:val="00FF5283"/>
    <w:rsid w:val="00FF535C"/>
    <w:rsid w:val="00FF53D6"/>
    <w:rsid w:val="00FF574A"/>
    <w:rsid w:val="00FF59D5"/>
    <w:rsid w:val="00FF62ED"/>
    <w:rsid w:val="00FF6322"/>
    <w:rsid w:val="00FF6578"/>
    <w:rsid w:val="00FF663C"/>
    <w:rsid w:val="00FF6C92"/>
    <w:rsid w:val="00FF6D26"/>
    <w:rsid w:val="00FF6E2D"/>
    <w:rsid w:val="00FF6E81"/>
    <w:rsid w:val="00FF6F07"/>
    <w:rsid w:val="00FF720D"/>
    <w:rsid w:val="00FF7390"/>
    <w:rsid w:val="00FF74AE"/>
    <w:rsid w:val="00FF7BBC"/>
    <w:rsid w:val="00FF7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F11C7"/>
  <w15:docId w15:val="{0FF0607C-C9B6-4B51-92A3-C9561359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line="360" w:lineRule="auto"/>
        <w:ind w:firstLine="709"/>
        <w:jc w:val="both"/>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079"/>
    <w:rPr>
      <w:sz w:val="24"/>
      <w:szCs w:val="24"/>
    </w:rPr>
  </w:style>
  <w:style w:type="paragraph" w:styleId="1">
    <w:name w:val="heading 1"/>
    <w:basedOn w:val="a"/>
    <w:next w:val="a"/>
    <w:link w:val="10"/>
    <w:uiPriority w:val="99"/>
    <w:qFormat/>
    <w:rsid w:val="00C63364"/>
    <w:pPr>
      <w:autoSpaceDE w:val="0"/>
      <w:autoSpaceDN w:val="0"/>
      <w:adjustRightInd w:val="0"/>
      <w:spacing w:before="108" w:after="108"/>
      <w:jc w:val="center"/>
      <w:outlineLvl w:val="0"/>
    </w:pPr>
    <w:rPr>
      <w:rFonts w:ascii="Arial" w:hAnsi="Arial"/>
      <w:b/>
      <w:bCs/>
      <w:color w:val="000080"/>
    </w:rPr>
  </w:style>
  <w:style w:type="paragraph" w:styleId="3">
    <w:name w:val="heading 3"/>
    <w:basedOn w:val="a"/>
    <w:next w:val="a"/>
    <w:link w:val="30"/>
    <w:uiPriority w:val="99"/>
    <w:unhideWhenUsed/>
    <w:qFormat/>
    <w:rsid w:val="009505B8"/>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3825E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825E8"/>
    <w:rPr>
      <w:rFonts w:ascii="Arial" w:hAnsi="Arial"/>
      <w:b/>
      <w:bCs/>
      <w:color w:val="000080"/>
      <w:sz w:val="24"/>
      <w:szCs w:val="24"/>
    </w:rPr>
  </w:style>
  <w:style w:type="character" w:customStyle="1" w:styleId="30">
    <w:name w:val="Заголовок 3 Знак"/>
    <w:link w:val="3"/>
    <w:uiPriority w:val="99"/>
    <w:rsid w:val="009505B8"/>
    <w:rPr>
      <w:rFonts w:ascii="Cambria" w:eastAsia="Times New Roman" w:hAnsi="Cambria" w:cs="Times New Roman"/>
      <w:b/>
      <w:bCs/>
      <w:sz w:val="26"/>
      <w:szCs w:val="26"/>
    </w:rPr>
  </w:style>
  <w:style w:type="character" w:customStyle="1" w:styleId="60">
    <w:name w:val="Заголовок 6 Знак"/>
    <w:link w:val="6"/>
    <w:uiPriority w:val="99"/>
    <w:rsid w:val="003825E8"/>
    <w:rPr>
      <w:b/>
      <w:bCs/>
      <w:sz w:val="22"/>
      <w:szCs w:val="22"/>
    </w:rPr>
  </w:style>
  <w:style w:type="paragraph" w:customStyle="1" w:styleId="a3">
    <w:name w:val="Знак Знак Знак Знак"/>
    <w:basedOn w:val="a"/>
    <w:uiPriority w:val="99"/>
    <w:rsid w:val="009F7ADD"/>
    <w:pPr>
      <w:spacing w:after="160" w:line="240" w:lineRule="exact"/>
    </w:pPr>
    <w:rPr>
      <w:rFonts w:ascii="Verdana" w:hAnsi="Verdana"/>
      <w:sz w:val="20"/>
      <w:szCs w:val="20"/>
      <w:lang w:val="en-US" w:eastAsia="en-US"/>
    </w:rPr>
  </w:style>
  <w:style w:type="paragraph" w:styleId="a4">
    <w:name w:val="Title"/>
    <w:basedOn w:val="a"/>
    <w:link w:val="a5"/>
    <w:qFormat/>
    <w:rsid w:val="009F7ADD"/>
    <w:pPr>
      <w:jc w:val="center"/>
    </w:pPr>
    <w:rPr>
      <w:b/>
      <w:bCs/>
      <w:color w:val="000000"/>
      <w:sz w:val="28"/>
      <w:szCs w:val="28"/>
    </w:rPr>
  </w:style>
  <w:style w:type="character" w:customStyle="1" w:styleId="a5">
    <w:name w:val="Заголовок Знак"/>
    <w:link w:val="a4"/>
    <w:locked/>
    <w:rsid w:val="009F7ADD"/>
    <w:rPr>
      <w:b/>
      <w:bCs/>
      <w:color w:val="000000"/>
      <w:sz w:val="28"/>
      <w:szCs w:val="28"/>
      <w:lang w:val="ru-RU" w:eastAsia="ru-RU" w:bidi="ar-SA"/>
    </w:rPr>
  </w:style>
  <w:style w:type="paragraph" w:styleId="a6">
    <w:name w:val="Body Text"/>
    <w:basedOn w:val="a"/>
    <w:link w:val="a7"/>
    <w:uiPriority w:val="99"/>
    <w:rsid w:val="00DC5980"/>
    <w:pPr>
      <w:spacing w:after="120"/>
    </w:pPr>
  </w:style>
  <w:style w:type="character" w:customStyle="1" w:styleId="a7">
    <w:name w:val="Основной текст Знак"/>
    <w:link w:val="a6"/>
    <w:uiPriority w:val="99"/>
    <w:locked/>
    <w:rsid w:val="00DC5980"/>
    <w:rPr>
      <w:sz w:val="24"/>
      <w:szCs w:val="24"/>
      <w:lang w:val="ru-RU" w:eastAsia="ru-RU" w:bidi="ar-SA"/>
    </w:rPr>
  </w:style>
  <w:style w:type="paragraph" w:styleId="a8">
    <w:name w:val="Block Text"/>
    <w:basedOn w:val="a"/>
    <w:rsid w:val="00A753C0"/>
    <w:pPr>
      <w:shd w:val="clear" w:color="auto" w:fill="FFFFFF"/>
      <w:ind w:left="58" w:right="-1" w:firstLine="730"/>
    </w:pPr>
    <w:rPr>
      <w:b/>
      <w:bCs/>
      <w:spacing w:val="-4"/>
    </w:rPr>
  </w:style>
  <w:style w:type="paragraph" w:customStyle="1" w:styleId="a9">
    <w:name w:val="Документ"/>
    <w:basedOn w:val="a"/>
    <w:link w:val="aa"/>
    <w:uiPriority w:val="99"/>
    <w:rsid w:val="000739A6"/>
    <w:rPr>
      <w:sz w:val="28"/>
      <w:szCs w:val="28"/>
    </w:rPr>
  </w:style>
  <w:style w:type="character" w:customStyle="1" w:styleId="aa">
    <w:name w:val="Документ Знак"/>
    <w:link w:val="a9"/>
    <w:uiPriority w:val="99"/>
    <w:rsid w:val="000739A6"/>
    <w:rPr>
      <w:sz w:val="28"/>
      <w:szCs w:val="28"/>
      <w:lang w:val="ru-RU" w:eastAsia="ru-RU" w:bidi="ar-SA"/>
    </w:rPr>
  </w:style>
  <w:style w:type="paragraph" w:customStyle="1" w:styleId="2">
    <w:name w:val="заголовок2"/>
    <w:basedOn w:val="20"/>
    <w:uiPriority w:val="99"/>
    <w:rsid w:val="000739A6"/>
    <w:pPr>
      <w:spacing w:after="0" w:line="240" w:lineRule="auto"/>
      <w:ind w:left="0"/>
    </w:pPr>
    <w:rPr>
      <w:b/>
      <w:bCs/>
      <w:sz w:val="28"/>
      <w:szCs w:val="28"/>
    </w:rPr>
  </w:style>
  <w:style w:type="paragraph" w:styleId="20">
    <w:name w:val="Body Text Indent 2"/>
    <w:basedOn w:val="a"/>
    <w:link w:val="21"/>
    <w:uiPriority w:val="99"/>
    <w:rsid w:val="000739A6"/>
    <w:pPr>
      <w:spacing w:after="120" w:line="480" w:lineRule="auto"/>
      <w:ind w:left="283"/>
    </w:pPr>
  </w:style>
  <w:style w:type="character" w:customStyle="1" w:styleId="21">
    <w:name w:val="Основной текст с отступом 2 Знак"/>
    <w:link w:val="20"/>
    <w:uiPriority w:val="99"/>
    <w:locked/>
    <w:rsid w:val="00732200"/>
    <w:rPr>
      <w:sz w:val="24"/>
      <w:szCs w:val="24"/>
    </w:rPr>
  </w:style>
  <w:style w:type="paragraph" w:styleId="ab">
    <w:name w:val="Normal (Web)"/>
    <w:aliases w:val="Обычный (Web)1"/>
    <w:basedOn w:val="a"/>
    <w:uiPriority w:val="99"/>
    <w:qFormat/>
    <w:rsid w:val="00454246"/>
    <w:pPr>
      <w:spacing w:before="100" w:beforeAutospacing="1" w:after="100" w:afterAutospacing="1"/>
    </w:pPr>
  </w:style>
  <w:style w:type="paragraph" w:styleId="31">
    <w:name w:val="Body Text Indent 3"/>
    <w:basedOn w:val="a"/>
    <w:link w:val="32"/>
    <w:uiPriority w:val="99"/>
    <w:rsid w:val="00137B04"/>
    <w:pPr>
      <w:spacing w:after="120"/>
      <w:ind w:left="283"/>
    </w:pPr>
    <w:rPr>
      <w:sz w:val="16"/>
      <w:szCs w:val="16"/>
    </w:rPr>
  </w:style>
  <w:style w:type="character" w:customStyle="1" w:styleId="32">
    <w:name w:val="Основной текст с отступом 3 Знак"/>
    <w:link w:val="31"/>
    <w:uiPriority w:val="99"/>
    <w:rsid w:val="00D118A1"/>
    <w:rPr>
      <w:sz w:val="16"/>
      <w:szCs w:val="16"/>
      <w:lang w:val="ru-RU" w:eastAsia="ru-RU" w:bidi="ar-SA"/>
    </w:rPr>
  </w:style>
  <w:style w:type="paragraph" w:styleId="ac">
    <w:name w:val="Body Text Indent"/>
    <w:aliases w:val="Основной текст 1"/>
    <w:basedOn w:val="a"/>
    <w:link w:val="ad"/>
    <w:uiPriority w:val="99"/>
    <w:rsid w:val="00137B04"/>
    <w:pPr>
      <w:spacing w:after="120"/>
      <w:ind w:left="283"/>
    </w:pPr>
  </w:style>
  <w:style w:type="character" w:customStyle="1" w:styleId="ad">
    <w:name w:val="Основной текст с отступом Знак"/>
    <w:aliases w:val="Основной текст 1 Знак"/>
    <w:link w:val="ac"/>
    <w:uiPriority w:val="99"/>
    <w:locked/>
    <w:rsid w:val="00137B04"/>
    <w:rPr>
      <w:sz w:val="24"/>
      <w:szCs w:val="24"/>
      <w:lang w:val="ru-RU" w:eastAsia="ru-RU" w:bidi="ar-SA"/>
    </w:rPr>
  </w:style>
  <w:style w:type="paragraph" w:styleId="ae">
    <w:name w:val="header"/>
    <w:basedOn w:val="a"/>
    <w:link w:val="af"/>
    <w:uiPriority w:val="99"/>
    <w:rsid w:val="006E58EA"/>
    <w:pPr>
      <w:tabs>
        <w:tab w:val="center" w:pos="4677"/>
        <w:tab w:val="right" w:pos="9355"/>
      </w:tabs>
    </w:pPr>
  </w:style>
  <w:style w:type="character" w:customStyle="1" w:styleId="af">
    <w:name w:val="Верхний колонтитул Знак"/>
    <w:link w:val="ae"/>
    <w:uiPriority w:val="99"/>
    <w:locked/>
    <w:rsid w:val="003825E8"/>
    <w:rPr>
      <w:sz w:val="24"/>
      <w:szCs w:val="24"/>
    </w:rPr>
  </w:style>
  <w:style w:type="character" w:styleId="af0">
    <w:name w:val="page number"/>
    <w:basedOn w:val="a0"/>
    <w:uiPriority w:val="99"/>
    <w:rsid w:val="006E58EA"/>
  </w:style>
  <w:style w:type="paragraph" w:customStyle="1" w:styleId="11">
    <w:name w:val="Знак1"/>
    <w:basedOn w:val="a"/>
    <w:rsid w:val="007D7DBB"/>
    <w:pPr>
      <w:spacing w:after="160" w:line="240" w:lineRule="exact"/>
    </w:pPr>
    <w:rPr>
      <w:rFonts w:ascii="Verdana" w:hAnsi="Verdana"/>
      <w:sz w:val="20"/>
      <w:szCs w:val="20"/>
      <w:lang w:val="en-US" w:eastAsia="en-US"/>
    </w:rPr>
  </w:style>
  <w:style w:type="paragraph" w:customStyle="1" w:styleId="af1">
    <w:name w:val="Знак Знак Знак"/>
    <w:basedOn w:val="a"/>
    <w:rsid w:val="00EC5D31"/>
    <w:pPr>
      <w:spacing w:after="160" w:line="240" w:lineRule="exact"/>
    </w:pPr>
    <w:rPr>
      <w:rFonts w:ascii="Verdana" w:hAnsi="Verdana"/>
      <w:sz w:val="20"/>
      <w:szCs w:val="20"/>
      <w:lang w:val="en-US" w:eastAsia="en-US"/>
    </w:rPr>
  </w:style>
  <w:style w:type="character" w:customStyle="1" w:styleId="12">
    <w:name w:val="Знак Знак1"/>
    <w:rsid w:val="00EC5D31"/>
    <w:rPr>
      <w:sz w:val="24"/>
      <w:szCs w:val="24"/>
      <w:lang w:val="ru-RU" w:eastAsia="ru-RU" w:bidi="ar-SA"/>
    </w:rPr>
  </w:style>
  <w:style w:type="paragraph" w:customStyle="1" w:styleId="13">
    <w:name w:val="Знак1"/>
    <w:basedOn w:val="a"/>
    <w:uiPriority w:val="99"/>
    <w:rsid w:val="00C75436"/>
    <w:pPr>
      <w:spacing w:after="160" w:line="240" w:lineRule="exact"/>
    </w:pPr>
    <w:rPr>
      <w:rFonts w:ascii="Verdana" w:hAnsi="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1B4971"/>
    <w:rPr>
      <w:rFonts w:ascii="Verdana" w:hAnsi="Verdana" w:cs="Verdana"/>
      <w:sz w:val="20"/>
      <w:szCs w:val="20"/>
      <w:lang w:val="en-US" w:eastAsia="en-US"/>
    </w:rPr>
  </w:style>
  <w:style w:type="paragraph" w:customStyle="1" w:styleId="rvps698610">
    <w:name w:val="rvps698610"/>
    <w:basedOn w:val="a"/>
    <w:rsid w:val="002C2A13"/>
    <w:pPr>
      <w:spacing w:after="150"/>
      <w:ind w:right="300"/>
    </w:pPr>
  </w:style>
  <w:style w:type="paragraph" w:styleId="af2">
    <w:name w:val="Document Map"/>
    <w:basedOn w:val="a"/>
    <w:link w:val="af3"/>
    <w:uiPriority w:val="99"/>
    <w:semiHidden/>
    <w:rsid w:val="001D54A0"/>
    <w:pPr>
      <w:shd w:val="clear" w:color="auto" w:fill="000080"/>
    </w:pPr>
    <w:rPr>
      <w:rFonts w:ascii="Tahoma" w:hAnsi="Tahoma" w:cs="Tahoma"/>
      <w:sz w:val="20"/>
      <w:szCs w:val="20"/>
    </w:rPr>
  </w:style>
  <w:style w:type="paragraph" w:styleId="af4">
    <w:name w:val="footer"/>
    <w:basedOn w:val="a"/>
    <w:link w:val="af5"/>
    <w:uiPriority w:val="99"/>
    <w:rsid w:val="008F409C"/>
    <w:pPr>
      <w:tabs>
        <w:tab w:val="center" w:pos="4677"/>
        <w:tab w:val="right" w:pos="9355"/>
      </w:tabs>
    </w:pPr>
  </w:style>
  <w:style w:type="character" w:customStyle="1" w:styleId="af5">
    <w:name w:val="Нижний колонтитул Знак"/>
    <w:link w:val="af4"/>
    <w:uiPriority w:val="99"/>
    <w:locked/>
    <w:rsid w:val="003825E8"/>
    <w:rPr>
      <w:sz w:val="24"/>
      <w:szCs w:val="24"/>
    </w:rPr>
  </w:style>
  <w:style w:type="paragraph" w:customStyle="1" w:styleId="ConsPlusNormal">
    <w:name w:val="ConsPlusNormal"/>
    <w:uiPriority w:val="99"/>
    <w:rsid w:val="000D01E1"/>
    <w:pPr>
      <w:autoSpaceDE w:val="0"/>
      <w:autoSpaceDN w:val="0"/>
      <w:adjustRightInd w:val="0"/>
      <w:ind w:firstLine="720"/>
    </w:pPr>
    <w:rPr>
      <w:rFonts w:ascii="Arial" w:eastAsia="Calibri" w:hAnsi="Arial" w:cs="Arial"/>
      <w:lang w:eastAsia="en-US"/>
    </w:rPr>
  </w:style>
  <w:style w:type="paragraph" w:customStyle="1" w:styleId="Default">
    <w:name w:val="Default"/>
    <w:rsid w:val="00CC3A9D"/>
    <w:pPr>
      <w:autoSpaceDE w:val="0"/>
      <w:autoSpaceDN w:val="0"/>
      <w:adjustRightInd w:val="0"/>
    </w:pPr>
    <w:rPr>
      <w:color w:val="000000"/>
      <w:sz w:val="24"/>
      <w:szCs w:val="24"/>
    </w:rPr>
  </w:style>
  <w:style w:type="character" w:customStyle="1" w:styleId="af6">
    <w:name w:val="Гипертекстовая ссылка"/>
    <w:uiPriority w:val="99"/>
    <w:rsid w:val="005E6852"/>
    <w:rPr>
      <w:color w:val="008000"/>
    </w:rPr>
  </w:style>
  <w:style w:type="paragraph" w:customStyle="1" w:styleId="af7">
    <w:name w:val="Комментарий"/>
    <w:basedOn w:val="a"/>
    <w:next w:val="a"/>
    <w:uiPriority w:val="99"/>
    <w:rsid w:val="00576B79"/>
    <w:pPr>
      <w:autoSpaceDE w:val="0"/>
      <w:autoSpaceDN w:val="0"/>
      <w:adjustRightInd w:val="0"/>
      <w:spacing w:before="75"/>
    </w:pPr>
    <w:rPr>
      <w:rFonts w:ascii="Arial" w:hAnsi="Arial" w:cs="Arial"/>
      <w:i/>
      <w:iCs/>
      <w:color w:val="800080"/>
    </w:rPr>
  </w:style>
  <w:style w:type="paragraph" w:styleId="af8">
    <w:name w:val="List Paragraph"/>
    <w:aliases w:val="ПАРАГРАФ,Bullet List,FooterText,numbered,Подпись рисунка,Маркированный список_уровень1,Абзац списка3,Цветной список - Акцент 11,СПИСОК,Второй абзац списка,Абзац списка11,Абзац списка для документа,Нумерация,lp1,A_маркированный_список,UL"/>
    <w:basedOn w:val="a"/>
    <w:link w:val="af9"/>
    <w:uiPriority w:val="34"/>
    <w:qFormat/>
    <w:rsid w:val="00E92559"/>
    <w:pPr>
      <w:spacing w:after="200" w:line="276" w:lineRule="auto"/>
      <w:ind w:left="720"/>
      <w:contextualSpacing/>
    </w:pPr>
    <w:rPr>
      <w:rFonts w:ascii="Calibri" w:eastAsia="Calibri" w:hAnsi="Calibri"/>
      <w:sz w:val="22"/>
      <w:szCs w:val="22"/>
      <w:lang w:eastAsia="en-US"/>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Основной текст без отступа"/>
    <w:basedOn w:val="a"/>
    <w:uiPriority w:val="99"/>
    <w:rsid w:val="0071343A"/>
    <w:pPr>
      <w:spacing w:after="120"/>
      <w:ind w:left="283"/>
    </w:pPr>
    <w:rPr>
      <w:szCs w:val="20"/>
    </w:rPr>
  </w:style>
  <w:style w:type="paragraph" w:customStyle="1" w:styleId="xl72">
    <w:name w:val="xl72"/>
    <w:basedOn w:val="a"/>
    <w:rsid w:val="0071343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styleId="afa">
    <w:name w:val="footnote text"/>
    <w:aliases w:val="single space,Footnote Text Char1 Char,Footnote Text Char Char Char,Footnote Text Char1 Char Char Char,Footnote Text Char Char Char Char Char,Footnote Text Char1 Char Char Char Char Char,Table_Footnote_last,Текст сноски-FN,footnote text,F1,F"/>
    <w:basedOn w:val="a"/>
    <w:link w:val="afb"/>
    <w:uiPriority w:val="99"/>
    <w:qFormat/>
    <w:rsid w:val="003825E8"/>
    <w:rPr>
      <w:sz w:val="20"/>
      <w:szCs w:val="20"/>
    </w:rPr>
  </w:style>
  <w:style w:type="character" w:customStyle="1" w:styleId="afb">
    <w:name w:val="Текст сноски Знак"/>
    <w:aliases w:val="single space Знак,Footnote Text Char1 Char Знак,Footnote Text Char Char Char Знак,Footnote Text Char1 Char Char Char Знак,Footnote Text Char Char Char Char Char Знак,Footnote Text Char1 Char Char Char Char Char Знак,footnote text Знак"/>
    <w:basedOn w:val="a0"/>
    <w:link w:val="afa"/>
    <w:uiPriority w:val="99"/>
    <w:qFormat/>
    <w:rsid w:val="003825E8"/>
  </w:style>
  <w:style w:type="character" w:styleId="afc">
    <w:name w:val="footnote reference"/>
    <w:aliases w:val="Знак сноски-FN,Ciae niinee-FN,Знак сноски 1,SUPERS,ftref,16 Point,Superscript 6 Point,текст сноски,Referencia nota al pie,Ссылка на сноску 45,Appel note de bas de page,fr,Used by Word for Help footnote symbols,Ciae niinee 1,анкета сноска,FZ"/>
    <w:uiPriority w:val="99"/>
    <w:qFormat/>
    <w:rsid w:val="003825E8"/>
    <w:rPr>
      <w:rFonts w:cs="Times New Roman"/>
      <w:vertAlign w:val="superscript"/>
    </w:rPr>
  </w:style>
  <w:style w:type="paragraph" w:customStyle="1" w:styleId="afd">
    <w:name w:val="Основной текст.Основной текст Знак"/>
    <w:basedOn w:val="a"/>
    <w:uiPriority w:val="99"/>
    <w:rsid w:val="003825E8"/>
    <w:rPr>
      <w:sz w:val="28"/>
      <w:szCs w:val="20"/>
    </w:rPr>
  </w:style>
  <w:style w:type="paragraph" w:customStyle="1" w:styleId="afe">
    <w:name w:val="Справка"/>
    <w:basedOn w:val="a"/>
    <w:autoRedefine/>
    <w:uiPriority w:val="99"/>
    <w:rsid w:val="003825E8"/>
  </w:style>
  <w:style w:type="paragraph" w:customStyle="1" w:styleId="CharChar0">
    <w:name w:val="Char Char"/>
    <w:basedOn w:val="a"/>
    <w:uiPriority w:val="99"/>
    <w:rsid w:val="003825E8"/>
    <w:pPr>
      <w:spacing w:after="160" w:line="240" w:lineRule="exact"/>
    </w:pPr>
    <w:rPr>
      <w:rFonts w:ascii="Verdana" w:hAnsi="Verdana"/>
      <w:sz w:val="20"/>
      <w:szCs w:val="20"/>
      <w:lang w:val="en-US" w:eastAsia="en-US"/>
    </w:rPr>
  </w:style>
  <w:style w:type="paragraph" w:customStyle="1" w:styleId="ConsTitle">
    <w:name w:val="ConsTitle"/>
    <w:uiPriority w:val="99"/>
    <w:rsid w:val="003825E8"/>
    <w:pPr>
      <w:widowControl w:val="0"/>
    </w:pPr>
    <w:rPr>
      <w:rFonts w:ascii="Arial" w:hAnsi="Arial"/>
      <w:b/>
      <w:sz w:val="16"/>
    </w:rPr>
  </w:style>
  <w:style w:type="paragraph" w:customStyle="1" w:styleId="120">
    <w:name w:val="Знак12"/>
    <w:basedOn w:val="a"/>
    <w:uiPriority w:val="99"/>
    <w:rsid w:val="003825E8"/>
    <w:pPr>
      <w:spacing w:after="160" w:line="240" w:lineRule="exact"/>
    </w:pPr>
    <w:rPr>
      <w:rFonts w:ascii="Verdana" w:hAnsi="Verdana"/>
      <w:sz w:val="20"/>
      <w:szCs w:val="20"/>
      <w:lang w:val="en-US" w:eastAsia="en-US"/>
    </w:rPr>
  </w:style>
  <w:style w:type="paragraph" w:styleId="aff">
    <w:name w:val="Balloon Text"/>
    <w:basedOn w:val="a"/>
    <w:link w:val="aff0"/>
    <w:uiPriority w:val="99"/>
    <w:rsid w:val="003825E8"/>
    <w:rPr>
      <w:rFonts w:ascii="Tahoma" w:hAnsi="Tahoma"/>
      <w:sz w:val="16"/>
      <w:szCs w:val="16"/>
    </w:rPr>
  </w:style>
  <w:style w:type="character" w:customStyle="1" w:styleId="aff0">
    <w:name w:val="Текст выноски Знак"/>
    <w:link w:val="aff"/>
    <w:uiPriority w:val="99"/>
    <w:rsid w:val="003825E8"/>
    <w:rPr>
      <w:rFonts w:ascii="Tahoma" w:hAnsi="Tahoma" w:cs="Tahoma"/>
      <w:sz w:val="16"/>
      <w:szCs w:val="16"/>
    </w:rPr>
  </w:style>
  <w:style w:type="paragraph" w:styleId="HTML">
    <w:name w:val="HTML Preformatted"/>
    <w:basedOn w:val="a"/>
    <w:link w:val="HTML0"/>
    <w:uiPriority w:val="99"/>
    <w:rsid w:val="00382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3825E8"/>
    <w:rPr>
      <w:rFonts w:ascii="Courier New" w:hAnsi="Courier New" w:cs="Courier New"/>
    </w:rPr>
  </w:style>
  <w:style w:type="paragraph" w:customStyle="1" w:styleId="aff1">
    <w:name w:val="Знак Знак Знак"/>
    <w:basedOn w:val="a"/>
    <w:uiPriority w:val="99"/>
    <w:rsid w:val="003825E8"/>
    <w:pPr>
      <w:spacing w:after="160" w:line="240" w:lineRule="exact"/>
    </w:pPr>
    <w:rPr>
      <w:rFonts w:ascii="Verdana" w:hAnsi="Verdana"/>
      <w:sz w:val="20"/>
      <w:szCs w:val="20"/>
      <w:lang w:val="en-US" w:eastAsia="en-US"/>
    </w:rPr>
  </w:style>
  <w:style w:type="paragraph" w:styleId="22">
    <w:name w:val="Body Text 2"/>
    <w:basedOn w:val="a"/>
    <w:link w:val="23"/>
    <w:uiPriority w:val="99"/>
    <w:rsid w:val="003825E8"/>
    <w:pPr>
      <w:spacing w:after="120" w:line="480" w:lineRule="auto"/>
    </w:pPr>
  </w:style>
  <w:style w:type="character" w:customStyle="1" w:styleId="23">
    <w:name w:val="Основной текст 2 Знак"/>
    <w:link w:val="22"/>
    <w:uiPriority w:val="99"/>
    <w:rsid w:val="003825E8"/>
    <w:rPr>
      <w:sz w:val="24"/>
      <w:szCs w:val="24"/>
    </w:rPr>
  </w:style>
  <w:style w:type="paragraph" w:styleId="33">
    <w:name w:val="Body Text 3"/>
    <w:basedOn w:val="a"/>
    <w:link w:val="34"/>
    <w:uiPriority w:val="99"/>
    <w:rsid w:val="003825E8"/>
    <w:pPr>
      <w:spacing w:after="120" w:line="276" w:lineRule="auto"/>
    </w:pPr>
    <w:rPr>
      <w:rFonts w:ascii="Calibri" w:hAnsi="Calibri"/>
      <w:sz w:val="16"/>
      <w:szCs w:val="16"/>
      <w:lang w:eastAsia="en-US"/>
    </w:rPr>
  </w:style>
  <w:style w:type="character" w:customStyle="1" w:styleId="34">
    <w:name w:val="Основной текст 3 Знак"/>
    <w:link w:val="33"/>
    <w:uiPriority w:val="99"/>
    <w:rsid w:val="003825E8"/>
    <w:rPr>
      <w:rFonts w:ascii="Calibri" w:hAnsi="Calibri"/>
      <w:sz w:val="16"/>
      <w:szCs w:val="16"/>
      <w:lang w:eastAsia="en-US"/>
    </w:rPr>
  </w:style>
  <w:style w:type="paragraph" w:styleId="24">
    <w:name w:val="List 2"/>
    <w:basedOn w:val="a"/>
    <w:unhideWhenUsed/>
    <w:rsid w:val="003825E8"/>
    <w:pPr>
      <w:ind w:left="566" w:hanging="283"/>
    </w:pPr>
  </w:style>
  <w:style w:type="paragraph" w:styleId="aff2">
    <w:name w:val="Normal Indent"/>
    <w:basedOn w:val="a"/>
    <w:uiPriority w:val="99"/>
    <w:rsid w:val="003825E8"/>
    <w:pPr>
      <w:widowControl w:val="0"/>
      <w:ind w:firstLine="851"/>
    </w:pPr>
    <w:rPr>
      <w:kern w:val="32"/>
      <w:szCs w:val="20"/>
    </w:rPr>
  </w:style>
  <w:style w:type="character" w:customStyle="1" w:styleId="14">
    <w:name w:val="Знак Знак1"/>
    <w:uiPriority w:val="99"/>
    <w:rsid w:val="003825E8"/>
    <w:rPr>
      <w:rFonts w:ascii="Times New Roman" w:hAnsi="Times New Roman" w:cs="Times New Roman"/>
    </w:rPr>
  </w:style>
  <w:style w:type="paragraph" w:customStyle="1" w:styleId="aff3">
    <w:name w:val="На номер"/>
    <w:basedOn w:val="a"/>
    <w:uiPriority w:val="99"/>
    <w:rsid w:val="003825E8"/>
    <w:pPr>
      <w:overflowPunct w:val="0"/>
      <w:autoSpaceDE w:val="0"/>
      <w:autoSpaceDN w:val="0"/>
      <w:adjustRightInd w:val="0"/>
      <w:textAlignment w:val="baseline"/>
    </w:pPr>
  </w:style>
  <w:style w:type="character" w:customStyle="1" w:styleId="hps">
    <w:name w:val="hps"/>
    <w:uiPriority w:val="99"/>
    <w:rsid w:val="003825E8"/>
    <w:rPr>
      <w:rFonts w:cs="Times New Roman"/>
    </w:rPr>
  </w:style>
  <w:style w:type="character" w:customStyle="1" w:styleId="hpsatn">
    <w:name w:val="hps atn"/>
    <w:uiPriority w:val="99"/>
    <w:rsid w:val="003825E8"/>
    <w:rPr>
      <w:rFonts w:cs="Times New Roman"/>
    </w:rPr>
  </w:style>
  <w:style w:type="paragraph" w:customStyle="1" w:styleId="15">
    <w:name w:val="Обычный1"/>
    <w:uiPriority w:val="99"/>
    <w:rsid w:val="003825E8"/>
    <w:pPr>
      <w:widowControl w:val="0"/>
      <w:snapToGrid w:val="0"/>
    </w:pPr>
    <w:rPr>
      <w:rFonts w:ascii="Courier New" w:hAnsi="Courier New"/>
    </w:rPr>
  </w:style>
  <w:style w:type="paragraph" w:customStyle="1" w:styleId="16">
    <w:name w:val="Абзац списка1"/>
    <w:basedOn w:val="a"/>
    <w:uiPriority w:val="99"/>
    <w:rsid w:val="003825E8"/>
    <w:pPr>
      <w:spacing w:after="200" w:line="276" w:lineRule="auto"/>
      <w:ind w:left="720"/>
    </w:pPr>
    <w:rPr>
      <w:sz w:val="28"/>
      <w:szCs w:val="28"/>
      <w:lang w:eastAsia="en-US"/>
    </w:rPr>
  </w:style>
  <w:style w:type="paragraph" w:customStyle="1" w:styleId="CharChar1">
    <w:name w:val="Char Char1"/>
    <w:basedOn w:val="a"/>
    <w:uiPriority w:val="99"/>
    <w:rsid w:val="003825E8"/>
    <w:pPr>
      <w:spacing w:after="160" w:line="240" w:lineRule="exact"/>
    </w:pPr>
    <w:rPr>
      <w:rFonts w:ascii="Verdana" w:hAnsi="Verdana"/>
      <w:sz w:val="20"/>
      <w:szCs w:val="20"/>
      <w:lang w:val="en-US" w:eastAsia="en-US"/>
    </w:rPr>
  </w:style>
  <w:style w:type="paragraph" w:customStyle="1" w:styleId="110">
    <w:name w:val="Знак11"/>
    <w:basedOn w:val="a"/>
    <w:uiPriority w:val="99"/>
    <w:rsid w:val="003825E8"/>
    <w:pPr>
      <w:spacing w:after="160" w:line="240" w:lineRule="exact"/>
    </w:pPr>
    <w:rPr>
      <w:rFonts w:ascii="Verdana" w:hAnsi="Verdana"/>
      <w:sz w:val="20"/>
      <w:szCs w:val="20"/>
      <w:lang w:val="en-US" w:eastAsia="en-US"/>
    </w:rPr>
  </w:style>
  <w:style w:type="paragraph" w:customStyle="1" w:styleId="17">
    <w:name w:val="Знак Знак Знак1"/>
    <w:basedOn w:val="a"/>
    <w:uiPriority w:val="99"/>
    <w:rsid w:val="003825E8"/>
    <w:pPr>
      <w:spacing w:after="160" w:line="240" w:lineRule="exact"/>
    </w:pPr>
    <w:rPr>
      <w:rFonts w:ascii="Verdana" w:hAnsi="Verdana"/>
      <w:sz w:val="20"/>
      <w:szCs w:val="20"/>
      <w:lang w:val="en-US" w:eastAsia="en-US"/>
    </w:rPr>
  </w:style>
  <w:style w:type="character" w:customStyle="1" w:styleId="111">
    <w:name w:val="Знак Знак11"/>
    <w:uiPriority w:val="99"/>
    <w:rsid w:val="003825E8"/>
    <w:rPr>
      <w:rFonts w:ascii="Times New Roman" w:hAnsi="Times New Roman" w:cs="Times New Roman"/>
    </w:rPr>
  </w:style>
  <w:style w:type="table" w:styleId="aff4">
    <w:name w:val="Table Grid"/>
    <w:aliases w:val="ЭЭГ - Сетка таблицы"/>
    <w:basedOn w:val="a1"/>
    <w:uiPriority w:val="59"/>
    <w:rsid w:val="00DA06A9"/>
    <w:rPr>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ff5">
    <w:name w:val="ЭЭГ"/>
    <w:basedOn w:val="a"/>
    <w:uiPriority w:val="99"/>
    <w:rsid w:val="001F2F43"/>
    <w:pPr>
      <w:ind w:firstLine="720"/>
    </w:pPr>
  </w:style>
  <w:style w:type="paragraph" w:customStyle="1" w:styleId="121">
    <w:name w:val="Обычный12"/>
    <w:uiPriority w:val="99"/>
    <w:rsid w:val="00C24B23"/>
    <w:rPr>
      <w:rFonts w:eastAsia="Calibri"/>
    </w:rPr>
  </w:style>
  <w:style w:type="character" w:customStyle="1" w:styleId="aff6">
    <w:name w:val="Цветовое выделение"/>
    <w:uiPriority w:val="99"/>
    <w:rsid w:val="00461D9B"/>
    <w:rPr>
      <w:b/>
      <w:bCs/>
      <w:color w:val="26282F"/>
      <w:sz w:val="26"/>
      <w:szCs w:val="26"/>
    </w:rPr>
  </w:style>
  <w:style w:type="paragraph" w:customStyle="1" w:styleId="aff7">
    <w:name w:val="Заголовок статьи"/>
    <w:basedOn w:val="a"/>
    <w:next w:val="a"/>
    <w:uiPriority w:val="99"/>
    <w:rsid w:val="00461D9B"/>
    <w:pPr>
      <w:autoSpaceDE w:val="0"/>
      <w:autoSpaceDN w:val="0"/>
      <w:adjustRightInd w:val="0"/>
      <w:ind w:left="1612" w:hanging="892"/>
    </w:pPr>
    <w:rPr>
      <w:rFonts w:ascii="Arial" w:hAnsi="Arial" w:cs="Arial"/>
    </w:rPr>
  </w:style>
  <w:style w:type="character" w:customStyle="1" w:styleId="aff8">
    <w:name w:val="Утратил силу"/>
    <w:basedOn w:val="aff6"/>
    <w:uiPriority w:val="99"/>
    <w:rsid w:val="009C61AC"/>
    <w:rPr>
      <w:b/>
      <w:bCs/>
      <w:strike/>
      <w:color w:val="666600"/>
      <w:sz w:val="26"/>
      <w:szCs w:val="26"/>
    </w:rPr>
  </w:style>
  <w:style w:type="character" w:customStyle="1" w:styleId="18">
    <w:name w:val="Основной текст Знак1"/>
    <w:basedOn w:val="a0"/>
    <w:uiPriority w:val="99"/>
    <w:locked/>
    <w:rsid w:val="00FA5302"/>
    <w:rPr>
      <w:rFonts w:ascii="Times New Roman" w:hAnsi="Times New Roman" w:cs="Times New Roman" w:hint="default"/>
      <w:sz w:val="23"/>
      <w:szCs w:val="23"/>
      <w:shd w:val="clear" w:color="auto" w:fill="FFFFFF"/>
    </w:rPr>
  </w:style>
  <w:style w:type="character" w:customStyle="1" w:styleId="19">
    <w:name w:val="Текст сноски Знак1"/>
    <w:aliases w:val="single space Знак1,footnote text Знак1,Footnote Text Char1 Char Знак1,Footnote Text Char Char Char Знак1,Footnote Text Char1 Char Char Char Знак1,Footnote Text Char Char Char Char Char Знак1,Table_Footnote_last Знак,F1 Знак1"/>
    <w:basedOn w:val="a0"/>
    <w:uiPriority w:val="99"/>
    <w:semiHidden/>
    <w:rsid w:val="00F976C9"/>
  </w:style>
  <w:style w:type="paragraph" w:customStyle="1" w:styleId="25">
    <w:name w:val="Обычный2"/>
    <w:uiPriority w:val="99"/>
    <w:rsid w:val="00F976C9"/>
    <w:pPr>
      <w:widowControl w:val="0"/>
      <w:snapToGrid w:val="0"/>
    </w:pPr>
    <w:rPr>
      <w:rFonts w:ascii="Courier New" w:hAnsi="Courier New"/>
    </w:rPr>
  </w:style>
  <w:style w:type="paragraph" w:customStyle="1" w:styleId="26">
    <w:name w:val="Абзац списка2"/>
    <w:basedOn w:val="a"/>
    <w:uiPriority w:val="99"/>
    <w:rsid w:val="00F976C9"/>
    <w:pPr>
      <w:spacing w:after="200" w:line="276" w:lineRule="auto"/>
      <w:ind w:left="720"/>
    </w:pPr>
    <w:rPr>
      <w:rFonts w:ascii="Calibri" w:hAnsi="Calibri"/>
      <w:sz w:val="22"/>
      <w:szCs w:val="22"/>
      <w:lang w:eastAsia="en-US"/>
    </w:rPr>
  </w:style>
  <w:style w:type="character" w:customStyle="1" w:styleId="aff9">
    <w:name w:val="Основной текст Знак Знак Знак"/>
    <w:basedOn w:val="a0"/>
    <w:uiPriority w:val="99"/>
    <w:semiHidden/>
    <w:locked/>
    <w:rsid w:val="00F976C9"/>
    <w:rPr>
      <w:sz w:val="24"/>
      <w:szCs w:val="24"/>
    </w:rPr>
  </w:style>
  <w:style w:type="character" w:customStyle="1" w:styleId="affa">
    <w:name w:val="Основной текст_"/>
    <w:link w:val="35"/>
    <w:uiPriority w:val="99"/>
    <w:locked/>
    <w:rsid w:val="001B351D"/>
    <w:rPr>
      <w:sz w:val="26"/>
      <w:szCs w:val="26"/>
      <w:shd w:val="clear" w:color="auto" w:fill="FFFFFF"/>
    </w:rPr>
  </w:style>
  <w:style w:type="paragraph" w:customStyle="1" w:styleId="35">
    <w:name w:val="Основной текст3"/>
    <w:basedOn w:val="a"/>
    <w:link w:val="affa"/>
    <w:uiPriority w:val="99"/>
    <w:rsid w:val="001B351D"/>
    <w:pPr>
      <w:widowControl w:val="0"/>
      <w:shd w:val="clear" w:color="auto" w:fill="FFFFFF"/>
      <w:spacing w:line="480" w:lineRule="exact"/>
    </w:pPr>
    <w:rPr>
      <w:sz w:val="26"/>
      <w:szCs w:val="26"/>
    </w:rPr>
  </w:style>
  <w:style w:type="character" w:styleId="affb">
    <w:name w:val="Hyperlink"/>
    <w:basedOn w:val="a0"/>
    <w:uiPriority w:val="99"/>
    <w:unhideWhenUsed/>
    <w:rsid w:val="00B9151F"/>
    <w:rPr>
      <w:color w:val="0000FF"/>
      <w:u w:val="single"/>
    </w:rPr>
  </w:style>
  <w:style w:type="character" w:styleId="affc">
    <w:name w:val="annotation reference"/>
    <w:basedOn w:val="a0"/>
    <w:uiPriority w:val="99"/>
    <w:rsid w:val="00BA49F5"/>
    <w:rPr>
      <w:sz w:val="16"/>
      <w:szCs w:val="16"/>
    </w:rPr>
  </w:style>
  <w:style w:type="paragraph" w:styleId="affd">
    <w:name w:val="annotation text"/>
    <w:basedOn w:val="a"/>
    <w:link w:val="affe"/>
    <w:uiPriority w:val="99"/>
    <w:rsid w:val="00BA49F5"/>
    <w:rPr>
      <w:sz w:val="20"/>
      <w:szCs w:val="20"/>
    </w:rPr>
  </w:style>
  <w:style w:type="character" w:customStyle="1" w:styleId="affe">
    <w:name w:val="Текст примечания Знак"/>
    <w:basedOn w:val="a0"/>
    <w:link w:val="affd"/>
    <w:uiPriority w:val="99"/>
    <w:rsid w:val="00BA49F5"/>
  </w:style>
  <w:style w:type="paragraph" w:styleId="afff">
    <w:name w:val="annotation subject"/>
    <w:basedOn w:val="affd"/>
    <w:next w:val="affd"/>
    <w:link w:val="afff0"/>
    <w:uiPriority w:val="99"/>
    <w:rsid w:val="00BA49F5"/>
    <w:rPr>
      <w:b/>
      <w:bCs/>
    </w:rPr>
  </w:style>
  <w:style w:type="character" w:customStyle="1" w:styleId="afff0">
    <w:name w:val="Тема примечания Знак"/>
    <w:basedOn w:val="affe"/>
    <w:link w:val="afff"/>
    <w:uiPriority w:val="99"/>
    <w:rsid w:val="00BA49F5"/>
    <w:rPr>
      <w:b/>
      <w:bCs/>
    </w:rPr>
  </w:style>
  <w:style w:type="character" w:customStyle="1" w:styleId="BodyTextIndent2">
    <w:name w:val="Body Text Indent 2 Знак Знак"/>
    <w:basedOn w:val="a0"/>
    <w:link w:val="BodyTextIndent20"/>
    <w:uiPriority w:val="99"/>
    <w:locked/>
    <w:rsid w:val="005053A3"/>
    <w:rPr>
      <w:sz w:val="28"/>
    </w:rPr>
  </w:style>
  <w:style w:type="paragraph" w:customStyle="1" w:styleId="BodyTextIndent20">
    <w:name w:val="Body Text Indent 2 Знак"/>
    <w:basedOn w:val="a"/>
    <w:link w:val="BodyTextIndent2"/>
    <w:uiPriority w:val="99"/>
    <w:rsid w:val="005053A3"/>
    <w:pPr>
      <w:widowControl w:val="0"/>
      <w:ind w:firstLine="720"/>
    </w:pPr>
    <w:rPr>
      <w:sz w:val="28"/>
      <w:szCs w:val="20"/>
    </w:rPr>
  </w:style>
  <w:style w:type="numbering" w:customStyle="1" w:styleId="1a">
    <w:name w:val="Нет списка1"/>
    <w:next w:val="a2"/>
    <w:uiPriority w:val="99"/>
    <w:semiHidden/>
    <w:unhideWhenUsed/>
    <w:rsid w:val="00DA009E"/>
  </w:style>
  <w:style w:type="character" w:styleId="afff1">
    <w:name w:val="FollowedHyperlink"/>
    <w:basedOn w:val="a0"/>
    <w:uiPriority w:val="99"/>
    <w:rsid w:val="00DA009E"/>
    <w:rPr>
      <w:rFonts w:cs="Times New Roman"/>
      <w:color w:val="800080"/>
      <w:u w:val="single"/>
    </w:rPr>
  </w:style>
  <w:style w:type="character" w:customStyle="1" w:styleId="FootnoteTextChar">
    <w:name w:val="Footnote Text Char"/>
    <w:aliases w:val="single space Char,Footnote Text Char1 Char Char,Footnote Text Char Char Char Char,Footnote Text Char1 Char Char Char Char,Footnote Text Char Char Char Char Char Char,Footnote Text Char1 Char Char Char Char Char Char,footnote text Cha"/>
    <w:uiPriority w:val="99"/>
    <w:semiHidden/>
    <w:locked/>
    <w:rsid w:val="00DA009E"/>
    <w:rPr>
      <w:rFonts w:ascii="Times New Roman" w:hAnsi="Times New Roman" w:cs="Times New Roman"/>
      <w:sz w:val="20"/>
      <w:szCs w:val="20"/>
      <w:lang w:eastAsia="ru-RU"/>
    </w:rPr>
  </w:style>
  <w:style w:type="character" w:customStyle="1" w:styleId="FootnoteTextChar1">
    <w:name w:val="Footnote Text Char1"/>
    <w:aliases w:val="single space Char1,Footnote Text Char1 Char Char1,Footnote Text Char Char Char Char1,Footnote Text Char1 Char Char Char Char1,Footnote Text Char Char Char Char Char Char1,Footnote Text Char1 Char Char Char Char Char Char1,F1 Char"/>
    <w:basedOn w:val="a0"/>
    <w:uiPriority w:val="99"/>
    <w:semiHidden/>
    <w:rsid w:val="00DA009E"/>
    <w:rPr>
      <w:rFonts w:ascii="Times New Roman" w:eastAsia="Times New Roman" w:hAnsi="Times New Roman"/>
      <w:sz w:val="20"/>
      <w:szCs w:val="20"/>
    </w:rPr>
  </w:style>
  <w:style w:type="character" w:customStyle="1" w:styleId="CommentTextChar">
    <w:name w:val="Comment Text Char"/>
    <w:uiPriority w:val="99"/>
    <w:semiHidden/>
    <w:locked/>
    <w:rsid w:val="00DA009E"/>
    <w:rPr>
      <w:rFonts w:ascii="Times New Roman" w:hAnsi="Times New Roman" w:cs="Times New Roman"/>
      <w:sz w:val="20"/>
      <w:szCs w:val="20"/>
      <w:lang w:eastAsia="ru-RU"/>
    </w:rPr>
  </w:style>
  <w:style w:type="character" w:customStyle="1" w:styleId="HeaderChar">
    <w:name w:val="Header Char"/>
    <w:uiPriority w:val="99"/>
    <w:semiHidden/>
    <w:locked/>
    <w:rsid w:val="00DA009E"/>
    <w:rPr>
      <w:rFonts w:cs="Times New Roman"/>
      <w:sz w:val="24"/>
      <w:szCs w:val="24"/>
    </w:rPr>
  </w:style>
  <w:style w:type="character" w:customStyle="1" w:styleId="FooterChar">
    <w:name w:val="Footer Char"/>
    <w:uiPriority w:val="99"/>
    <w:semiHidden/>
    <w:locked/>
    <w:rsid w:val="00DA009E"/>
    <w:rPr>
      <w:rFonts w:cs="Times New Roman"/>
      <w:sz w:val="24"/>
      <w:szCs w:val="24"/>
    </w:rPr>
  </w:style>
  <w:style w:type="character" w:customStyle="1" w:styleId="TitleChar">
    <w:name w:val="Title Char"/>
    <w:uiPriority w:val="99"/>
    <w:locked/>
    <w:rsid w:val="00DA009E"/>
    <w:rPr>
      <w:rFonts w:cs="Times New Roman"/>
      <w:b/>
      <w:bCs/>
      <w:color w:val="000000"/>
      <w:sz w:val="28"/>
      <w:szCs w:val="28"/>
    </w:rPr>
  </w:style>
  <w:style w:type="character" w:customStyle="1" w:styleId="BodyTextChar">
    <w:name w:val="Body Text Char"/>
    <w:uiPriority w:val="99"/>
    <w:semiHidden/>
    <w:locked/>
    <w:rsid w:val="00DA009E"/>
    <w:rPr>
      <w:rFonts w:cs="Times New Roman"/>
      <w:sz w:val="24"/>
      <w:szCs w:val="24"/>
    </w:rPr>
  </w:style>
  <w:style w:type="character" w:customStyle="1" w:styleId="BodyTextIndentChar">
    <w:name w:val="Body Text Indent Char"/>
    <w:aliases w:val="Основной текст 1 Char"/>
    <w:uiPriority w:val="99"/>
    <w:semiHidden/>
    <w:locked/>
    <w:rsid w:val="00DA009E"/>
    <w:rPr>
      <w:rFonts w:cs="Times New Roman"/>
      <w:sz w:val="24"/>
      <w:szCs w:val="24"/>
    </w:rPr>
  </w:style>
  <w:style w:type="character" w:customStyle="1" w:styleId="BodyTextIndentChar1">
    <w:name w:val="Body Text Indent Char1"/>
    <w:aliases w:val="Основной текст 1 Char1"/>
    <w:basedOn w:val="a0"/>
    <w:uiPriority w:val="99"/>
    <w:semiHidden/>
    <w:rsid w:val="00DA009E"/>
    <w:rPr>
      <w:rFonts w:ascii="Times New Roman" w:eastAsia="Times New Roman" w:hAnsi="Times New Roman"/>
      <w:sz w:val="24"/>
      <w:szCs w:val="24"/>
    </w:rPr>
  </w:style>
  <w:style w:type="character" w:customStyle="1" w:styleId="BodyText2Char">
    <w:name w:val="Body Text 2 Char"/>
    <w:uiPriority w:val="99"/>
    <w:semiHidden/>
    <w:locked/>
    <w:rsid w:val="00DA009E"/>
    <w:rPr>
      <w:rFonts w:cs="Times New Roman"/>
      <w:sz w:val="24"/>
      <w:szCs w:val="24"/>
    </w:rPr>
  </w:style>
  <w:style w:type="character" w:customStyle="1" w:styleId="BodyText3Char">
    <w:name w:val="Body Text 3 Char"/>
    <w:uiPriority w:val="99"/>
    <w:semiHidden/>
    <w:locked/>
    <w:rsid w:val="00DA009E"/>
    <w:rPr>
      <w:rFonts w:ascii="Calibri" w:hAnsi="Calibri" w:cs="Times New Roman"/>
      <w:sz w:val="16"/>
      <w:szCs w:val="16"/>
    </w:rPr>
  </w:style>
  <w:style w:type="character" w:customStyle="1" w:styleId="BodyTextIndent2Char">
    <w:name w:val="Body Text Indent 2 Char"/>
    <w:uiPriority w:val="99"/>
    <w:semiHidden/>
    <w:locked/>
    <w:rsid w:val="00DA009E"/>
    <w:rPr>
      <w:rFonts w:cs="Times New Roman"/>
      <w:sz w:val="24"/>
      <w:szCs w:val="24"/>
    </w:rPr>
  </w:style>
  <w:style w:type="character" w:customStyle="1" w:styleId="BodyTextIndent3Char">
    <w:name w:val="Body Text Indent 3 Char"/>
    <w:uiPriority w:val="99"/>
    <w:semiHidden/>
    <w:locked/>
    <w:rsid w:val="00DA009E"/>
    <w:rPr>
      <w:rFonts w:cs="Times New Roman"/>
      <w:sz w:val="16"/>
      <w:szCs w:val="16"/>
    </w:rPr>
  </w:style>
  <w:style w:type="character" w:customStyle="1" w:styleId="DocumentMapChar">
    <w:name w:val="Document Map Char"/>
    <w:uiPriority w:val="99"/>
    <w:semiHidden/>
    <w:locked/>
    <w:rsid w:val="00DA009E"/>
    <w:rPr>
      <w:rFonts w:ascii="Tahoma" w:hAnsi="Tahoma" w:cs="Tahoma"/>
    </w:rPr>
  </w:style>
  <w:style w:type="character" w:customStyle="1" w:styleId="CommentTextChar1">
    <w:name w:val="Comment Text Char1"/>
    <w:basedOn w:val="a0"/>
    <w:uiPriority w:val="99"/>
    <w:semiHidden/>
    <w:rsid w:val="00DA009E"/>
    <w:rPr>
      <w:rFonts w:ascii="Times New Roman" w:eastAsia="Times New Roman" w:hAnsi="Times New Roman"/>
      <w:sz w:val="20"/>
      <w:szCs w:val="20"/>
    </w:rPr>
  </w:style>
  <w:style w:type="character" w:customStyle="1" w:styleId="CommentSubjectChar">
    <w:name w:val="Comment Subject Char"/>
    <w:uiPriority w:val="99"/>
    <w:semiHidden/>
    <w:locked/>
    <w:rsid w:val="00DA009E"/>
    <w:rPr>
      <w:rFonts w:ascii="Times New Roman" w:hAnsi="Times New Roman" w:cs="Times New Roman"/>
      <w:b/>
      <w:bCs/>
      <w:sz w:val="20"/>
      <w:szCs w:val="20"/>
      <w:lang w:eastAsia="ru-RU"/>
    </w:rPr>
  </w:style>
  <w:style w:type="character" w:customStyle="1" w:styleId="BalloonTextChar">
    <w:name w:val="Balloon Text Char"/>
    <w:uiPriority w:val="99"/>
    <w:semiHidden/>
    <w:locked/>
    <w:rsid w:val="00DA009E"/>
    <w:rPr>
      <w:rFonts w:ascii="Tahoma" w:hAnsi="Tahoma" w:cs="Tahoma"/>
      <w:sz w:val="16"/>
      <w:szCs w:val="16"/>
    </w:rPr>
  </w:style>
  <w:style w:type="character" w:customStyle="1" w:styleId="BodyTextIndent2Char1">
    <w:name w:val="Body Text Indent 2 Char1"/>
    <w:basedOn w:val="a0"/>
    <w:uiPriority w:val="99"/>
    <w:semiHidden/>
    <w:rsid w:val="00DA009E"/>
    <w:rPr>
      <w:rFonts w:ascii="Times New Roman" w:eastAsia="Times New Roman" w:hAnsi="Times New Roman"/>
      <w:sz w:val="24"/>
      <w:szCs w:val="24"/>
    </w:rPr>
  </w:style>
  <w:style w:type="character" w:customStyle="1" w:styleId="TitleChar1">
    <w:name w:val="Title Char1"/>
    <w:basedOn w:val="a0"/>
    <w:uiPriority w:val="99"/>
    <w:rsid w:val="00DA009E"/>
    <w:rPr>
      <w:rFonts w:ascii="Cambria" w:eastAsia="Times New Roman" w:hAnsi="Cambria" w:cs="Times New Roman"/>
      <w:b/>
      <w:bCs/>
      <w:kern w:val="28"/>
      <w:sz w:val="32"/>
      <w:szCs w:val="32"/>
    </w:rPr>
  </w:style>
  <w:style w:type="character" w:customStyle="1" w:styleId="BodyTextChar1">
    <w:name w:val="Body Text Char1"/>
    <w:basedOn w:val="a0"/>
    <w:uiPriority w:val="99"/>
    <w:semiHidden/>
    <w:rsid w:val="00DA009E"/>
    <w:rPr>
      <w:rFonts w:ascii="Times New Roman" w:eastAsia="Times New Roman" w:hAnsi="Times New Roman"/>
      <w:sz w:val="24"/>
      <w:szCs w:val="24"/>
    </w:rPr>
  </w:style>
  <w:style w:type="character" w:customStyle="1" w:styleId="BodyTextIndent3Char1">
    <w:name w:val="Body Text Indent 3 Char1"/>
    <w:basedOn w:val="a0"/>
    <w:uiPriority w:val="99"/>
    <w:semiHidden/>
    <w:rsid w:val="00DA009E"/>
    <w:rPr>
      <w:rFonts w:ascii="Times New Roman" w:eastAsia="Times New Roman" w:hAnsi="Times New Roman"/>
      <w:sz w:val="16"/>
      <w:szCs w:val="16"/>
    </w:rPr>
  </w:style>
  <w:style w:type="character" w:customStyle="1" w:styleId="HeaderChar1">
    <w:name w:val="Header Char1"/>
    <w:basedOn w:val="a0"/>
    <w:uiPriority w:val="99"/>
    <w:semiHidden/>
    <w:rsid w:val="00DA009E"/>
    <w:rPr>
      <w:rFonts w:ascii="Times New Roman" w:eastAsia="Times New Roman" w:hAnsi="Times New Roman"/>
      <w:sz w:val="24"/>
      <w:szCs w:val="24"/>
    </w:rPr>
  </w:style>
  <w:style w:type="character" w:customStyle="1" w:styleId="DocumentMapChar1">
    <w:name w:val="Document Map Char1"/>
    <w:basedOn w:val="a0"/>
    <w:uiPriority w:val="99"/>
    <w:semiHidden/>
    <w:rsid w:val="00DA009E"/>
    <w:rPr>
      <w:rFonts w:ascii="Times New Roman" w:eastAsia="Times New Roman" w:hAnsi="Times New Roman"/>
      <w:sz w:val="0"/>
      <w:szCs w:val="0"/>
    </w:rPr>
  </w:style>
  <w:style w:type="character" w:customStyle="1" w:styleId="af3">
    <w:name w:val="Схема документа Знак"/>
    <w:basedOn w:val="a0"/>
    <w:link w:val="af2"/>
    <w:uiPriority w:val="99"/>
    <w:semiHidden/>
    <w:locked/>
    <w:rsid w:val="00DA009E"/>
    <w:rPr>
      <w:rFonts w:ascii="Tahoma" w:hAnsi="Tahoma" w:cs="Tahoma"/>
      <w:shd w:val="clear" w:color="auto" w:fill="000080"/>
    </w:rPr>
  </w:style>
  <w:style w:type="character" w:customStyle="1" w:styleId="FooterChar1">
    <w:name w:val="Footer Char1"/>
    <w:basedOn w:val="a0"/>
    <w:uiPriority w:val="99"/>
    <w:semiHidden/>
    <w:rsid w:val="00DA009E"/>
    <w:rPr>
      <w:rFonts w:ascii="Times New Roman" w:eastAsia="Times New Roman" w:hAnsi="Times New Roman"/>
      <w:sz w:val="24"/>
      <w:szCs w:val="24"/>
    </w:rPr>
  </w:style>
  <w:style w:type="character" w:customStyle="1" w:styleId="BalloonTextChar1">
    <w:name w:val="Balloon Text Char1"/>
    <w:basedOn w:val="a0"/>
    <w:uiPriority w:val="99"/>
    <w:semiHidden/>
    <w:rsid w:val="00DA009E"/>
    <w:rPr>
      <w:rFonts w:ascii="Times New Roman" w:eastAsia="Times New Roman" w:hAnsi="Times New Roman"/>
      <w:sz w:val="0"/>
      <w:szCs w:val="0"/>
    </w:rPr>
  </w:style>
  <w:style w:type="character" w:customStyle="1" w:styleId="1b">
    <w:name w:val="Текст выноски Знак1"/>
    <w:basedOn w:val="a0"/>
    <w:uiPriority w:val="99"/>
    <w:semiHidden/>
    <w:rsid w:val="00DA009E"/>
    <w:rPr>
      <w:rFonts w:ascii="Tahoma" w:hAnsi="Tahoma" w:cs="Tahoma"/>
      <w:sz w:val="16"/>
      <w:szCs w:val="16"/>
    </w:rPr>
  </w:style>
  <w:style w:type="character" w:customStyle="1" w:styleId="BodyText2Char1">
    <w:name w:val="Body Text 2 Char1"/>
    <w:basedOn w:val="a0"/>
    <w:uiPriority w:val="99"/>
    <w:semiHidden/>
    <w:rsid w:val="00DA009E"/>
    <w:rPr>
      <w:rFonts w:ascii="Times New Roman" w:eastAsia="Times New Roman" w:hAnsi="Times New Roman"/>
      <w:sz w:val="24"/>
      <w:szCs w:val="24"/>
    </w:rPr>
  </w:style>
  <w:style w:type="character" w:customStyle="1" w:styleId="BodyText3Char1">
    <w:name w:val="Body Text 3 Char1"/>
    <w:basedOn w:val="a0"/>
    <w:uiPriority w:val="99"/>
    <w:semiHidden/>
    <w:rsid w:val="00DA009E"/>
    <w:rPr>
      <w:rFonts w:ascii="Times New Roman" w:eastAsia="Times New Roman" w:hAnsi="Times New Roman"/>
      <w:sz w:val="16"/>
      <w:szCs w:val="16"/>
    </w:rPr>
  </w:style>
  <w:style w:type="character" w:customStyle="1" w:styleId="CommentSubjectChar1">
    <w:name w:val="Comment Subject Char1"/>
    <w:basedOn w:val="affe"/>
    <w:uiPriority w:val="99"/>
    <w:semiHidden/>
    <w:rsid w:val="00DA009E"/>
    <w:rPr>
      <w:rFonts w:ascii="Times New Roman" w:eastAsia="Times New Roman" w:hAnsi="Times New Roman" w:cs="Times New Roman"/>
      <w:b/>
      <w:bCs/>
      <w:sz w:val="20"/>
      <w:szCs w:val="20"/>
      <w:lang w:eastAsia="ru-RU"/>
    </w:rPr>
  </w:style>
  <w:style w:type="table" w:customStyle="1" w:styleId="-1">
    <w:name w:val="ЭЭГ - Сетка таблицы1"/>
    <w:basedOn w:val="a1"/>
    <w:next w:val="aff4"/>
    <w:uiPriority w:val="59"/>
    <w:rsid w:val="00DA009E"/>
    <w:rPr>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aliases w:val="Основной текст 1 Знак1"/>
    <w:basedOn w:val="a0"/>
    <w:uiPriority w:val="99"/>
    <w:semiHidden/>
    <w:rsid w:val="0085631D"/>
    <w:rPr>
      <w:sz w:val="24"/>
      <w:szCs w:val="24"/>
    </w:rPr>
  </w:style>
  <w:style w:type="character" w:customStyle="1" w:styleId="1d">
    <w:name w:val="Текст примечания Знак1"/>
    <w:basedOn w:val="a0"/>
    <w:uiPriority w:val="99"/>
    <w:semiHidden/>
    <w:rsid w:val="0085631D"/>
  </w:style>
  <w:style w:type="character" w:customStyle="1" w:styleId="210">
    <w:name w:val="Основной текст с отступом 2 Знак1"/>
    <w:basedOn w:val="a0"/>
    <w:uiPriority w:val="99"/>
    <w:semiHidden/>
    <w:rsid w:val="0085631D"/>
    <w:rPr>
      <w:sz w:val="24"/>
      <w:szCs w:val="24"/>
    </w:rPr>
  </w:style>
  <w:style w:type="character" w:customStyle="1" w:styleId="1e">
    <w:name w:val="Название Знак1"/>
    <w:basedOn w:val="a0"/>
    <w:uiPriority w:val="99"/>
    <w:rsid w:val="0085631D"/>
    <w:rPr>
      <w:rFonts w:ascii="Cambria" w:eastAsia="Times New Roman" w:hAnsi="Cambria" w:cs="Times New Roman"/>
      <w:color w:val="17365D"/>
      <w:spacing w:val="5"/>
      <w:kern w:val="28"/>
      <w:sz w:val="52"/>
      <w:szCs w:val="52"/>
    </w:rPr>
  </w:style>
  <w:style w:type="character" w:customStyle="1" w:styleId="310">
    <w:name w:val="Основной текст с отступом 3 Знак1"/>
    <w:basedOn w:val="a0"/>
    <w:uiPriority w:val="99"/>
    <w:semiHidden/>
    <w:rsid w:val="0085631D"/>
    <w:rPr>
      <w:sz w:val="16"/>
      <w:szCs w:val="16"/>
    </w:rPr>
  </w:style>
  <w:style w:type="character" w:customStyle="1" w:styleId="1f">
    <w:name w:val="Верхний колонтитул Знак1"/>
    <w:basedOn w:val="a0"/>
    <w:uiPriority w:val="99"/>
    <w:semiHidden/>
    <w:rsid w:val="0085631D"/>
    <w:rPr>
      <w:sz w:val="24"/>
      <w:szCs w:val="24"/>
    </w:rPr>
  </w:style>
  <w:style w:type="character" w:customStyle="1" w:styleId="1f0">
    <w:name w:val="Схема документа Знак1"/>
    <w:basedOn w:val="a0"/>
    <w:uiPriority w:val="99"/>
    <w:semiHidden/>
    <w:rsid w:val="0085631D"/>
    <w:rPr>
      <w:rFonts w:ascii="Tahoma" w:hAnsi="Tahoma" w:cs="Tahoma"/>
      <w:sz w:val="16"/>
      <w:szCs w:val="16"/>
    </w:rPr>
  </w:style>
  <w:style w:type="character" w:customStyle="1" w:styleId="1f1">
    <w:name w:val="Нижний колонтитул Знак1"/>
    <w:basedOn w:val="a0"/>
    <w:uiPriority w:val="99"/>
    <w:semiHidden/>
    <w:rsid w:val="0085631D"/>
    <w:rPr>
      <w:sz w:val="24"/>
      <w:szCs w:val="24"/>
    </w:rPr>
  </w:style>
  <w:style w:type="character" w:customStyle="1" w:styleId="211">
    <w:name w:val="Основной текст 2 Знак1"/>
    <w:basedOn w:val="a0"/>
    <w:uiPriority w:val="99"/>
    <w:semiHidden/>
    <w:rsid w:val="0085631D"/>
    <w:rPr>
      <w:sz w:val="24"/>
      <w:szCs w:val="24"/>
    </w:rPr>
  </w:style>
  <w:style w:type="character" w:customStyle="1" w:styleId="311">
    <w:name w:val="Основной текст 3 Знак1"/>
    <w:basedOn w:val="a0"/>
    <w:uiPriority w:val="99"/>
    <w:semiHidden/>
    <w:rsid w:val="0085631D"/>
    <w:rPr>
      <w:sz w:val="16"/>
      <w:szCs w:val="16"/>
    </w:rPr>
  </w:style>
  <w:style w:type="character" w:customStyle="1" w:styleId="1f2">
    <w:name w:val="Тема примечания Знак1"/>
    <w:basedOn w:val="1d"/>
    <w:uiPriority w:val="99"/>
    <w:semiHidden/>
    <w:rsid w:val="0085631D"/>
    <w:rPr>
      <w:b/>
      <w:bCs/>
    </w:rPr>
  </w:style>
  <w:style w:type="table" w:customStyle="1" w:styleId="-2">
    <w:name w:val="ЭЭГ - Сетка таблицы2"/>
    <w:basedOn w:val="a1"/>
    <w:next w:val="aff4"/>
    <w:uiPriority w:val="99"/>
    <w:rsid w:val="0085631D"/>
    <w:rPr>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ый (веб) Знак"/>
    <w:aliases w:val="Обычный (Web)1 Знак"/>
    <w:basedOn w:val="a0"/>
    <w:uiPriority w:val="99"/>
    <w:semiHidden/>
    <w:locked/>
    <w:rsid w:val="008A2793"/>
    <w:rPr>
      <w:rFonts w:ascii="Tahoma" w:hAnsi="Tahoma" w:cs="Tahoma"/>
      <w:sz w:val="16"/>
      <w:szCs w:val="16"/>
      <w:lang w:eastAsia="en-US"/>
    </w:rPr>
  </w:style>
  <w:style w:type="character" w:customStyle="1" w:styleId="FootnoteTextChar2">
    <w:name w:val="Footnote Text Char2"/>
    <w:aliases w:val="single space Char2,Footnote Text Char1 Char Char2,Footnote Text Char Char Char Char2,Footnote Text Char1 Char Char Char Char2,Footnote Text Char Char Char Char Char Char2,Footnote Text Char1 Char Char Char Char Char Char2,F1 Char1"/>
    <w:uiPriority w:val="99"/>
    <w:semiHidden/>
    <w:locked/>
    <w:rsid w:val="008A2793"/>
    <w:rPr>
      <w:rFonts w:ascii="Times New Roman" w:hAnsi="Times New Roman" w:cs="Times New Roman" w:hint="default"/>
      <w:sz w:val="20"/>
      <w:szCs w:val="20"/>
      <w:lang w:eastAsia="ru-RU"/>
    </w:rPr>
  </w:style>
  <w:style w:type="character" w:customStyle="1" w:styleId="CommentTextChar2">
    <w:name w:val="Comment Text Char2"/>
    <w:uiPriority w:val="99"/>
    <w:semiHidden/>
    <w:locked/>
    <w:rsid w:val="008A2793"/>
    <w:rPr>
      <w:rFonts w:ascii="Times New Roman" w:hAnsi="Times New Roman" w:cs="Times New Roman" w:hint="default"/>
      <w:sz w:val="20"/>
      <w:szCs w:val="20"/>
      <w:lang w:eastAsia="ru-RU"/>
    </w:rPr>
  </w:style>
  <w:style w:type="character" w:customStyle="1" w:styleId="HeaderChar2">
    <w:name w:val="Header Char2"/>
    <w:uiPriority w:val="99"/>
    <w:semiHidden/>
    <w:locked/>
    <w:rsid w:val="008A2793"/>
    <w:rPr>
      <w:rFonts w:ascii="Times New Roman" w:hAnsi="Times New Roman" w:cs="Times New Roman" w:hint="default"/>
      <w:sz w:val="24"/>
      <w:szCs w:val="24"/>
    </w:rPr>
  </w:style>
  <w:style w:type="character" w:customStyle="1" w:styleId="FooterChar2">
    <w:name w:val="Footer Char2"/>
    <w:uiPriority w:val="99"/>
    <w:semiHidden/>
    <w:locked/>
    <w:rsid w:val="008A2793"/>
    <w:rPr>
      <w:rFonts w:ascii="Times New Roman" w:hAnsi="Times New Roman" w:cs="Times New Roman" w:hint="default"/>
      <w:sz w:val="24"/>
      <w:szCs w:val="24"/>
    </w:rPr>
  </w:style>
  <w:style w:type="character" w:customStyle="1" w:styleId="TitleChar2">
    <w:name w:val="Title Char2"/>
    <w:uiPriority w:val="99"/>
    <w:locked/>
    <w:rsid w:val="008A2793"/>
    <w:rPr>
      <w:rFonts w:ascii="Times New Roman" w:hAnsi="Times New Roman" w:cs="Times New Roman" w:hint="default"/>
      <w:b/>
      <w:bCs/>
      <w:color w:val="000000"/>
      <w:sz w:val="28"/>
      <w:szCs w:val="28"/>
    </w:rPr>
  </w:style>
  <w:style w:type="character" w:customStyle="1" w:styleId="BodyTextChar2">
    <w:name w:val="Body Text Char2"/>
    <w:uiPriority w:val="99"/>
    <w:semiHidden/>
    <w:locked/>
    <w:rsid w:val="008A2793"/>
    <w:rPr>
      <w:rFonts w:ascii="Times New Roman" w:hAnsi="Times New Roman" w:cs="Times New Roman" w:hint="default"/>
      <w:sz w:val="24"/>
      <w:szCs w:val="24"/>
    </w:rPr>
  </w:style>
  <w:style w:type="character" w:customStyle="1" w:styleId="BodyTextIndentChar2">
    <w:name w:val="Body Text Indent Char2"/>
    <w:aliases w:val="Основной текст 1 Char2"/>
    <w:uiPriority w:val="99"/>
    <w:semiHidden/>
    <w:locked/>
    <w:rsid w:val="008A2793"/>
    <w:rPr>
      <w:rFonts w:ascii="Times New Roman" w:hAnsi="Times New Roman" w:cs="Times New Roman" w:hint="default"/>
      <w:sz w:val="24"/>
      <w:szCs w:val="24"/>
    </w:rPr>
  </w:style>
  <w:style w:type="character" w:customStyle="1" w:styleId="BodyText2Char2">
    <w:name w:val="Body Text 2 Char2"/>
    <w:uiPriority w:val="99"/>
    <w:semiHidden/>
    <w:locked/>
    <w:rsid w:val="008A2793"/>
    <w:rPr>
      <w:rFonts w:ascii="Times New Roman" w:hAnsi="Times New Roman" w:cs="Times New Roman" w:hint="default"/>
      <w:sz w:val="24"/>
      <w:szCs w:val="24"/>
    </w:rPr>
  </w:style>
  <w:style w:type="character" w:customStyle="1" w:styleId="BodyText3Char2">
    <w:name w:val="Body Text 3 Char2"/>
    <w:uiPriority w:val="99"/>
    <w:semiHidden/>
    <w:locked/>
    <w:rsid w:val="008A2793"/>
    <w:rPr>
      <w:rFonts w:ascii="Calibri" w:hAnsi="Calibri" w:cs="Times New Roman" w:hint="default"/>
      <w:sz w:val="16"/>
      <w:szCs w:val="16"/>
    </w:rPr>
  </w:style>
  <w:style w:type="character" w:customStyle="1" w:styleId="BodyTextIndent2Char2">
    <w:name w:val="Body Text Indent 2 Char2"/>
    <w:uiPriority w:val="99"/>
    <w:semiHidden/>
    <w:locked/>
    <w:rsid w:val="008A2793"/>
    <w:rPr>
      <w:rFonts w:ascii="Times New Roman" w:hAnsi="Times New Roman" w:cs="Times New Roman" w:hint="default"/>
      <w:sz w:val="24"/>
      <w:szCs w:val="24"/>
    </w:rPr>
  </w:style>
  <w:style w:type="character" w:customStyle="1" w:styleId="BodyTextIndent3Char2">
    <w:name w:val="Body Text Indent 3 Char2"/>
    <w:uiPriority w:val="99"/>
    <w:semiHidden/>
    <w:locked/>
    <w:rsid w:val="008A2793"/>
    <w:rPr>
      <w:rFonts w:ascii="Times New Roman" w:hAnsi="Times New Roman" w:cs="Times New Roman" w:hint="default"/>
      <w:sz w:val="16"/>
      <w:szCs w:val="16"/>
    </w:rPr>
  </w:style>
  <w:style w:type="character" w:customStyle="1" w:styleId="DocumentMapChar2">
    <w:name w:val="Document Map Char2"/>
    <w:uiPriority w:val="99"/>
    <w:semiHidden/>
    <w:locked/>
    <w:rsid w:val="008A2793"/>
    <w:rPr>
      <w:rFonts w:ascii="Tahoma" w:hAnsi="Tahoma" w:cs="Tahoma" w:hint="default"/>
    </w:rPr>
  </w:style>
  <w:style w:type="character" w:customStyle="1" w:styleId="CommentSubjectChar2">
    <w:name w:val="Comment Subject Char2"/>
    <w:uiPriority w:val="99"/>
    <w:semiHidden/>
    <w:locked/>
    <w:rsid w:val="008A2793"/>
    <w:rPr>
      <w:rFonts w:ascii="Times New Roman" w:hAnsi="Times New Roman" w:cs="Times New Roman" w:hint="default"/>
      <w:b/>
      <w:bCs/>
      <w:sz w:val="20"/>
      <w:szCs w:val="20"/>
      <w:lang w:eastAsia="ru-RU"/>
    </w:rPr>
  </w:style>
  <w:style w:type="character" w:customStyle="1" w:styleId="BalloonTextChar2">
    <w:name w:val="Balloon Text Char2"/>
    <w:uiPriority w:val="99"/>
    <w:semiHidden/>
    <w:locked/>
    <w:rsid w:val="008A2793"/>
    <w:rPr>
      <w:rFonts w:ascii="Tahoma" w:hAnsi="Tahoma" w:cs="Tahoma" w:hint="default"/>
      <w:sz w:val="16"/>
      <w:szCs w:val="16"/>
    </w:rPr>
  </w:style>
  <w:style w:type="character" w:customStyle="1" w:styleId="FootnoteTextChar3">
    <w:name w:val="Footnote Text Char3"/>
    <w:aliases w:val="single space Char3,Footnote Text Char1 Char Char3,Footnote Text Char Char Char Char3,Footnote Text Char1 Char Char Char Char3,Footnote Text Char Char Char Char Char Char3,Footnote Text Char1 Char Char Char Char Char Char3"/>
    <w:uiPriority w:val="99"/>
    <w:semiHidden/>
    <w:locked/>
    <w:rsid w:val="008A2793"/>
    <w:rPr>
      <w:rFonts w:ascii="Times New Roman" w:hAnsi="Times New Roman" w:cs="Times New Roman" w:hint="default"/>
      <w:sz w:val="20"/>
      <w:lang w:eastAsia="ru-RU"/>
    </w:rPr>
  </w:style>
  <w:style w:type="paragraph" w:customStyle="1" w:styleId="afff3">
    <w:name w:val="Информация об изменениях документа"/>
    <w:basedOn w:val="af7"/>
    <w:next w:val="a"/>
    <w:uiPriority w:val="99"/>
    <w:rsid w:val="00290EAD"/>
    <w:pPr>
      <w:ind w:left="170"/>
    </w:pPr>
    <w:rPr>
      <w:color w:val="353842"/>
      <w:shd w:val="clear" w:color="auto" w:fill="F0F0F0"/>
    </w:rPr>
  </w:style>
  <w:style w:type="paragraph" w:customStyle="1" w:styleId="afff4">
    <w:name w:val="Комментарий пользователя"/>
    <w:basedOn w:val="af7"/>
    <w:next w:val="a"/>
    <w:uiPriority w:val="99"/>
    <w:rsid w:val="00290EAD"/>
    <w:pPr>
      <w:ind w:left="170"/>
      <w:jc w:val="left"/>
    </w:pPr>
    <w:rPr>
      <w:i w:val="0"/>
      <w:iCs w:val="0"/>
      <w:color w:val="353842"/>
      <w:shd w:val="clear" w:color="auto" w:fill="FFDFE0"/>
    </w:rPr>
  </w:style>
  <w:style w:type="character" w:customStyle="1" w:styleId="CharStyle3">
    <w:name w:val="Char Style 3"/>
    <w:link w:val="Style2"/>
    <w:rsid w:val="005E42B4"/>
    <w:rPr>
      <w:sz w:val="26"/>
      <w:szCs w:val="26"/>
      <w:shd w:val="clear" w:color="auto" w:fill="FFFFFF"/>
    </w:rPr>
  </w:style>
  <w:style w:type="paragraph" w:customStyle="1" w:styleId="Style2">
    <w:name w:val="Style 2"/>
    <w:basedOn w:val="a"/>
    <w:link w:val="CharStyle3"/>
    <w:rsid w:val="005E42B4"/>
    <w:pPr>
      <w:widowControl w:val="0"/>
      <w:shd w:val="clear" w:color="auto" w:fill="FFFFFF"/>
      <w:spacing w:after="600" w:line="326" w:lineRule="exact"/>
    </w:pPr>
    <w:rPr>
      <w:sz w:val="26"/>
      <w:szCs w:val="26"/>
    </w:rPr>
  </w:style>
  <w:style w:type="paragraph" w:customStyle="1" w:styleId="1f3">
    <w:name w:val="Основной текст1"/>
    <w:basedOn w:val="a"/>
    <w:rsid w:val="0091492A"/>
    <w:pPr>
      <w:widowControl w:val="0"/>
      <w:shd w:val="clear" w:color="auto" w:fill="FFFFFF"/>
      <w:spacing w:before="240" w:line="322" w:lineRule="exact"/>
      <w:jc w:val="center"/>
    </w:pPr>
    <w:rPr>
      <w:sz w:val="27"/>
      <w:szCs w:val="27"/>
    </w:rPr>
  </w:style>
  <w:style w:type="table" w:customStyle="1" w:styleId="1f4">
    <w:name w:val="Сетка таблицы1"/>
    <w:basedOn w:val="a1"/>
    <w:next w:val="aff4"/>
    <w:uiPriority w:val="59"/>
    <w:rsid w:val="00AA01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4"/>
    <w:uiPriority w:val="59"/>
    <w:rsid w:val="001A65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basedOn w:val="a0"/>
    <w:link w:val="29"/>
    <w:uiPriority w:val="99"/>
    <w:rsid w:val="00B17A15"/>
    <w:rPr>
      <w:sz w:val="28"/>
      <w:szCs w:val="28"/>
      <w:shd w:val="clear" w:color="auto" w:fill="FFFFFF"/>
    </w:rPr>
  </w:style>
  <w:style w:type="paragraph" w:customStyle="1" w:styleId="29">
    <w:name w:val="Основной текст (2)"/>
    <w:basedOn w:val="a"/>
    <w:link w:val="28"/>
    <w:uiPriority w:val="99"/>
    <w:rsid w:val="00B17A15"/>
    <w:pPr>
      <w:widowControl w:val="0"/>
      <w:shd w:val="clear" w:color="auto" w:fill="FFFFFF"/>
      <w:spacing w:line="348" w:lineRule="exact"/>
      <w:ind w:firstLine="0"/>
    </w:pPr>
    <w:rPr>
      <w:sz w:val="28"/>
      <w:szCs w:val="28"/>
    </w:rPr>
  </w:style>
  <w:style w:type="character" w:customStyle="1" w:styleId="CharStyle6">
    <w:name w:val="Char Style 6"/>
    <w:link w:val="Style4"/>
    <w:uiPriority w:val="99"/>
    <w:locked/>
    <w:rsid w:val="009A195F"/>
    <w:rPr>
      <w:shd w:val="clear" w:color="auto" w:fill="FFFFFF"/>
    </w:rPr>
  </w:style>
  <w:style w:type="paragraph" w:customStyle="1" w:styleId="Style4">
    <w:name w:val="Style 4"/>
    <w:basedOn w:val="a"/>
    <w:link w:val="CharStyle6"/>
    <w:uiPriority w:val="99"/>
    <w:rsid w:val="009A195F"/>
    <w:pPr>
      <w:widowControl w:val="0"/>
      <w:shd w:val="clear" w:color="auto" w:fill="FFFFFF"/>
      <w:spacing w:line="336" w:lineRule="exact"/>
      <w:ind w:firstLine="0"/>
      <w:jc w:val="center"/>
    </w:pPr>
    <w:rPr>
      <w:sz w:val="20"/>
      <w:szCs w:val="20"/>
    </w:rPr>
  </w:style>
  <w:style w:type="paragraph" w:customStyle="1" w:styleId="xl65">
    <w:name w:val="xl65"/>
    <w:basedOn w:val="a"/>
    <w:rsid w:val="00252603"/>
    <w:pPr>
      <w:spacing w:before="100" w:beforeAutospacing="1" w:after="100" w:afterAutospacing="1" w:line="240" w:lineRule="auto"/>
      <w:ind w:firstLine="0"/>
      <w:jc w:val="left"/>
    </w:pPr>
  </w:style>
  <w:style w:type="paragraph" w:customStyle="1" w:styleId="xl66">
    <w:name w:val="xl66"/>
    <w:basedOn w:val="a"/>
    <w:rsid w:val="002526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color w:val="000000"/>
    </w:rPr>
  </w:style>
  <w:style w:type="paragraph" w:customStyle="1" w:styleId="xl67">
    <w:name w:val="xl67"/>
    <w:basedOn w:val="a"/>
    <w:rsid w:val="002526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b/>
      <w:bCs/>
      <w:color w:val="000000"/>
    </w:rPr>
  </w:style>
  <w:style w:type="paragraph" w:customStyle="1" w:styleId="xl68">
    <w:name w:val="xl68"/>
    <w:basedOn w:val="a"/>
    <w:rsid w:val="002526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color w:val="000000"/>
    </w:rPr>
  </w:style>
  <w:style w:type="paragraph" w:customStyle="1" w:styleId="xl69">
    <w:name w:val="xl69"/>
    <w:basedOn w:val="a"/>
    <w:rsid w:val="00252603"/>
    <w:pPr>
      <w:spacing w:before="100" w:beforeAutospacing="1" w:after="100" w:afterAutospacing="1" w:line="240" w:lineRule="auto"/>
      <w:ind w:firstLine="0"/>
      <w:jc w:val="center"/>
    </w:pPr>
  </w:style>
  <w:style w:type="paragraph" w:customStyle="1" w:styleId="xl70">
    <w:name w:val="xl70"/>
    <w:basedOn w:val="a"/>
    <w:rsid w:val="00252603"/>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b/>
      <w:bCs/>
      <w:color w:val="000000"/>
    </w:rPr>
  </w:style>
  <w:style w:type="paragraph" w:customStyle="1" w:styleId="xl71">
    <w:name w:val="xl71"/>
    <w:basedOn w:val="a"/>
    <w:rsid w:val="00252603"/>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color w:val="000000"/>
    </w:rPr>
  </w:style>
  <w:style w:type="paragraph" w:customStyle="1" w:styleId="xl73">
    <w:name w:val="xl73"/>
    <w:basedOn w:val="a"/>
    <w:rsid w:val="0025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i/>
      <w:iCs/>
      <w:color w:val="000000"/>
    </w:rPr>
  </w:style>
  <w:style w:type="paragraph" w:customStyle="1" w:styleId="xl74">
    <w:name w:val="xl74"/>
    <w:basedOn w:val="a"/>
    <w:rsid w:val="00252603"/>
    <w:pPr>
      <w:spacing w:before="100" w:beforeAutospacing="1" w:after="100" w:afterAutospacing="1" w:line="240" w:lineRule="auto"/>
      <w:ind w:firstLine="0"/>
      <w:jc w:val="left"/>
    </w:pPr>
    <w:rPr>
      <w:i/>
      <w:iCs/>
    </w:rPr>
  </w:style>
  <w:style w:type="paragraph" w:customStyle="1" w:styleId="xl75">
    <w:name w:val="xl75"/>
    <w:basedOn w:val="a"/>
    <w:rsid w:val="0025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76">
    <w:name w:val="xl76"/>
    <w:basedOn w:val="a"/>
    <w:rsid w:val="0025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rPr>
  </w:style>
  <w:style w:type="paragraph" w:customStyle="1" w:styleId="xl77">
    <w:name w:val="xl77"/>
    <w:basedOn w:val="a"/>
    <w:rsid w:val="002526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color w:val="000000"/>
      <w:sz w:val="22"/>
      <w:szCs w:val="22"/>
    </w:rPr>
  </w:style>
  <w:style w:type="paragraph" w:customStyle="1" w:styleId="xl78">
    <w:name w:val="xl78"/>
    <w:basedOn w:val="a"/>
    <w:rsid w:val="00252603"/>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color w:val="000000"/>
      <w:sz w:val="22"/>
      <w:szCs w:val="22"/>
    </w:rPr>
  </w:style>
  <w:style w:type="paragraph" w:customStyle="1" w:styleId="xl79">
    <w:name w:val="xl79"/>
    <w:basedOn w:val="a"/>
    <w:rsid w:val="0025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color w:val="000000"/>
      <w:sz w:val="22"/>
      <w:szCs w:val="22"/>
    </w:rPr>
  </w:style>
  <w:style w:type="paragraph" w:customStyle="1" w:styleId="xl80">
    <w:name w:val="xl80"/>
    <w:basedOn w:val="a"/>
    <w:rsid w:val="0025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 w:val="22"/>
      <w:szCs w:val="22"/>
    </w:rPr>
  </w:style>
  <w:style w:type="paragraph" w:customStyle="1" w:styleId="xl81">
    <w:name w:val="xl81"/>
    <w:basedOn w:val="a"/>
    <w:rsid w:val="00252603"/>
    <w:pPr>
      <w:spacing w:before="100" w:beforeAutospacing="1" w:after="100" w:afterAutospacing="1" w:line="240" w:lineRule="auto"/>
      <w:ind w:firstLine="0"/>
      <w:jc w:val="left"/>
    </w:pPr>
    <w:rPr>
      <w:sz w:val="22"/>
      <w:szCs w:val="22"/>
    </w:rPr>
  </w:style>
  <w:style w:type="paragraph" w:customStyle="1" w:styleId="xl82">
    <w:name w:val="xl82"/>
    <w:basedOn w:val="a"/>
    <w:rsid w:val="002526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top"/>
    </w:pPr>
    <w:rPr>
      <w:color w:val="000000"/>
      <w:sz w:val="22"/>
      <w:szCs w:val="22"/>
    </w:rPr>
  </w:style>
  <w:style w:type="paragraph" w:customStyle="1" w:styleId="xl83">
    <w:name w:val="xl83"/>
    <w:basedOn w:val="a"/>
    <w:rsid w:val="00252603"/>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top"/>
    </w:pPr>
    <w:rPr>
      <w:color w:val="000000"/>
      <w:sz w:val="22"/>
      <w:szCs w:val="22"/>
    </w:rPr>
  </w:style>
  <w:style w:type="paragraph" w:customStyle="1" w:styleId="xl84">
    <w:name w:val="xl84"/>
    <w:basedOn w:val="a"/>
    <w:rsid w:val="00252603"/>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top"/>
    </w:pPr>
    <w:rPr>
      <w:i/>
      <w:iCs/>
      <w:color w:val="000000"/>
      <w:sz w:val="22"/>
      <w:szCs w:val="22"/>
    </w:rPr>
  </w:style>
  <w:style w:type="paragraph" w:customStyle="1" w:styleId="xl85">
    <w:name w:val="xl85"/>
    <w:basedOn w:val="a"/>
    <w:rsid w:val="0025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2"/>
      <w:szCs w:val="22"/>
    </w:rPr>
  </w:style>
  <w:style w:type="paragraph" w:customStyle="1" w:styleId="xl86">
    <w:name w:val="xl86"/>
    <w:basedOn w:val="a"/>
    <w:rsid w:val="002526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87">
    <w:name w:val="xl87"/>
    <w:basedOn w:val="a"/>
    <w:rsid w:val="002526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color w:val="000000"/>
    </w:rPr>
  </w:style>
  <w:style w:type="paragraph" w:customStyle="1" w:styleId="xl88">
    <w:name w:val="xl88"/>
    <w:basedOn w:val="a"/>
    <w:rsid w:val="002526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i/>
      <w:iCs/>
      <w:color w:val="000000"/>
    </w:rPr>
  </w:style>
  <w:style w:type="paragraph" w:customStyle="1" w:styleId="xl89">
    <w:name w:val="xl89"/>
    <w:basedOn w:val="a"/>
    <w:rsid w:val="00252603"/>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color w:val="000000"/>
    </w:rPr>
  </w:style>
  <w:style w:type="paragraph" w:customStyle="1" w:styleId="xl90">
    <w:name w:val="xl90"/>
    <w:basedOn w:val="a"/>
    <w:rsid w:val="0025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i/>
      <w:iCs/>
      <w:color w:val="000000"/>
    </w:rPr>
  </w:style>
  <w:style w:type="paragraph" w:customStyle="1" w:styleId="xl91">
    <w:name w:val="xl91"/>
    <w:basedOn w:val="a"/>
    <w:rsid w:val="0025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rPr>
  </w:style>
  <w:style w:type="paragraph" w:customStyle="1" w:styleId="xl92">
    <w:name w:val="xl92"/>
    <w:basedOn w:val="a"/>
    <w:rsid w:val="00252603"/>
    <w:pPr>
      <w:spacing w:before="100" w:beforeAutospacing="1" w:after="100" w:afterAutospacing="1" w:line="240" w:lineRule="auto"/>
      <w:ind w:firstLine="0"/>
      <w:jc w:val="left"/>
    </w:pPr>
  </w:style>
  <w:style w:type="table" w:customStyle="1" w:styleId="36">
    <w:name w:val="Сетка таблицы3"/>
    <w:basedOn w:val="a1"/>
    <w:next w:val="aff4"/>
    <w:uiPriority w:val="59"/>
    <w:rsid w:val="00E205F5"/>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endnote text"/>
    <w:basedOn w:val="a"/>
    <w:link w:val="afff6"/>
    <w:semiHidden/>
    <w:unhideWhenUsed/>
    <w:rsid w:val="003E420A"/>
    <w:pPr>
      <w:spacing w:line="240" w:lineRule="auto"/>
    </w:pPr>
    <w:rPr>
      <w:sz w:val="20"/>
      <w:szCs w:val="20"/>
    </w:rPr>
  </w:style>
  <w:style w:type="character" w:customStyle="1" w:styleId="afff6">
    <w:name w:val="Текст концевой сноски Знак"/>
    <w:basedOn w:val="a0"/>
    <w:link w:val="afff5"/>
    <w:semiHidden/>
    <w:rsid w:val="003E420A"/>
  </w:style>
  <w:style w:type="character" w:styleId="afff7">
    <w:name w:val="endnote reference"/>
    <w:basedOn w:val="a0"/>
    <w:semiHidden/>
    <w:unhideWhenUsed/>
    <w:rsid w:val="003E420A"/>
    <w:rPr>
      <w:vertAlign w:val="superscript"/>
    </w:rPr>
  </w:style>
  <w:style w:type="table" w:customStyle="1" w:styleId="4">
    <w:name w:val="Сетка таблицы4"/>
    <w:basedOn w:val="a1"/>
    <w:next w:val="aff4"/>
    <w:uiPriority w:val="39"/>
    <w:rsid w:val="00B55AE1"/>
    <w:pPr>
      <w:spacing w:line="240" w:lineRule="auto"/>
      <w:ind w:firstLine="0"/>
      <w:jc w:val="left"/>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aliases w:val="ПАРАГРАФ Знак,Bullet List Знак,FooterText Знак,numbered Знак,Подпись рисунка Знак,Маркированный список_уровень1 Знак,Абзац списка3 Знак,Цветной список - Акцент 11 Знак,СПИСОК Знак,Второй абзац списка Знак,Абзац списка11 Знак,lp1 Знак"/>
    <w:link w:val="af8"/>
    <w:uiPriority w:val="34"/>
    <w:qFormat/>
    <w:rsid w:val="00F8523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165">
      <w:bodyDiv w:val="1"/>
      <w:marLeft w:val="0"/>
      <w:marRight w:val="0"/>
      <w:marTop w:val="0"/>
      <w:marBottom w:val="0"/>
      <w:divBdr>
        <w:top w:val="none" w:sz="0" w:space="0" w:color="auto"/>
        <w:left w:val="none" w:sz="0" w:space="0" w:color="auto"/>
        <w:bottom w:val="none" w:sz="0" w:space="0" w:color="auto"/>
        <w:right w:val="none" w:sz="0" w:space="0" w:color="auto"/>
      </w:divBdr>
    </w:div>
    <w:div w:id="22633004">
      <w:bodyDiv w:val="1"/>
      <w:marLeft w:val="0"/>
      <w:marRight w:val="0"/>
      <w:marTop w:val="0"/>
      <w:marBottom w:val="0"/>
      <w:divBdr>
        <w:top w:val="none" w:sz="0" w:space="0" w:color="auto"/>
        <w:left w:val="none" w:sz="0" w:space="0" w:color="auto"/>
        <w:bottom w:val="none" w:sz="0" w:space="0" w:color="auto"/>
        <w:right w:val="none" w:sz="0" w:space="0" w:color="auto"/>
      </w:divBdr>
    </w:div>
    <w:div w:id="24452446">
      <w:bodyDiv w:val="1"/>
      <w:marLeft w:val="0"/>
      <w:marRight w:val="0"/>
      <w:marTop w:val="0"/>
      <w:marBottom w:val="0"/>
      <w:divBdr>
        <w:top w:val="none" w:sz="0" w:space="0" w:color="auto"/>
        <w:left w:val="none" w:sz="0" w:space="0" w:color="auto"/>
        <w:bottom w:val="none" w:sz="0" w:space="0" w:color="auto"/>
        <w:right w:val="none" w:sz="0" w:space="0" w:color="auto"/>
      </w:divBdr>
    </w:div>
    <w:div w:id="33578621">
      <w:bodyDiv w:val="1"/>
      <w:marLeft w:val="0"/>
      <w:marRight w:val="0"/>
      <w:marTop w:val="0"/>
      <w:marBottom w:val="0"/>
      <w:divBdr>
        <w:top w:val="none" w:sz="0" w:space="0" w:color="auto"/>
        <w:left w:val="none" w:sz="0" w:space="0" w:color="auto"/>
        <w:bottom w:val="none" w:sz="0" w:space="0" w:color="auto"/>
        <w:right w:val="none" w:sz="0" w:space="0" w:color="auto"/>
      </w:divBdr>
    </w:div>
    <w:div w:id="38751379">
      <w:bodyDiv w:val="1"/>
      <w:marLeft w:val="0"/>
      <w:marRight w:val="0"/>
      <w:marTop w:val="0"/>
      <w:marBottom w:val="0"/>
      <w:divBdr>
        <w:top w:val="none" w:sz="0" w:space="0" w:color="auto"/>
        <w:left w:val="none" w:sz="0" w:space="0" w:color="auto"/>
        <w:bottom w:val="none" w:sz="0" w:space="0" w:color="auto"/>
        <w:right w:val="none" w:sz="0" w:space="0" w:color="auto"/>
      </w:divBdr>
    </w:div>
    <w:div w:id="46150771">
      <w:bodyDiv w:val="1"/>
      <w:marLeft w:val="0"/>
      <w:marRight w:val="0"/>
      <w:marTop w:val="0"/>
      <w:marBottom w:val="0"/>
      <w:divBdr>
        <w:top w:val="none" w:sz="0" w:space="0" w:color="auto"/>
        <w:left w:val="none" w:sz="0" w:space="0" w:color="auto"/>
        <w:bottom w:val="none" w:sz="0" w:space="0" w:color="auto"/>
        <w:right w:val="none" w:sz="0" w:space="0" w:color="auto"/>
      </w:divBdr>
    </w:div>
    <w:div w:id="51971777">
      <w:bodyDiv w:val="1"/>
      <w:marLeft w:val="0"/>
      <w:marRight w:val="0"/>
      <w:marTop w:val="0"/>
      <w:marBottom w:val="0"/>
      <w:divBdr>
        <w:top w:val="none" w:sz="0" w:space="0" w:color="auto"/>
        <w:left w:val="none" w:sz="0" w:space="0" w:color="auto"/>
        <w:bottom w:val="none" w:sz="0" w:space="0" w:color="auto"/>
        <w:right w:val="none" w:sz="0" w:space="0" w:color="auto"/>
      </w:divBdr>
    </w:div>
    <w:div w:id="77944929">
      <w:bodyDiv w:val="1"/>
      <w:marLeft w:val="0"/>
      <w:marRight w:val="0"/>
      <w:marTop w:val="0"/>
      <w:marBottom w:val="0"/>
      <w:divBdr>
        <w:top w:val="none" w:sz="0" w:space="0" w:color="auto"/>
        <w:left w:val="none" w:sz="0" w:space="0" w:color="auto"/>
        <w:bottom w:val="none" w:sz="0" w:space="0" w:color="auto"/>
        <w:right w:val="none" w:sz="0" w:space="0" w:color="auto"/>
      </w:divBdr>
    </w:div>
    <w:div w:id="82455107">
      <w:bodyDiv w:val="1"/>
      <w:marLeft w:val="0"/>
      <w:marRight w:val="0"/>
      <w:marTop w:val="0"/>
      <w:marBottom w:val="0"/>
      <w:divBdr>
        <w:top w:val="none" w:sz="0" w:space="0" w:color="auto"/>
        <w:left w:val="none" w:sz="0" w:space="0" w:color="auto"/>
        <w:bottom w:val="none" w:sz="0" w:space="0" w:color="auto"/>
        <w:right w:val="none" w:sz="0" w:space="0" w:color="auto"/>
      </w:divBdr>
    </w:div>
    <w:div w:id="82839832">
      <w:bodyDiv w:val="1"/>
      <w:marLeft w:val="0"/>
      <w:marRight w:val="0"/>
      <w:marTop w:val="0"/>
      <w:marBottom w:val="0"/>
      <w:divBdr>
        <w:top w:val="none" w:sz="0" w:space="0" w:color="auto"/>
        <w:left w:val="none" w:sz="0" w:space="0" w:color="auto"/>
        <w:bottom w:val="none" w:sz="0" w:space="0" w:color="auto"/>
        <w:right w:val="none" w:sz="0" w:space="0" w:color="auto"/>
      </w:divBdr>
    </w:div>
    <w:div w:id="103963143">
      <w:bodyDiv w:val="1"/>
      <w:marLeft w:val="0"/>
      <w:marRight w:val="0"/>
      <w:marTop w:val="0"/>
      <w:marBottom w:val="0"/>
      <w:divBdr>
        <w:top w:val="none" w:sz="0" w:space="0" w:color="auto"/>
        <w:left w:val="none" w:sz="0" w:space="0" w:color="auto"/>
        <w:bottom w:val="none" w:sz="0" w:space="0" w:color="auto"/>
        <w:right w:val="none" w:sz="0" w:space="0" w:color="auto"/>
      </w:divBdr>
    </w:div>
    <w:div w:id="103963451">
      <w:bodyDiv w:val="1"/>
      <w:marLeft w:val="0"/>
      <w:marRight w:val="0"/>
      <w:marTop w:val="0"/>
      <w:marBottom w:val="0"/>
      <w:divBdr>
        <w:top w:val="none" w:sz="0" w:space="0" w:color="auto"/>
        <w:left w:val="none" w:sz="0" w:space="0" w:color="auto"/>
        <w:bottom w:val="none" w:sz="0" w:space="0" w:color="auto"/>
        <w:right w:val="none" w:sz="0" w:space="0" w:color="auto"/>
      </w:divBdr>
    </w:div>
    <w:div w:id="114495088">
      <w:bodyDiv w:val="1"/>
      <w:marLeft w:val="0"/>
      <w:marRight w:val="0"/>
      <w:marTop w:val="0"/>
      <w:marBottom w:val="0"/>
      <w:divBdr>
        <w:top w:val="none" w:sz="0" w:space="0" w:color="auto"/>
        <w:left w:val="none" w:sz="0" w:space="0" w:color="auto"/>
        <w:bottom w:val="none" w:sz="0" w:space="0" w:color="auto"/>
        <w:right w:val="none" w:sz="0" w:space="0" w:color="auto"/>
      </w:divBdr>
    </w:div>
    <w:div w:id="121270962">
      <w:bodyDiv w:val="1"/>
      <w:marLeft w:val="0"/>
      <w:marRight w:val="0"/>
      <w:marTop w:val="0"/>
      <w:marBottom w:val="0"/>
      <w:divBdr>
        <w:top w:val="none" w:sz="0" w:space="0" w:color="auto"/>
        <w:left w:val="none" w:sz="0" w:space="0" w:color="auto"/>
        <w:bottom w:val="none" w:sz="0" w:space="0" w:color="auto"/>
        <w:right w:val="none" w:sz="0" w:space="0" w:color="auto"/>
      </w:divBdr>
    </w:div>
    <w:div w:id="123432697">
      <w:bodyDiv w:val="1"/>
      <w:marLeft w:val="0"/>
      <w:marRight w:val="0"/>
      <w:marTop w:val="0"/>
      <w:marBottom w:val="0"/>
      <w:divBdr>
        <w:top w:val="none" w:sz="0" w:space="0" w:color="auto"/>
        <w:left w:val="none" w:sz="0" w:space="0" w:color="auto"/>
        <w:bottom w:val="none" w:sz="0" w:space="0" w:color="auto"/>
        <w:right w:val="none" w:sz="0" w:space="0" w:color="auto"/>
      </w:divBdr>
    </w:div>
    <w:div w:id="137187563">
      <w:bodyDiv w:val="1"/>
      <w:marLeft w:val="0"/>
      <w:marRight w:val="0"/>
      <w:marTop w:val="0"/>
      <w:marBottom w:val="0"/>
      <w:divBdr>
        <w:top w:val="none" w:sz="0" w:space="0" w:color="auto"/>
        <w:left w:val="none" w:sz="0" w:space="0" w:color="auto"/>
        <w:bottom w:val="none" w:sz="0" w:space="0" w:color="auto"/>
        <w:right w:val="none" w:sz="0" w:space="0" w:color="auto"/>
      </w:divBdr>
    </w:div>
    <w:div w:id="140050983">
      <w:bodyDiv w:val="1"/>
      <w:marLeft w:val="0"/>
      <w:marRight w:val="0"/>
      <w:marTop w:val="0"/>
      <w:marBottom w:val="0"/>
      <w:divBdr>
        <w:top w:val="none" w:sz="0" w:space="0" w:color="auto"/>
        <w:left w:val="none" w:sz="0" w:space="0" w:color="auto"/>
        <w:bottom w:val="none" w:sz="0" w:space="0" w:color="auto"/>
        <w:right w:val="none" w:sz="0" w:space="0" w:color="auto"/>
      </w:divBdr>
    </w:div>
    <w:div w:id="146023292">
      <w:bodyDiv w:val="1"/>
      <w:marLeft w:val="0"/>
      <w:marRight w:val="0"/>
      <w:marTop w:val="0"/>
      <w:marBottom w:val="0"/>
      <w:divBdr>
        <w:top w:val="none" w:sz="0" w:space="0" w:color="auto"/>
        <w:left w:val="none" w:sz="0" w:space="0" w:color="auto"/>
        <w:bottom w:val="none" w:sz="0" w:space="0" w:color="auto"/>
        <w:right w:val="none" w:sz="0" w:space="0" w:color="auto"/>
      </w:divBdr>
    </w:div>
    <w:div w:id="147478429">
      <w:bodyDiv w:val="1"/>
      <w:marLeft w:val="0"/>
      <w:marRight w:val="0"/>
      <w:marTop w:val="0"/>
      <w:marBottom w:val="0"/>
      <w:divBdr>
        <w:top w:val="none" w:sz="0" w:space="0" w:color="auto"/>
        <w:left w:val="none" w:sz="0" w:space="0" w:color="auto"/>
        <w:bottom w:val="none" w:sz="0" w:space="0" w:color="auto"/>
        <w:right w:val="none" w:sz="0" w:space="0" w:color="auto"/>
      </w:divBdr>
    </w:div>
    <w:div w:id="177351441">
      <w:bodyDiv w:val="1"/>
      <w:marLeft w:val="0"/>
      <w:marRight w:val="0"/>
      <w:marTop w:val="0"/>
      <w:marBottom w:val="0"/>
      <w:divBdr>
        <w:top w:val="none" w:sz="0" w:space="0" w:color="auto"/>
        <w:left w:val="none" w:sz="0" w:space="0" w:color="auto"/>
        <w:bottom w:val="none" w:sz="0" w:space="0" w:color="auto"/>
        <w:right w:val="none" w:sz="0" w:space="0" w:color="auto"/>
      </w:divBdr>
    </w:div>
    <w:div w:id="177431949">
      <w:bodyDiv w:val="1"/>
      <w:marLeft w:val="0"/>
      <w:marRight w:val="0"/>
      <w:marTop w:val="0"/>
      <w:marBottom w:val="0"/>
      <w:divBdr>
        <w:top w:val="none" w:sz="0" w:space="0" w:color="auto"/>
        <w:left w:val="none" w:sz="0" w:space="0" w:color="auto"/>
        <w:bottom w:val="none" w:sz="0" w:space="0" w:color="auto"/>
        <w:right w:val="none" w:sz="0" w:space="0" w:color="auto"/>
      </w:divBdr>
    </w:div>
    <w:div w:id="194773393">
      <w:bodyDiv w:val="1"/>
      <w:marLeft w:val="0"/>
      <w:marRight w:val="0"/>
      <w:marTop w:val="0"/>
      <w:marBottom w:val="0"/>
      <w:divBdr>
        <w:top w:val="none" w:sz="0" w:space="0" w:color="auto"/>
        <w:left w:val="none" w:sz="0" w:space="0" w:color="auto"/>
        <w:bottom w:val="none" w:sz="0" w:space="0" w:color="auto"/>
        <w:right w:val="none" w:sz="0" w:space="0" w:color="auto"/>
      </w:divBdr>
    </w:div>
    <w:div w:id="196048214">
      <w:bodyDiv w:val="1"/>
      <w:marLeft w:val="0"/>
      <w:marRight w:val="0"/>
      <w:marTop w:val="0"/>
      <w:marBottom w:val="0"/>
      <w:divBdr>
        <w:top w:val="none" w:sz="0" w:space="0" w:color="auto"/>
        <w:left w:val="none" w:sz="0" w:space="0" w:color="auto"/>
        <w:bottom w:val="none" w:sz="0" w:space="0" w:color="auto"/>
        <w:right w:val="none" w:sz="0" w:space="0" w:color="auto"/>
      </w:divBdr>
    </w:div>
    <w:div w:id="202252157">
      <w:bodyDiv w:val="1"/>
      <w:marLeft w:val="0"/>
      <w:marRight w:val="0"/>
      <w:marTop w:val="0"/>
      <w:marBottom w:val="0"/>
      <w:divBdr>
        <w:top w:val="none" w:sz="0" w:space="0" w:color="auto"/>
        <w:left w:val="none" w:sz="0" w:space="0" w:color="auto"/>
        <w:bottom w:val="none" w:sz="0" w:space="0" w:color="auto"/>
        <w:right w:val="none" w:sz="0" w:space="0" w:color="auto"/>
      </w:divBdr>
    </w:div>
    <w:div w:id="205525724">
      <w:bodyDiv w:val="1"/>
      <w:marLeft w:val="0"/>
      <w:marRight w:val="0"/>
      <w:marTop w:val="0"/>
      <w:marBottom w:val="0"/>
      <w:divBdr>
        <w:top w:val="none" w:sz="0" w:space="0" w:color="auto"/>
        <w:left w:val="none" w:sz="0" w:space="0" w:color="auto"/>
        <w:bottom w:val="none" w:sz="0" w:space="0" w:color="auto"/>
        <w:right w:val="none" w:sz="0" w:space="0" w:color="auto"/>
      </w:divBdr>
    </w:div>
    <w:div w:id="211157832">
      <w:bodyDiv w:val="1"/>
      <w:marLeft w:val="0"/>
      <w:marRight w:val="0"/>
      <w:marTop w:val="0"/>
      <w:marBottom w:val="0"/>
      <w:divBdr>
        <w:top w:val="none" w:sz="0" w:space="0" w:color="auto"/>
        <w:left w:val="none" w:sz="0" w:space="0" w:color="auto"/>
        <w:bottom w:val="none" w:sz="0" w:space="0" w:color="auto"/>
        <w:right w:val="none" w:sz="0" w:space="0" w:color="auto"/>
      </w:divBdr>
    </w:div>
    <w:div w:id="211380994">
      <w:bodyDiv w:val="1"/>
      <w:marLeft w:val="0"/>
      <w:marRight w:val="0"/>
      <w:marTop w:val="0"/>
      <w:marBottom w:val="0"/>
      <w:divBdr>
        <w:top w:val="none" w:sz="0" w:space="0" w:color="auto"/>
        <w:left w:val="none" w:sz="0" w:space="0" w:color="auto"/>
        <w:bottom w:val="none" w:sz="0" w:space="0" w:color="auto"/>
        <w:right w:val="none" w:sz="0" w:space="0" w:color="auto"/>
      </w:divBdr>
    </w:div>
    <w:div w:id="212615628">
      <w:bodyDiv w:val="1"/>
      <w:marLeft w:val="0"/>
      <w:marRight w:val="0"/>
      <w:marTop w:val="0"/>
      <w:marBottom w:val="0"/>
      <w:divBdr>
        <w:top w:val="none" w:sz="0" w:space="0" w:color="auto"/>
        <w:left w:val="none" w:sz="0" w:space="0" w:color="auto"/>
        <w:bottom w:val="none" w:sz="0" w:space="0" w:color="auto"/>
        <w:right w:val="none" w:sz="0" w:space="0" w:color="auto"/>
      </w:divBdr>
    </w:div>
    <w:div w:id="238564143">
      <w:bodyDiv w:val="1"/>
      <w:marLeft w:val="0"/>
      <w:marRight w:val="0"/>
      <w:marTop w:val="0"/>
      <w:marBottom w:val="0"/>
      <w:divBdr>
        <w:top w:val="none" w:sz="0" w:space="0" w:color="auto"/>
        <w:left w:val="none" w:sz="0" w:space="0" w:color="auto"/>
        <w:bottom w:val="none" w:sz="0" w:space="0" w:color="auto"/>
        <w:right w:val="none" w:sz="0" w:space="0" w:color="auto"/>
      </w:divBdr>
    </w:div>
    <w:div w:id="263727286">
      <w:bodyDiv w:val="1"/>
      <w:marLeft w:val="0"/>
      <w:marRight w:val="0"/>
      <w:marTop w:val="0"/>
      <w:marBottom w:val="0"/>
      <w:divBdr>
        <w:top w:val="none" w:sz="0" w:space="0" w:color="auto"/>
        <w:left w:val="none" w:sz="0" w:space="0" w:color="auto"/>
        <w:bottom w:val="none" w:sz="0" w:space="0" w:color="auto"/>
        <w:right w:val="none" w:sz="0" w:space="0" w:color="auto"/>
      </w:divBdr>
    </w:div>
    <w:div w:id="264654235">
      <w:bodyDiv w:val="1"/>
      <w:marLeft w:val="0"/>
      <w:marRight w:val="0"/>
      <w:marTop w:val="0"/>
      <w:marBottom w:val="0"/>
      <w:divBdr>
        <w:top w:val="none" w:sz="0" w:space="0" w:color="auto"/>
        <w:left w:val="none" w:sz="0" w:space="0" w:color="auto"/>
        <w:bottom w:val="none" w:sz="0" w:space="0" w:color="auto"/>
        <w:right w:val="none" w:sz="0" w:space="0" w:color="auto"/>
      </w:divBdr>
    </w:div>
    <w:div w:id="267665180">
      <w:bodyDiv w:val="1"/>
      <w:marLeft w:val="0"/>
      <w:marRight w:val="0"/>
      <w:marTop w:val="0"/>
      <w:marBottom w:val="0"/>
      <w:divBdr>
        <w:top w:val="none" w:sz="0" w:space="0" w:color="auto"/>
        <w:left w:val="none" w:sz="0" w:space="0" w:color="auto"/>
        <w:bottom w:val="none" w:sz="0" w:space="0" w:color="auto"/>
        <w:right w:val="none" w:sz="0" w:space="0" w:color="auto"/>
      </w:divBdr>
    </w:div>
    <w:div w:id="274603521">
      <w:bodyDiv w:val="1"/>
      <w:marLeft w:val="0"/>
      <w:marRight w:val="0"/>
      <w:marTop w:val="0"/>
      <w:marBottom w:val="0"/>
      <w:divBdr>
        <w:top w:val="none" w:sz="0" w:space="0" w:color="auto"/>
        <w:left w:val="none" w:sz="0" w:space="0" w:color="auto"/>
        <w:bottom w:val="none" w:sz="0" w:space="0" w:color="auto"/>
        <w:right w:val="none" w:sz="0" w:space="0" w:color="auto"/>
      </w:divBdr>
    </w:div>
    <w:div w:id="284894166">
      <w:bodyDiv w:val="1"/>
      <w:marLeft w:val="0"/>
      <w:marRight w:val="0"/>
      <w:marTop w:val="0"/>
      <w:marBottom w:val="0"/>
      <w:divBdr>
        <w:top w:val="none" w:sz="0" w:space="0" w:color="auto"/>
        <w:left w:val="none" w:sz="0" w:space="0" w:color="auto"/>
        <w:bottom w:val="none" w:sz="0" w:space="0" w:color="auto"/>
        <w:right w:val="none" w:sz="0" w:space="0" w:color="auto"/>
      </w:divBdr>
    </w:div>
    <w:div w:id="298344447">
      <w:bodyDiv w:val="1"/>
      <w:marLeft w:val="0"/>
      <w:marRight w:val="0"/>
      <w:marTop w:val="0"/>
      <w:marBottom w:val="0"/>
      <w:divBdr>
        <w:top w:val="none" w:sz="0" w:space="0" w:color="auto"/>
        <w:left w:val="none" w:sz="0" w:space="0" w:color="auto"/>
        <w:bottom w:val="none" w:sz="0" w:space="0" w:color="auto"/>
        <w:right w:val="none" w:sz="0" w:space="0" w:color="auto"/>
      </w:divBdr>
    </w:div>
    <w:div w:id="299960668">
      <w:bodyDiv w:val="1"/>
      <w:marLeft w:val="0"/>
      <w:marRight w:val="0"/>
      <w:marTop w:val="0"/>
      <w:marBottom w:val="0"/>
      <w:divBdr>
        <w:top w:val="none" w:sz="0" w:space="0" w:color="auto"/>
        <w:left w:val="none" w:sz="0" w:space="0" w:color="auto"/>
        <w:bottom w:val="none" w:sz="0" w:space="0" w:color="auto"/>
        <w:right w:val="none" w:sz="0" w:space="0" w:color="auto"/>
      </w:divBdr>
    </w:div>
    <w:div w:id="300234542">
      <w:bodyDiv w:val="1"/>
      <w:marLeft w:val="0"/>
      <w:marRight w:val="0"/>
      <w:marTop w:val="0"/>
      <w:marBottom w:val="0"/>
      <w:divBdr>
        <w:top w:val="none" w:sz="0" w:space="0" w:color="auto"/>
        <w:left w:val="none" w:sz="0" w:space="0" w:color="auto"/>
        <w:bottom w:val="none" w:sz="0" w:space="0" w:color="auto"/>
        <w:right w:val="none" w:sz="0" w:space="0" w:color="auto"/>
      </w:divBdr>
    </w:div>
    <w:div w:id="303122306">
      <w:bodyDiv w:val="1"/>
      <w:marLeft w:val="0"/>
      <w:marRight w:val="0"/>
      <w:marTop w:val="0"/>
      <w:marBottom w:val="0"/>
      <w:divBdr>
        <w:top w:val="none" w:sz="0" w:space="0" w:color="auto"/>
        <w:left w:val="none" w:sz="0" w:space="0" w:color="auto"/>
        <w:bottom w:val="none" w:sz="0" w:space="0" w:color="auto"/>
        <w:right w:val="none" w:sz="0" w:space="0" w:color="auto"/>
      </w:divBdr>
    </w:div>
    <w:div w:id="311176437">
      <w:bodyDiv w:val="1"/>
      <w:marLeft w:val="0"/>
      <w:marRight w:val="0"/>
      <w:marTop w:val="0"/>
      <w:marBottom w:val="0"/>
      <w:divBdr>
        <w:top w:val="none" w:sz="0" w:space="0" w:color="auto"/>
        <w:left w:val="none" w:sz="0" w:space="0" w:color="auto"/>
        <w:bottom w:val="none" w:sz="0" w:space="0" w:color="auto"/>
        <w:right w:val="none" w:sz="0" w:space="0" w:color="auto"/>
      </w:divBdr>
    </w:div>
    <w:div w:id="349263454">
      <w:bodyDiv w:val="1"/>
      <w:marLeft w:val="0"/>
      <w:marRight w:val="0"/>
      <w:marTop w:val="0"/>
      <w:marBottom w:val="0"/>
      <w:divBdr>
        <w:top w:val="none" w:sz="0" w:space="0" w:color="auto"/>
        <w:left w:val="none" w:sz="0" w:space="0" w:color="auto"/>
        <w:bottom w:val="none" w:sz="0" w:space="0" w:color="auto"/>
        <w:right w:val="none" w:sz="0" w:space="0" w:color="auto"/>
      </w:divBdr>
    </w:div>
    <w:div w:id="354771176">
      <w:bodyDiv w:val="1"/>
      <w:marLeft w:val="0"/>
      <w:marRight w:val="0"/>
      <w:marTop w:val="0"/>
      <w:marBottom w:val="0"/>
      <w:divBdr>
        <w:top w:val="none" w:sz="0" w:space="0" w:color="auto"/>
        <w:left w:val="none" w:sz="0" w:space="0" w:color="auto"/>
        <w:bottom w:val="none" w:sz="0" w:space="0" w:color="auto"/>
        <w:right w:val="none" w:sz="0" w:space="0" w:color="auto"/>
      </w:divBdr>
    </w:div>
    <w:div w:id="389040457">
      <w:bodyDiv w:val="1"/>
      <w:marLeft w:val="0"/>
      <w:marRight w:val="0"/>
      <w:marTop w:val="0"/>
      <w:marBottom w:val="0"/>
      <w:divBdr>
        <w:top w:val="none" w:sz="0" w:space="0" w:color="auto"/>
        <w:left w:val="none" w:sz="0" w:space="0" w:color="auto"/>
        <w:bottom w:val="none" w:sz="0" w:space="0" w:color="auto"/>
        <w:right w:val="none" w:sz="0" w:space="0" w:color="auto"/>
      </w:divBdr>
    </w:div>
    <w:div w:id="396131006">
      <w:bodyDiv w:val="1"/>
      <w:marLeft w:val="0"/>
      <w:marRight w:val="0"/>
      <w:marTop w:val="0"/>
      <w:marBottom w:val="0"/>
      <w:divBdr>
        <w:top w:val="none" w:sz="0" w:space="0" w:color="auto"/>
        <w:left w:val="none" w:sz="0" w:space="0" w:color="auto"/>
        <w:bottom w:val="none" w:sz="0" w:space="0" w:color="auto"/>
        <w:right w:val="none" w:sz="0" w:space="0" w:color="auto"/>
      </w:divBdr>
    </w:div>
    <w:div w:id="398409369">
      <w:bodyDiv w:val="1"/>
      <w:marLeft w:val="0"/>
      <w:marRight w:val="0"/>
      <w:marTop w:val="0"/>
      <w:marBottom w:val="0"/>
      <w:divBdr>
        <w:top w:val="none" w:sz="0" w:space="0" w:color="auto"/>
        <w:left w:val="none" w:sz="0" w:space="0" w:color="auto"/>
        <w:bottom w:val="none" w:sz="0" w:space="0" w:color="auto"/>
        <w:right w:val="none" w:sz="0" w:space="0" w:color="auto"/>
      </w:divBdr>
    </w:div>
    <w:div w:id="425465665">
      <w:bodyDiv w:val="1"/>
      <w:marLeft w:val="0"/>
      <w:marRight w:val="0"/>
      <w:marTop w:val="0"/>
      <w:marBottom w:val="0"/>
      <w:divBdr>
        <w:top w:val="none" w:sz="0" w:space="0" w:color="auto"/>
        <w:left w:val="none" w:sz="0" w:space="0" w:color="auto"/>
        <w:bottom w:val="none" w:sz="0" w:space="0" w:color="auto"/>
        <w:right w:val="none" w:sz="0" w:space="0" w:color="auto"/>
      </w:divBdr>
    </w:div>
    <w:div w:id="427388339">
      <w:bodyDiv w:val="1"/>
      <w:marLeft w:val="0"/>
      <w:marRight w:val="0"/>
      <w:marTop w:val="0"/>
      <w:marBottom w:val="0"/>
      <w:divBdr>
        <w:top w:val="none" w:sz="0" w:space="0" w:color="auto"/>
        <w:left w:val="none" w:sz="0" w:space="0" w:color="auto"/>
        <w:bottom w:val="none" w:sz="0" w:space="0" w:color="auto"/>
        <w:right w:val="none" w:sz="0" w:space="0" w:color="auto"/>
      </w:divBdr>
    </w:div>
    <w:div w:id="441532035">
      <w:bodyDiv w:val="1"/>
      <w:marLeft w:val="0"/>
      <w:marRight w:val="0"/>
      <w:marTop w:val="0"/>
      <w:marBottom w:val="0"/>
      <w:divBdr>
        <w:top w:val="none" w:sz="0" w:space="0" w:color="auto"/>
        <w:left w:val="none" w:sz="0" w:space="0" w:color="auto"/>
        <w:bottom w:val="none" w:sz="0" w:space="0" w:color="auto"/>
        <w:right w:val="none" w:sz="0" w:space="0" w:color="auto"/>
      </w:divBdr>
    </w:div>
    <w:div w:id="457528018">
      <w:bodyDiv w:val="1"/>
      <w:marLeft w:val="0"/>
      <w:marRight w:val="0"/>
      <w:marTop w:val="0"/>
      <w:marBottom w:val="0"/>
      <w:divBdr>
        <w:top w:val="none" w:sz="0" w:space="0" w:color="auto"/>
        <w:left w:val="none" w:sz="0" w:space="0" w:color="auto"/>
        <w:bottom w:val="none" w:sz="0" w:space="0" w:color="auto"/>
        <w:right w:val="none" w:sz="0" w:space="0" w:color="auto"/>
      </w:divBdr>
    </w:div>
    <w:div w:id="461701739">
      <w:bodyDiv w:val="1"/>
      <w:marLeft w:val="0"/>
      <w:marRight w:val="0"/>
      <w:marTop w:val="0"/>
      <w:marBottom w:val="0"/>
      <w:divBdr>
        <w:top w:val="none" w:sz="0" w:space="0" w:color="auto"/>
        <w:left w:val="none" w:sz="0" w:space="0" w:color="auto"/>
        <w:bottom w:val="none" w:sz="0" w:space="0" w:color="auto"/>
        <w:right w:val="none" w:sz="0" w:space="0" w:color="auto"/>
      </w:divBdr>
    </w:div>
    <w:div w:id="472717123">
      <w:bodyDiv w:val="1"/>
      <w:marLeft w:val="0"/>
      <w:marRight w:val="0"/>
      <w:marTop w:val="0"/>
      <w:marBottom w:val="0"/>
      <w:divBdr>
        <w:top w:val="none" w:sz="0" w:space="0" w:color="auto"/>
        <w:left w:val="none" w:sz="0" w:space="0" w:color="auto"/>
        <w:bottom w:val="none" w:sz="0" w:space="0" w:color="auto"/>
        <w:right w:val="none" w:sz="0" w:space="0" w:color="auto"/>
      </w:divBdr>
    </w:div>
    <w:div w:id="480125715">
      <w:bodyDiv w:val="1"/>
      <w:marLeft w:val="0"/>
      <w:marRight w:val="0"/>
      <w:marTop w:val="0"/>
      <w:marBottom w:val="0"/>
      <w:divBdr>
        <w:top w:val="none" w:sz="0" w:space="0" w:color="auto"/>
        <w:left w:val="none" w:sz="0" w:space="0" w:color="auto"/>
        <w:bottom w:val="none" w:sz="0" w:space="0" w:color="auto"/>
        <w:right w:val="none" w:sz="0" w:space="0" w:color="auto"/>
      </w:divBdr>
    </w:div>
    <w:div w:id="488448204">
      <w:bodyDiv w:val="1"/>
      <w:marLeft w:val="0"/>
      <w:marRight w:val="0"/>
      <w:marTop w:val="0"/>
      <w:marBottom w:val="0"/>
      <w:divBdr>
        <w:top w:val="none" w:sz="0" w:space="0" w:color="auto"/>
        <w:left w:val="none" w:sz="0" w:space="0" w:color="auto"/>
        <w:bottom w:val="none" w:sz="0" w:space="0" w:color="auto"/>
        <w:right w:val="none" w:sz="0" w:space="0" w:color="auto"/>
      </w:divBdr>
    </w:div>
    <w:div w:id="490220409">
      <w:bodyDiv w:val="1"/>
      <w:marLeft w:val="0"/>
      <w:marRight w:val="0"/>
      <w:marTop w:val="0"/>
      <w:marBottom w:val="0"/>
      <w:divBdr>
        <w:top w:val="none" w:sz="0" w:space="0" w:color="auto"/>
        <w:left w:val="none" w:sz="0" w:space="0" w:color="auto"/>
        <w:bottom w:val="none" w:sz="0" w:space="0" w:color="auto"/>
        <w:right w:val="none" w:sz="0" w:space="0" w:color="auto"/>
      </w:divBdr>
    </w:div>
    <w:div w:id="513882122">
      <w:bodyDiv w:val="1"/>
      <w:marLeft w:val="0"/>
      <w:marRight w:val="0"/>
      <w:marTop w:val="0"/>
      <w:marBottom w:val="0"/>
      <w:divBdr>
        <w:top w:val="none" w:sz="0" w:space="0" w:color="auto"/>
        <w:left w:val="none" w:sz="0" w:space="0" w:color="auto"/>
        <w:bottom w:val="none" w:sz="0" w:space="0" w:color="auto"/>
        <w:right w:val="none" w:sz="0" w:space="0" w:color="auto"/>
      </w:divBdr>
    </w:div>
    <w:div w:id="521742551">
      <w:bodyDiv w:val="1"/>
      <w:marLeft w:val="0"/>
      <w:marRight w:val="0"/>
      <w:marTop w:val="0"/>
      <w:marBottom w:val="0"/>
      <w:divBdr>
        <w:top w:val="none" w:sz="0" w:space="0" w:color="auto"/>
        <w:left w:val="none" w:sz="0" w:space="0" w:color="auto"/>
        <w:bottom w:val="none" w:sz="0" w:space="0" w:color="auto"/>
        <w:right w:val="none" w:sz="0" w:space="0" w:color="auto"/>
      </w:divBdr>
    </w:div>
    <w:div w:id="526062478">
      <w:bodyDiv w:val="1"/>
      <w:marLeft w:val="0"/>
      <w:marRight w:val="0"/>
      <w:marTop w:val="0"/>
      <w:marBottom w:val="0"/>
      <w:divBdr>
        <w:top w:val="none" w:sz="0" w:space="0" w:color="auto"/>
        <w:left w:val="none" w:sz="0" w:space="0" w:color="auto"/>
        <w:bottom w:val="none" w:sz="0" w:space="0" w:color="auto"/>
        <w:right w:val="none" w:sz="0" w:space="0" w:color="auto"/>
      </w:divBdr>
    </w:div>
    <w:div w:id="526875039">
      <w:bodyDiv w:val="1"/>
      <w:marLeft w:val="0"/>
      <w:marRight w:val="0"/>
      <w:marTop w:val="0"/>
      <w:marBottom w:val="0"/>
      <w:divBdr>
        <w:top w:val="none" w:sz="0" w:space="0" w:color="auto"/>
        <w:left w:val="none" w:sz="0" w:space="0" w:color="auto"/>
        <w:bottom w:val="none" w:sz="0" w:space="0" w:color="auto"/>
        <w:right w:val="none" w:sz="0" w:space="0" w:color="auto"/>
      </w:divBdr>
    </w:div>
    <w:div w:id="529143532">
      <w:bodyDiv w:val="1"/>
      <w:marLeft w:val="0"/>
      <w:marRight w:val="0"/>
      <w:marTop w:val="0"/>
      <w:marBottom w:val="0"/>
      <w:divBdr>
        <w:top w:val="none" w:sz="0" w:space="0" w:color="auto"/>
        <w:left w:val="none" w:sz="0" w:space="0" w:color="auto"/>
        <w:bottom w:val="none" w:sz="0" w:space="0" w:color="auto"/>
        <w:right w:val="none" w:sz="0" w:space="0" w:color="auto"/>
      </w:divBdr>
    </w:div>
    <w:div w:id="534544215">
      <w:bodyDiv w:val="1"/>
      <w:marLeft w:val="0"/>
      <w:marRight w:val="0"/>
      <w:marTop w:val="0"/>
      <w:marBottom w:val="0"/>
      <w:divBdr>
        <w:top w:val="none" w:sz="0" w:space="0" w:color="auto"/>
        <w:left w:val="none" w:sz="0" w:space="0" w:color="auto"/>
        <w:bottom w:val="none" w:sz="0" w:space="0" w:color="auto"/>
        <w:right w:val="none" w:sz="0" w:space="0" w:color="auto"/>
      </w:divBdr>
    </w:div>
    <w:div w:id="535118752">
      <w:bodyDiv w:val="1"/>
      <w:marLeft w:val="0"/>
      <w:marRight w:val="0"/>
      <w:marTop w:val="0"/>
      <w:marBottom w:val="0"/>
      <w:divBdr>
        <w:top w:val="none" w:sz="0" w:space="0" w:color="auto"/>
        <w:left w:val="none" w:sz="0" w:space="0" w:color="auto"/>
        <w:bottom w:val="none" w:sz="0" w:space="0" w:color="auto"/>
        <w:right w:val="none" w:sz="0" w:space="0" w:color="auto"/>
      </w:divBdr>
    </w:div>
    <w:div w:id="540677895">
      <w:bodyDiv w:val="1"/>
      <w:marLeft w:val="0"/>
      <w:marRight w:val="0"/>
      <w:marTop w:val="0"/>
      <w:marBottom w:val="0"/>
      <w:divBdr>
        <w:top w:val="none" w:sz="0" w:space="0" w:color="auto"/>
        <w:left w:val="none" w:sz="0" w:space="0" w:color="auto"/>
        <w:bottom w:val="none" w:sz="0" w:space="0" w:color="auto"/>
        <w:right w:val="none" w:sz="0" w:space="0" w:color="auto"/>
      </w:divBdr>
    </w:div>
    <w:div w:id="543686794">
      <w:bodyDiv w:val="1"/>
      <w:marLeft w:val="0"/>
      <w:marRight w:val="0"/>
      <w:marTop w:val="0"/>
      <w:marBottom w:val="0"/>
      <w:divBdr>
        <w:top w:val="none" w:sz="0" w:space="0" w:color="auto"/>
        <w:left w:val="none" w:sz="0" w:space="0" w:color="auto"/>
        <w:bottom w:val="none" w:sz="0" w:space="0" w:color="auto"/>
        <w:right w:val="none" w:sz="0" w:space="0" w:color="auto"/>
      </w:divBdr>
    </w:div>
    <w:div w:id="544567561">
      <w:bodyDiv w:val="1"/>
      <w:marLeft w:val="0"/>
      <w:marRight w:val="0"/>
      <w:marTop w:val="0"/>
      <w:marBottom w:val="0"/>
      <w:divBdr>
        <w:top w:val="none" w:sz="0" w:space="0" w:color="auto"/>
        <w:left w:val="none" w:sz="0" w:space="0" w:color="auto"/>
        <w:bottom w:val="none" w:sz="0" w:space="0" w:color="auto"/>
        <w:right w:val="none" w:sz="0" w:space="0" w:color="auto"/>
      </w:divBdr>
    </w:div>
    <w:div w:id="552278769">
      <w:bodyDiv w:val="1"/>
      <w:marLeft w:val="0"/>
      <w:marRight w:val="0"/>
      <w:marTop w:val="0"/>
      <w:marBottom w:val="0"/>
      <w:divBdr>
        <w:top w:val="none" w:sz="0" w:space="0" w:color="auto"/>
        <w:left w:val="none" w:sz="0" w:space="0" w:color="auto"/>
        <w:bottom w:val="none" w:sz="0" w:space="0" w:color="auto"/>
        <w:right w:val="none" w:sz="0" w:space="0" w:color="auto"/>
      </w:divBdr>
    </w:div>
    <w:div w:id="564410890">
      <w:bodyDiv w:val="1"/>
      <w:marLeft w:val="0"/>
      <w:marRight w:val="0"/>
      <w:marTop w:val="0"/>
      <w:marBottom w:val="0"/>
      <w:divBdr>
        <w:top w:val="none" w:sz="0" w:space="0" w:color="auto"/>
        <w:left w:val="none" w:sz="0" w:space="0" w:color="auto"/>
        <w:bottom w:val="none" w:sz="0" w:space="0" w:color="auto"/>
        <w:right w:val="none" w:sz="0" w:space="0" w:color="auto"/>
      </w:divBdr>
    </w:div>
    <w:div w:id="568853755">
      <w:bodyDiv w:val="1"/>
      <w:marLeft w:val="0"/>
      <w:marRight w:val="0"/>
      <w:marTop w:val="0"/>
      <w:marBottom w:val="0"/>
      <w:divBdr>
        <w:top w:val="none" w:sz="0" w:space="0" w:color="auto"/>
        <w:left w:val="none" w:sz="0" w:space="0" w:color="auto"/>
        <w:bottom w:val="none" w:sz="0" w:space="0" w:color="auto"/>
        <w:right w:val="none" w:sz="0" w:space="0" w:color="auto"/>
      </w:divBdr>
    </w:div>
    <w:div w:id="569928919">
      <w:bodyDiv w:val="1"/>
      <w:marLeft w:val="0"/>
      <w:marRight w:val="0"/>
      <w:marTop w:val="0"/>
      <w:marBottom w:val="0"/>
      <w:divBdr>
        <w:top w:val="none" w:sz="0" w:space="0" w:color="auto"/>
        <w:left w:val="none" w:sz="0" w:space="0" w:color="auto"/>
        <w:bottom w:val="none" w:sz="0" w:space="0" w:color="auto"/>
        <w:right w:val="none" w:sz="0" w:space="0" w:color="auto"/>
      </w:divBdr>
    </w:div>
    <w:div w:id="575088959">
      <w:bodyDiv w:val="1"/>
      <w:marLeft w:val="0"/>
      <w:marRight w:val="0"/>
      <w:marTop w:val="0"/>
      <w:marBottom w:val="0"/>
      <w:divBdr>
        <w:top w:val="none" w:sz="0" w:space="0" w:color="auto"/>
        <w:left w:val="none" w:sz="0" w:space="0" w:color="auto"/>
        <w:bottom w:val="none" w:sz="0" w:space="0" w:color="auto"/>
        <w:right w:val="none" w:sz="0" w:space="0" w:color="auto"/>
      </w:divBdr>
    </w:div>
    <w:div w:id="583803393">
      <w:bodyDiv w:val="1"/>
      <w:marLeft w:val="0"/>
      <w:marRight w:val="0"/>
      <w:marTop w:val="0"/>
      <w:marBottom w:val="0"/>
      <w:divBdr>
        <w:top w:val="none" w:sz="0" w:space="0" w:color="auto"/>
        <w:left w:val="none" w:sz="0" w:space="0" w:color="auto"/>
        <w:bottom w:val="none" w:sz="0" w:space="0" w:color="auto"/>
        <w:right w:val="none" w:sz="0" w:space="0" w:color="auto"/>
      </w:divBdr>
    </w:div>
    <w:div w:id="584728118">
      <w:bodyDiv w:val="1"/>
      <w:marLeft w:val="0"/>
      <w:marRight w:val="0"/>
      <w:marTop w:val="0"/>
      <w:marBottom w:val="0"/>
      <w:divBdr>
        <w:top w:val="none" w:sz="0" w:space="0" w:color="auto"/>
        <w:left w:val="none" w:sz="0" w:space="0" w:color="auto"/>
        <w:bottom w:val="none" w:sz="0" w:space="0" w:color="auto"/>
        <w:right w:val="none" w:sz="0" w:space="0" w:color="auto"/>
      </w:divBdr>
    </w:div>
    <w:div w:id="594942844">
      <w:bodyDiv w:val="1"/>
      <w:marLeft w:val="0"/>
      <w:marRight w:val="0"/>
      <w:marTop w:val="0"/>
      <w:marBottom w:val="0"/>
      <w:divBdr>
        <w:top w:val="none" w:sz="0" w:space="0" w:color="auto"/>
        <w:left w:val="none" w:sz="0" w:space="0" w:color="auto"/>
        <w:bottom w:val="none" w:sz="0" w:space="0" w:color="auto"/>
        <w:right w:val="none" w:sz="0" w:space="0" w:color="auto"/>
      </w:divBdr>
    </w:div>
    <w:div w:id="601842252">
      <w:bodyDiv w:val="1"/>
      <w:marLeft w:val="0"/>
      <w:marRight w:val="0"/>
      <w:marTop w:val="0"/>
      <w:marBottom w:val="0"/>
      <w:divBdr>
        <w:top w:val="none" w:sz="0" w:space="0" w:color="auto"/>
        <w:left w:val="none" w:sz="0" w:space="0" w:color="auto"/>
        <w:bottom w:val="none" w:sz="0" w:space="0" w:color="auto"/>
        <w:right w:val="none" w:sz="0" w:space="0" w:color="auto"/>
      </w:divBdr>
    </w:div>
    <w:div w:id="601913203">
      <w:bodyDiv w:val="1"/>
      <w:marLeft w:val="0"/>
      <w:marRight w:val="0"/>
      <w:marTop w:val="0"/>
      <w:marBottom w:val="0"/>
      <w:divBdr>
        <w:top w:val="none" w:sz="0" w:space="0" w:color="auto"/>
        <w:left w:val="none" w:sz="0" w:space="0" w:color="auto"/>
        <w:bottom w:val="none" w:sz="0" w:space="0" w:color="auto"/>
        <w:right w:val="none" w:sz="0" w:space="0" w:color="auto"/>
      </w:divBdr>
    </w:div>
    <w:div w:id="604192908">
      <w:bodyDiv w:val="1"/>
      <w:marLeft w:val="0"/>
      <w:marRight w:val="0"/>
      <w:marTop w:val="0"/>
      <w:marBottom w:val="0"/>
      <w:divBdr>
        <w:top w:val="none" w:sz="0" w:space="0" w:color="auto"/>
        <w:left w:val="none" w:sz="0" w:space="0" w:color="auto"/>
        <w:bottom w:val="none" w:sz="0" w:space="0" w:color="auto"/>
        <w:right w:val="none" w:sz="0" w:space="0" w:color="auto"/>
      </w:divBdr>
    </w:div>
    <w:div w:id="610665662">
      <w:bodyDiv w:val="1"/>
      <w:marLeft w:val="0"/>
      <w:marRight w:val="0"/>
      <w:marTop w:val="0"/>
      <w:marBottom w:val="0"/>
      <w:divBdr>
        <w:top w:val="none" w:sz="0" w:space="0" w:color="auto"/>
        <w:left w:val="none" w:sz="0" w:space="0" w:color="auto"/>
        <w:bottom w:val="none" w:sz="0" w:space="0" w:color="auto"/>
        <w:right w:val="none" w:sz="0" w:space="0" w:color="auto"/>
      </w:divBdr>
    </w:div>
    <w:div w:id="644168274">
      <w:bodyDiv w:val="1"/>
      <w:marLeft w:val="0"/>
      <w:marRight w:val="0"/>
      <w:marTop w:val="0"/>
      <w:marBottom w:val="0"/>
      <w:divBdr>
        <w:top w:val="none" w:sz="0" w:space="0" w:color="auto"/>
        <w:left w:val="none" w:sz="0" w:space="0" w:color="auto"/>
        <w:bottom w:val="none" w:sz="0" w:space="0" w:color="auto"/>
        <w:right w:val="none" w:sz="0" w:space="0" w:color="auto"/>
      </w:divBdr>
    </w:div>
    <w:div w:id="647365776">
      <w:bodyDiv w:val="1"/>
      <w:marLeft w:val="0"/>
      <w:marRight w:val="0"/>
      <w:marTop w:val="0"/>
      <w:marBottom w:val="0"/>
      <w:divBdr>
        <w:top w:val="none" w:sz="0" w:space="0" w:color="auto"/>
        <w:left w:val="none" w:sz="0" w:space="0" w:color="auto"/>
        <w:bottom w:val="none" w:sz="0" w:space="0" w:color="auto"/>
        <w:right w:val="none" w:sz="0" w:space="0" w:color="auto"/>
      </w:divBdr>
    </w:div>
    <w:div w:id="649754593">
      <w:bodyDiv w:val="1"/>
      <w:marLeft w:val="0"/>
      <w:marRight w:val="0"/>
      <w:marTop w:val="0"/>
      <w:marBottom w:val="0"/>
      <w:divBdr>
        <w:top w:val="none" w:sz="0" w:space="0" w:color="auto"/>
        <w:left w:val="none" w:sz="0" w:space="0" w:color="auto"/>
        <w:bottom w:val="none" w:sz="0" w:space="0" w:color="auto"/>
        <w:right w:val="none" w:sz="0" w:space="0" w:color="auto"/>
      </w:divBdr>
    </w:div>
    <w:div w:id="650987162">
      <w:bodyDiv w:val="1"/>
      <w:marLeft w:val="0"/>
      <w:marRight w:val="0"/>
      <w:marTop w:val="0"/>
      <w:marBottom w:val="0"/>
      <w:divBdr>
        <w:top w:val="none" w:sz="0" w:space="0" w:color="auto"/>
        <w:left w:val="none" w:sz="0" w:space="0" w:color="auto"/>
        <w:bottom w:val="none" w:sz="0" w:space="0" w:color="auto"/>
        <w:right w:val="none" w:sz="0" w:space="0" w:color="auto"/>
      </w:divBdr>
    </w:div>
    <w:div w:id="667516891">
      <w:bodyDiv w:val="1"/>
      <w:marLeft w:val="0"/>
      <w:marRight w:val="0"/>
      <w:marTop w:val="0"/>
      <w:marBottom w:val="0"/>
      <w:divBdr>
        <w:top w:val="none" w:sz="0" w:space="0" w:color="auto"/>
        <w:left w:val="none" w:sz="0" w:space="0" w:color="auto"/>
        <w:bottom w:val="none" w:sz="0" w:space="0" w:color="auto"/>
        <w:right w:val="none" w:sz="0" w:space="0" w:color="auto"/>
      </w:divBdr>
    </w:div>
    <w:div w:id="667560978">
      <w:bodyDiv w:val="1"/>
      <w:marLeft w:val="0"/>
      <w:marRight w:val="0"/>
      <w:marTop w:val="0"/>
      <w:marBottom w:val="0"/>
      <w:divBdr>
        <w:top w:val="none" w:sz="0" w:space="0" w:color="auto"/>
        <w:left w:val="none" w:sz="0" w:space="0" w:color="auto"/>
        <w:bottom w:val="none" w:sz="0" w:space="0" w:color="auto"/>
        <w:right w:val="none" w:sz="0" w:space="0" w:color="auto"/>
      </w:divBdr>
    </w:div>
    <w:div w:id="671297415">
      <w:bodyDiv w:val="1"/>
      <w:marLeft w:val="0"/>
      <w:marRight w:val="0"/>
      <w:marTop w:val="0"/>
      <w:marBottom w:val="0"/>
      <w:divBdr>
        <w:top w:val="none" w:sz="0" w:space="0" w:color="auto"/>
        <w:left w:val="none" w:sz="0" w:space="0" w:color="auto"/>
        <w:bottom w:val="none" w:sz="0" w:space="0" w:color="auto"/>
        <w:right w:val="none" w:sz="0" w:space="0" w:color="auto"/>
      </w:divBdr>
    </w:div>
    <w:div w:id="676468032">
      <w:bodyDiv w:val="1"/>
      <w:marLeft w:val="0"/>
      <w:marRight w:val="0"/>
      <w:marTop w:val="0"/>
      <w:marBottom w:val="0"/>
      <w:divBdr>
        <w:top w:val="none" w:sz="0" w:space="0" w:color="auto"/>
        <w:left w:val="none" w:sz="0" w:space="0" w:color="auto"/>
        <w:bottom w:val="none" w:sz="0" w:space="0" w:color="auto"/>
        <w:right w:val="none" w:sz="0" w:space="0" w:color="auto"/>
      </w:divBdr>
    </w:div>
    <w:div w:id="677465557">
      <w:bodyDiv w:val="1"/>
      <w:marLeft w:val="0"/>
      <w:marRight w:val="0"/>
      <w:marTop w:val="0"/>
      <w:marBottom w:val="0"/>
      <w:divBdr>
        <w:top w:val="none" w:sz="0" w:space="0" w:color="auto"/>
        <w:left w:val="none" w:sz="0" w:space="0" w:color="auto"/>
        <w:bottom w:val="none" w:sz="0" w:space="0" w:color="auto"/>
        <w:right w:val="none" w:sz="0" w:space="0" w:color="auto"/>
      </w:divBdr>
    </w:div>
    <w:div w:id="679817694">
      <w:bodyDiv w:val="1"/>
      <w:marLeft w:val="0"/>
      <w:marRight w:val="0"/>
      <w:marTop w:val="0"/>
      <w:marBottom w:val="0"/>
      <w:divBdr>
        <w:top w:val="none" w:sz="0" w:space="0" w:color="auto"/>
        <w:left w:val="none" w:sz="0" w:space="0" w:color="auto"/>
        <w:bottom w:val="none" w:sz="0" w:space="0" w:color="auto"/>
        <w:right w:val="none" w:sz="0" w:space="0" w:color="auto"/>
      </w:divBdr>
    </w:div>
    <w:div w:id="690226044">
      <w:bodyDiv w:val="1"/>
      <w:marLeft w:val="0"/>
      <w:marRight w:val="0"/>
      <w:marTop w:val="0"/>
      <w:marBottom w:val="0"/>
      <w:divBdr>
        <w:top w:val="none" w:sz="0" w:space="0" w:color="auto"/>
        <w:left w:val="none" w:sz="0" w:space="0" w:color="auto"/>
        <w:bottom w:val="none" w:sz="0" w:space="0" w:color="auto"/>
        <w:right w:val="none" w:sz="0" w:space="0" w:color="auto"/>
      </w:divBdr>
    </w:div>
    <w:div w:id="704791381">
      <w:bodyDiv w:val="1"/>
      <w:marLeft w:val="0"/>
      <w:marRight w:val="0"/>
      <w:marTop w:val="0"/>
      <w:marBottom w:val="0"/>
      <w:divBdr>
        <w:top w:val="none" w:sz="0" w:space="0" w:color="auto"/>
        <w:left w:val="none" w:sz="0" w:space="0" w:color="auto"/>
        <w:bottom w:val="none" w:sz="0" w:space="0" w:color="auto"/>
        <w:right w:val="none" w:sz="0" w:space="0" w:color="auto"/>
      </w:divBdr>
    </w:div>
    <w:div w:id="724335006">
      <w:bodyDiv w:val="1"/>
      <w:marLeft w:val="0"/>
      <w:marRight w:val="0"/>
      <w:marTop w:val="0"/>
      <w:marBottom w:val="0"/>
      <w:divBdr>
        <w:top w:val="none" w:sz="0" w:space="0" w:color="auto"/>
        <w:left w:val="none" w:sz="0" w:space="0" w:color="auto"/>
        <w:bottom w:val="none" w:sz="0" w:space="0" w:color="auto"/>
        <w:right w:val="none" w:sz="0" w:space="0" w:color="auto"/>
      </w:divBdr>
    </w:div>
    <w:div w:id="729042562">
      <w:bodyDiv w:val="1"/>
      <w:marLeft w:val="0"/>
      <w:marRight w:val="0"/>
      <w:marTop w:val="0"/>
      <w:marBottom w:val="0"/>
      <w:divBdr>
        <w:top w:val="none" w:sz="0" w:space="0" w:color="auto"/>
        <w:left w:val="none" w:sz="0" w:space="0" w:color="auto"/>
        <w:bottom w:val="none" w:sz="0" w:space="0" w:color="auto"/>
        <w:right w:val="none" w:sz="0" w:space="0" w:color="auto"/>
      </w:divBdr>
    </w:div>
    <w:div w:id="737434490">
      <w:bodyDiv w:val="1"/>
      <w:marLeft w:val="0"/>
      <w:marRight w:val="0"/>
      <w:marTop w:val="0"/>
      <w:marBottom w:val="0"/>
      <w:divBdr>
        <w:top w:val="none" w:sz="0" w:space="0" w:color="auto"/>
        <w:left w:val="none" w:sz="0" w:space="0" w:color="auto"/>
        <w:bottom w:val="none" w:sz="0" w:space="0" w:color="auto"/>
        <w:right w:val="none" w:sz="0" w:space="0" w:color="auto"/>
      </w:divBdr>
    </w:div>
    <w:div w:id="741219866">
      <w:bodyDiv w:val="1"/>
      <w:marLeft w:val="0"/>
      <w:marRight w:val="0"/>
      <w:marTop w:val="0"/>
      <w:marBottom w:val="0"/>
      <w:divBdr>
        <w:top w:val="none" w:sz="0" w:space="0" w:color="auto"/>
        <w:left w:val="none" w:sz="0" w:space="0" w:color="auto"/>
        <w:bottom w:val="none" w:sz="0" w:space="0" w:color="auto"/>
        <w:right w:val="none" w:sz="0" w:space="0" w:color="auto"/>
      </w:divBdr>
    </w:div>
    <w:div w:id="743800449">
      <w:bodyDiv w:val="1"/>
      <w:marLeft w:val="0"/>
      <w:marRight w:val="0"/>
      <w:marTop w:val="0"/>
      <w:marBottom w:val="0"/>
      <w:divBdr>
        <w:top w:val="none" w:sz="0" w:space="0" w:color="auto"/>
        <w:left w:val="none" w:sz="0" w:space="0" w:color="auto"/>
        <w:bottom w:val="none" w:sz="0" w:space="0" w:color="auto"/>
        <w:right w:val="none" w:sz="0" w:space="0" w:color="auto"/>
      </w:divBdr>
    </w:div>
    <w:div w:id="751320156">
      <w:bodyDiv w:val="1"/>
      <w:marLeft w:val="0"/>
      <w:marRight w:val="0"/>
      <w:marTop w:val="0"/>
      <w:marBottom w:val="0"/>
      <w:divBdr>
        <w:top w:val="none" w:sz="0" w:space="0" w:color="auto"/>
        <w:left w:val="none" w:sz="0" w:space="0" w:color="auto"/>
        <w:bottom w:val="none" w:sz="0" w:space="0" w:color="auto"/>
        <w:right w:val="none" w:sz="0" w:space="0" w:color="auto"/>
      </w:divBdr>
    </w:div>
    <w:div w:id="753822938">
      <w:bodyDiv w:val="1"/>
      <w:marLeft w:val="0"/>
      <w:marRight w:val="0"/>
      <w:marTop w:val="0"/>
      <w:marBottom w:val="0"/>
      <w:divBdr>
        <w:top w:val="none" w:sz="0" w:space="0" w:color="auto"/>
        <w:left w:val="none" w:sz="0" w:space="0" w:color="auto"/>
        <w:bottom w:val="none" w:sz="0" w:space="0" w:color="auto"/>
        <w:right w:val="none" w:sz="0" w:space="0" w:color="auto"/>
      </w:divBdr>
    </w:div>
    <w:div w:id="755833185">
      <w:bodyDiv w:val="1"/>
      <w:marLeft w:val="0"/>
      <w:marRight w:val="0"/>
      <w:marTop w:val="0"/>
      <w:marBottom w:val="0"/>
      <w:divBdr>
        <w:top w:val="none" w:sz="0" w:space="0" w:color="auto"/>
        <w:left w:val="none" w:sz="0" w:space="0" w:color="auto"/>
        <w:bottom w:val="none" w:sz="0" w:space="0" w:color="auto"/>
        <w:right w:val="none" w:sz="0" w:space="0" w:color="auto"/>
      </w:divBdr>
    </w:div>
    <w:div w:id="778913162">
      <w:bodyDiv w:val="1"/>
      <w:marLeft w:val="0"/>
      <w:marRight w:val="0"/>
      <w:marTop w:val="0"/>
      <w:marBottom w:val="0"/>
      <w:divBdr>
        <w:top w:val="none" w:sz="0" w:space="0" w:color="auto"/>
        <w:left w:val="none" w:sz="0" w:space="0" w:color="auto"/>
        <w:bottom w:val="none" w:sz="0" w:space="0" w:color="auto"/>
        <w:right w:val="none" w:sz="0" w:space="0" w:color="auto"/>
      </w:divBdr>
    </w:div>
    <w:div w:id="781414813">
      <w:bodyDiv w:val="1"/>
      <w:marLeft w:val="0"/>
      <w:marRight w:val="0"/>
      <w:marTop w:val="0"/>
      <w:marBottom w:val="0"/>
      <w:divBdr>
        <w:top w:val="none" w:sz="0" w:space="0" w:color="auto"/>
        <w:left w:val="none" w:sz="0" w:space="0" w:color="auto"/>
        <w:bottom w:val="none" w:sz="0" w:space="0" w:color="auto"/>
        <w:right w:val="none" w:sz="0" w:space="0" w:color="auto"/>
      </w:divBdr>
    </w:div>
    <w:div w:id="789204726">
      <w:bodyDiv w:val="1"/>
      <w:marLeft w:val="0"/>
      <w:marRight w:val="0"/>
      <w:marTop w:val="0"/>
      <w:marBottom w:val="0"/>
      <w:divBdr>
        <w:top w:val="none" w:sz="0" w:space="0" w:color="auto"/>
        <w:left w:val="none" w:sz="0" w:space="0" w:color="auto"/>
        <w:bottom w:val="none" w:sz="0" w:space="0" w:color="auto"/>
        <w:right w:val="none" w:sz="0" w:space="0" w:color="auto"/>
      </w:divBdr>
    </w:div>
    <w:div w:id="804471360">
      <w:bodyDiv w:val="1"/>
      <w:marLeft w:val="0"/>
      <w:marRight w:val="0"/>
      <w:marTop w:val="0"/>
      <w:marBottom w:val="0"/>
      <w:divBdr>
        <w:top w:val="none" w:sz="0" w:space="0" w:color="auto"/>
        <w:left w:val="none" w:sz="0" w:space="0" w:color="auto"/>
        <w:bottom w:val="none" w:sz="0" w:space="0" w:color="auto"/>
        <w:right w:val="none" w:sz="0" w:space="0" w:color="auto"/>
      </w:divBdr>
    </w:div>
    <w:div w:id="807236516">
      <w:bodyDiv w:val="1"/>
      <w:marLeft w:val="0"/>
      <w:marRight w:val="0"/>
      <w:marTop w:val="0"/>
      <w:marBottom w:val="0"/>
      <w:divBdr>
        <w:top w:val="none" w:sz="0" w:space="0" w:color="auto"/>
        <w:left w:val="none" w:sz="0" w:space="0" w:color="auto"/>
        <w:bottom w:val="none" w:sz="0" w:space="0" w:color="auto"/>
        <w:right w:val="none" w:sz="0" w:space="0" w:color="auto"/>
      </w:divBdr>
    </w:div>
    <w:div w:id="816144504">
      <w:bodyDiv w:val="1"/>
      <w:marLeft w:val="0"/>
      <w:marRight w:val="0"/>
      <w:marTop w:val="0"/>
      <w:marBottom w:val="0"/>
      <w:divBdr>
        <w:top w:val="none" w:sz="0" w:space="0" w:color="auto"/>
        <w:left w:val="none" w:sz="0" w:space="0" w:color="auto"/>
        <w:bottom w:val="none" w:sz="0" w:space="0" w:color="auto"/>
        <w:right w:val="none" w:sz="0" w:space="0" w:color="auto"/>
      </w:divBdr>
    </w:div>
    <w:div w:id="839004154">
      <w:bodyDiv w:val="1"/>
      <w:marLeft w:val="0"/>
      <w:marRight w:val="0"/>
      <w:marTop w:val="0"/>
      <w:marBottom w:val="0"/>
      <w:divBdr>
        <w:top w:val="none" w:sz="0" w:space="0" w:color="auto"/>
        <w:left w:val="none" w:sz="0" w:space="0" w:color="auto"/>
        <w:bottom w:val="none" w:sz="0" w:space="0" w:color="auto"/>
        <w:right w:val="none" w:sz="0" w:space="0" w:color="auto"/>
      </w:divBdr>
    </w:div>
    <w:div w:id="858399207">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72302404">
      <w:bodyDiv w:val="1"/>
      <w:marLeft w:val="0"/>
      <w:marRight w:val="0"/>
      <w:marTop w:val="0"/>
      <w:marBottom w:val="0"/>
      <w:divBdr>
        <w:top w:val="none" w:sz="0" w:space="0" w:color="auto"/>
        <w:left w:val="none" w:sz="0" w:space="0" w:color="auto"/>
        <w:bottom w:val="none" w:sz="0" w:space="0" w:color="auto"/>
        <w:right w:val="none" w:sz="0" w:space="0" w:color="auto"/>
      </w:divBdr>
    </w:div>
    <w:div w:id="882523518">
      <w:bodyDiv w:val="1"/>
      <w:marLeft w:val="0"/>
      <w:marRight w:val="0"/>
      <w:marTop w:val="0"/>
      <w:marBottom w:val="0"/>
      <w:divBdr>
        <w:top w:val="none" w:sz="0" w:space="0" w:color="auto"/>
        <w:left w:val="none" w:sz="0" w:space="0" w:color="auto"/>
        <w:bottom w:val="none" w:sz="0" w:space="0" w:color="auto"/>
        <w:right w:val="none" w:sz="0" w:space="0" w:color="auto"/>
      </w:divBdr>
    </w:div>
    <w:div w:id="886919652">
      <w:bodyDiv w:val="1"/>
      <w:marLeft w:val="0"/>
      <w:marRight w:val="0"/>
      <w:marTop w:val="0"/>
      <w:marBottom w:val="0"/>
      <w:divBdr>
        <w:top w:val="none" w:sz="0" w:space="0" w:color="auto"/>
        <w:left w:val="none" w:sz="0" w:space="0" w:color="auto"/>
        <w:bottom w:val="none" w:sz="0" w:space="0" w:color="auto"/>
        <w:right w:val="none" w:sz="0" w:space="0" w:color="auto"/>
      </w:divBdr>
    </w:div>
    <w:div w:id="894663975">
      <w:bodyDiv w:val="1"/>
      <w:marLeft w:val="0"/>
      <w:marRight w:val="0"/>
      <w:marTop w:val="0"/>
      <w:marBottom w:val="0"/>
      <w:divBdr>
        <w:top w:val="none" w:sz="0" w:space="0" w:color="auto"/>
        <w:left w:val="none" w:sz="0" w:space="0" w:color="auto"/>
        <w:bottom w:val="none" w:sz="0" w:space="0" w:color="auto"/>
        <w:right w:val="none" w:sz="0" w:space="0" w:color="auto"/>
      </w:divBdr>
    </w:div>
    <w:div w:id="898712790">
      <w:bodyDiv w:val="1"/>
      <w:marLeft w:val="0"/>
      <w:marRight w:val="0"/>
      <w:marTop w:val="0"/>
      <w:marBottom w:val="0"/>
      <w:divBdr>
        <w:top w:val="none" w:sz="0" w:space="0" w:color="auto"/>
        <w:left w:val="none" w:sz="0" w:space="0" w:color="auto"/>
        <w:bottom w:val="none" w:sz="0" w:space="0" w:color="auto"/>
        <w:right w:val="none" w:sz="0" w:space="0" w:color="auto"/>
      </w:divBdr>
    </w:div>
    <w:div w:id="902523250">
      <w:bodyDiv w:val="1"/>
      <w:marLeft w:val="0"/>
      <w:marRight w:val="0"/>
      <w:marTop w:val="0"/>
      <w:marBottom w:val="0"/>
      <w:divBdr>
        <w:top w:val="none" w:sz="0" w:space="0" w:color="auto"/>
        <w:left w:val="none" w:sz="0" w:space="0" w:color="auto"/>
        <w:bottom w:val="none" w:sz="0" w:space="0" w:color="auto"/>
        <w:right w:val="none" w:sz="0" w:space="0" w:color="auto"/>
      </w:divBdr>
    </w:div>
    <w:div w:id="912351528">
      <w:bodyDiv w:val="1"/>
      <w:marLeft w:val="0"/>
      <w:marRight w:val="0"/>
      <w:marTop w:val="0"/>
      <w:marBottom w:val="0"/>
      <w:divBdr>
        <w:top w:val="none" w:sz="0" w:space="0" w:color="auto"/>
        <w:left w:val="none" w:sz="0" w:space="0" w:color="auto"/>
        <w:bottom w:val="none" w:sz="0" w:space="0" w:color="auto"/>
        <w:right w:val="none" w:sz="0" w:space="0" w:color="auto"/>
      </w:divBdr>
    </w:div>
    <w:div w:id="920485281">
      <w:bodyDiv w:val="1"/>
      <w:marLeft w:val="0"/>
      <w:marRight w:val="0"/>
      <w:marTop w:val="0"/>
      <w:marBottom w:val="0"/>
      <w:divBdr>
        <w:top w:val="none" w:sz="0" w:space="0" w:color="auto"/>
        <w:left w:val="none" w:sz="0" w:space="0" w:color="auto"/>
        <w:bottom w:val="none" w:sz="0" w:space="0" w:color="auto"/>
        <w:right w:val="none" w:sz="0" w:space="0" w:color="auto"/>
      </w:divBdr>
    </w:div>
    <w:div w:id="931091731">
      <w:bodyDiv w:val="1"/>
      <w:marLeft w:val="0"/>
      <w:marRight w:val="0"/>
      <w:marTop w:val="0"/>
      <w:marBottom w:val="0"/>
      <w:divBdr>
        <w:top w:val="none" w:sz="0" w:space="0" w:color="auto"/>
        <w:left w:val="none" w:sz="0" w:space="0" w:color="auto"/>
        <w:bottom w:val="none" w:sz="0" w:space="0" w:color="auto"/>
        <w:right w:val="none" w:sz="0" w:space="0" w:color="auto"/>
      </w:divBdr>
    </w:div>
    <w:div w:id="936325409">
      <w:bodyDiv w:val="1"/>
      <w:marLeft w:val="0"/>
      <w:marRight w:val="0"/>
      <w:marTop w:val="0"/>
      <w:marBottom w:val="0"/>
      <w:divBdr>
        <w:top w:val="none" w:sz="0" w:space="0" w:color="auto"/>
        <w:left w:val="none" w:sz="0" w:space="0" w:color="auto"/>
        <w:bottom w:val="none" w:sz="0" w:space="0" w:color="auto"/>
        <w:right w:val="none" w:sz="0" w:space="0" w:color="auto"/>
      </w:divBdr>
    </w:div>
    <w:div w:id="938176538">
      <w:bodyDiv w:val="1"/>
      <w:marLeft w:val="0"/>
      <w:marRight w:val="0"/>
      <w:marTop w:val="0"/>
      <w:marBottom w:val="0"/>
      <w:divBdr>
        <w:top w:val="none" w:sz="0" w:space="0" w:color="auto"/>
        <w:left w:val="none" w:sz="0" w:space="0" w:color="auto"/>
        <w:bottom w:val="none" w:sz="0" w:space="0" w:color="auto"/>
        <w:right w:val="none" w:sz="0" w:space="0" w:color="auto"/>
      </w:divBdr>
    </w:div>
    <w:div w:id="941566515">
      <w:bodyDiv w:val="1"/>
      <w:marLeft w:val="0"/>
      <w:marRight w:val="0"/>
      <w:marTop w:val="0"/>
      <w:marBottom w:val="0"/>
      <w:divBdr>
        <w:top w:val="none" w:sz="0" w:space="0" w:color="auto"/>
        <w:left w:val="none" w:sz="0" w:space="0" w:color="auto"/>
        <w:bottom w:val="none" w:sz="0" w:space="0" w:color="auto"/>
        <w:right w:val="none" w:sz="0" w:space="0" w:color="auto"/>
      </w:divBdr>
    </w:div>
    <w:div w:id="946082215">
      <w:bodyDiv w:val="1"/>
      <w:marLeft w:val="0"/>
      <w:marRight w:val="0"/>
      <w:marTop w:val="0"/>
      <w:marBottom w:val="0"/>
      <w:divBdr>
        <w:top w:val="none" w:sz="0" w:space="0" w:color="auto"/>
        <w:left w:val="none" w:sz="0" w:space="0" w:color="auto"/>
        <w:bottom w:val="none" w:sz="0" w:space="0" w:color="auto"/>
        <w:right w:val="none" w:sz="0" w:space="0" w:color="auto"/>
      </w:divBdr>
    </w:div>
    <w:div w:id="971521231">
      <w:bodyDiv w:val="1"/>
      <w:marLeft w:val="0"/>
      <w:marRight w:val="0"/>
      <w:marTop w:val="0"/>
      <w:marBottom w:val="0"/>
      <w:divBdr>
        <w:top w:val="none" w:sz="0" w:space="0" w:color="auto"/>
        <w:left w:val="none" w:sz="0" w:space="0" w:color="auto"/>
        <w:bottom w:val="none" w:sz="0" w:space="0" w:color="auto"/>
        <w:right w:val="none" w:sz="0" w:space="0" w:color="auto"/>
      </w:divBdr>
    </w:div>
    <w:div w:id="977304248">
      <w:bodyDiv w:val="1"/>
      <w:marLeft w:val="0"/>
      <w:marRight w:val="0"/>
      <w:marTop w:val="0"/>
      <w:marBottom w:val="0"/>
      <w:divBdr>
        <w:top w:val="none" w:sz="0" w:space="0" w:color="auto"/>
        <w:left w:val="none" w:sz="0" w:space="0" w:color="auto"/>
        <w:bottom w:val="none" w:sz="0" w:space="0" w:color="auto"/>
        <w:right w:val="none" w:sz="0" w:space="0" w:color="auto"/>
      </w:divBdr>
    </w:div>
    <w:div w:id="981302533">
      <w:bodyDiv w:val="1"/>
      <w:marLeft w:val="0"/>
      <w:marRight w:val="0"/>
      <w:marTop w:val="0"/>
      <w:marBottom w:val="0"/>
      <w:divBdr>
        <w:top w:val="none" w:sz="0" w:space="0" w:color="auto"/>
        <w:left w:val="none" w:sz="0" w:space="0" w:color="auto"/>
        <w:bottom w:val="none" w:sz="0" w:space="0" w:color="auto"/>
        <w:right w:val="none" w:sz="0" w:space="0" w:color="auto"/>
      </w:divBdr>
    </w:div>
    <w:div w:id="986933274">
      <w:bodyDiv w:val="1"/>
      <w:marLeft w:val="0"/>
      <w:marRight w:val="0"/>
      <w:marTop w:val="0"/>
      <w:marBottom w:val="0"/>
      <w:divBdr>
        <w:top w:val="none" w:sz="0" w:space="0" w:color="auto"/>
        <w:left w:val="none" w:sz="0" w:space="0" w:color="auto"/>
        <w:bottom w:val="none" w:sz="0" w:space="0" w:color="auto"/>
        <w:right w:val="none" w:sz="0" w:space="0" w:color="auto"/>
      </w:divBdr>
    </w:div>
    <w:div w:id="997030991">
      <w:bodyDiv w:val="1"/>
      <w:marLeft w:val="0"/>
      <w:marRight w:val="0"/>
      <w:marTop w:val="0"/>
      <w:marBottom w:val="0"/>
      <w:divBdr>
        <w:top w:val="none" w:sz="0" w:space="0" w:color="auto"/>
        <w:left w:val="none" w:sz="0" w:space="0" w:color="auto"/>
        <w:bottom w:val="none" w:sz="0" w:space="0" w:color="auto"/>
        <w:right w:val="none" w:sz="0" w:space="0" w:color="auto"/>
      </w:divBdr>
    </w:div>
    <w:div w:id="1001004918">
      <w:bodyDiv w:val="1"/>
      <w:marLeft w:val="0"/>
      <w:marRight w:val="0"/>
      <w:marTop w:val="0"/>
      <w:marBottom w:val="0"/>
      <w:divBdr>
        <w:top w:val="none" w:sz="0" w:space="0" w:color="auto"/>
        <w:left w:val="none" w:sz="0" w:space="0" w:color="auto"/>
        <w:bottom w:val="none" w:sz="0" w:space="0" w:color="auto"/>
        <w:right w:val="none" w:sz="0" w:space="0" w:color="auto"/>
      </w:divBdr>
    </w:div>
    <w:div w:id="1008140571">
      <w:bodyDiv w:val="1"/>
      <w:marLeft w:val="0"/>
      <w:marRight w:val="0"/>
      <w:marTop w:val="0"/>
      <w:marBottom w:val="0"/>
      <w:divBdr>
        <w:top w:val="none" w:sz="0" w:space="0" w:color="auto"/>
        <w:left w:val="none" w:sz="0" w:space="0" w:color="auto"/>
        <w:bottom w:val="none" w:sz="0" w:space="0" w:color="auto"/>
        <w:right w:val="none" w:sz="0" w:space="0" w:color="auto"/>
      </w:divBdr>
    </w:div>
    <w:div w:id="1008941554">
      <w:bodyDiv w:val="1"/>
      <w:marLeft w:val="0"/>
      <w:marRight w:val="0"/>
      <w:marTop w:val="0"/>
      <w:marBottom w:val="0"/>
      <w:divBdr>
        <w:top w:val="none" w:sz="0" w:space="0" w:color="auto"/>
        <w:left w:val="none" w:sz="0" w:space="0" w:color="auto"/>
        <w:bottom w:val="none" w:sz="0" w:space="0" w:color="auto"/>
        <w:right w:val="none" w:sz="0" w:space="0" w:color="auto"/>
      </w:divBdr>
    </w:div>
    <w:div w:id="1017926707">
      <w:bodyDiv w:val="1"/>
      <w:marLeft w:val="0"/>
      <w:marRight w:val="0"/>
      <w:marTop w:val="0"/>
      <w:marBottom w:val="0"/>
      <w:divBdr>
        <w:top w:val="none" w:sz="0" w:space="0" w:color="auto"/>
        <w:left w:val="none" w:sz="0" w:space="0" w:color="auto"/>
        <w:bottom w:val="none" w:sz="0" w:space="0" w:color="auto"/>
        <w:right w:val="none" w:sz="0" w:space="0" w:color="auto"/>
      </w:divBdr>
    </w:div>
    <w:div w:id="1019967404">
      <w:bodyDiv w:val="1"/>
      <w:marLeft w:val="0"/>
      <w:marRight w:val="0"/>
      <w:marTop w:val="0"/>
      <w:marBottom w:val="0"/>
      <w:divBdr>
        <w:top w:val="none" w:sz="0" w:space="0" w:color="auto"/>
        <w:left w:val="none" w:sz="0" w:space="0" w:color="auto"/>
        <w:bottom w:val="none" w:sz="0" w:space="0" w:color="auto"/>
        <w:right w:val="none" w:sz="0" w:space="0" w:color="auto"/>
      </w:divBdr>
    </w:div>
    <w:div w:id="1021055211">
      <w:bodyDiv w:val="1"/>
      <w:marLeft w:val="0"/>
      <w:marRight w:val="0"/>
      <w:marTop w:val="0"/>
      <w:marBottom w:val="0"/>
      <w:divBdr>
        <w:top w:val="none" w:sz="0" w:space="0" w:color="auto"/>
        <w:left w:val="none" w:sz="0" w:space="0" w:color="auto"/>
        <w:bottom w:val="none" w:sz="0" w:space="0" w:color="auto"/>
        <w:right w:val="none" w:sz="0" w:space="0" w:color="auto"/>
      </w:divBdr>
    </w:div>
    <w:div w:id="1027292745">
      <w:bodyDiv w:val="1"/>
      <w:marLeft w:val="0"/>
      <w:marRight w:val="0"/>
      <w:marTop w:val="0"/>
      <w:marBottom w:val="0"/>
      <w:divBdr>
        <w:top w:val="none" w:sz="0" w:space="0" w:color="auto"/>
        <w:left w:val="none" w:sz="0" w:space="0" w:color="auto"/>
        <w:bottom w:val="none" w:sz="0" w:space="0" w:color="auto"/>
        <w:right w:val="none" w:sz="0" w:space="0" w:color="auto"/>
      </w:divBdr>
    </w:div>
    <w:div w:id="1028292012">
      <w:bodyDiv w:val="1"/>
      <w:marLeft w:val="0"/>
      <w:marRight w:val="0"/>
      <w:marTop w:val="0"/>
      <w:marBottom w:val="0"/>
      <w:divBdr>
        <w:top w:val="none" w:sz="0" w:space="0" w:color="auto"/>
        <w:left w:val="none" w:sz="0" w:space="0" w:color="auto"/>
        <w:bottom w:val="none" w:sz="0" w:space="0" w:color="auto"/>
        <w:right w:val="none" w:sz="0" w:space="0" w:color="auto"/>
      </w:divBdr>
    </w:div>
    <w:div w:id="1037850038">
      <w:bodyDiv w:val="1"/>
      <w:marLeft w:val="0"/>
      <w:marRight w:val="0"/>
      <w:marTop w:val="0"/>
      <w:marBottom w:val="0"/>
      <w:divBdr>
        <w:top w:val="none" w:sz="0" w:space="0" w:color="auto"/>
        <w:left w:val="none" w:sz="0" w:space="0" w:color="auto"/>
        <w:bottom w:val="none" w:sz="0" w:space="0" w:color="auto"/>
        <w:right w:val="none" w:sz="0" w:space="0" w:color="auto"/>
      </w:divBdr>
    </w:div>
    <w:div w:id="1044407650">
      <w:bodyDiv w:val="1"/>
      <w:marLeft w:val="0"/>
      <w:marRight w:val="0"/>
      <w:marTop w:val="0"/>
      <w:marBottom w:val="0"/>
      <w:divBdr>
        <w:top w:val="none" w:sz="0" w:space="0" w:color="auto"/>
        <w:left w:val="none" w:sz="0" w:space="0" w:color="auto"/>
        <w:bottom w:val="none" w:sz="0" w:space="0" w:color="auto"/>
        <w:right w:val="none" w:sz="0" w:space="0" w:color="auto"/>
      </w:divBdr>
    </w:div>
    <w:div w:id="1056903330">
      <w:bodyDiv w:val="1"/>
      <w:marLeft w:val="0"/>
      <w:marRight w:val="0"/>
      <w:marTop w:val="0"/>
      <w:marBottom w:val="0"/>
      <w:divBdr>
        <w:top w:val="none" w:sz="0" w:space="0" w:color="auto"/>
        <w:left w:val="none" w:sz="0" w:space="0" w:color="auto"/>
        <w:bottom w:val="none" w:sz="0" w:space="0" w:color="auto"/>
        <w:right w:val="none" w:sz="0" w:space="0" w:color="auto"/>
      </w:divBdr>
    </w:div>
    <w:div w:id="1058280231">
      <w:bodyDiv w:val="1"/>
      <w:marLeft w:val="0"/>
      <w:marRight w:val="0"/>
      <w:marTop w:val="0"/>
      <w:marBottom w:val="0"/>
      <w:divBdr>
        <w:top w:val="none" w:sz="0" w:space="0" w:color="auto"/>
        <w:left w:val="none" w:sz="0" w:space="0" w:color="auto"/>
        <w:bottom w:val="none" w:sz="0" w:space="0" w:color="auto"/>
        <w:right w:val="none" w:sz="0" w:space="0" w:color="auto"/>
      </w:divBdr>
    </w:div>
    <w:div w:id="1099638485">
      <w:bodyDiv w:val="1"/>
      <w:marLeft w:val="0"/>
      <w:marRight w:val="0"/>
      <w:marTop w:val="0"/>
      <w:marBottom w:val="0"/>
      <w:divBdr>
        <w:top w:val="none" w:sz="0" w:space="0" w:color="auto"/>
        <w:left w:val="none" w:sz="0" w:space="0" w:color="auto"/>
        <w:bottom w:val="none" w:sz="0" w:space="0" w:color="auto"/>
        <w:right w:val="none" w:sz="0" w:space="0" w:color="auto"/>
      </w:divBdr>
    </w:div>
    <w:div w:id="1112898685">
      <w:bodyDiv w:val="1"/>
      <w:marLeft w:val="0"/>
      <w:marRight w:val="0"/>
      <w:marTop w:val="0"/>
      <w:marBottom w:val="0"/>
      <w:divBdr>
        <w:top w:val="none" w:sz="0" w:space="0" w:color="auto"/>
        <w:left w:val="none" w:sz="0" w:space="0" w:color="auto"/>
        <w:bottom w:val="none" w:sz="0" w:space="0" w:color="auto"/>
        <w:right w:val="none" w:sz="0" w:space="0" w:color="auto"/>
      </w:divBdr>
    </w:div>
    <w:div w:id="1115637324">
      <w:bodyDiv w:val="1"/>
      <w:marLeft w:val="0"/>
      <w:marRight w:val="0"/>
      <w:marTop w:val="0"/>
      <w:marBottom w:val="0"/>
      <w:divBdr>
        <w:top w:val="none" w:sz="0" w:space="0" w:color="auto"/>
        <w:left w:val="none" w:sz="0" w:space="0" w:color="auto"/>
        <w:bottom w:val="none" w:sz="0" w:space="0" w:color="auto"/>
        <w:right w:val="none" w:sz="0" w:space="0" w:color="auto"/>
      </w:divBdr>
    </w:div>
    <w:div w:id="1119765741">
      <w:bodyDiv w:val="1"/>
      <w:marLeft w:val="0"/>
      <w:marRight w:val="0"/>
      <w:marTop w:val="0"/>
      <w:marBottom w:val="0"/>
      <w:divBdr>
        <w:top w:val="none" w:sz="0" w:space="0" w:color="auto"/>
        <w:left w:val="none" w:sz="0" w:space="0" w:color="auto"/>
        <w:bottom w:val="none" w:sz="0" w:space="0" w:color="auto"/>
        <w:right w:val="none" w:sz="0" w:space="0" w:color="auto"/>
      </w:divBdr>
    </w:div>
    <w:div w:id="1127815182">
      <w:bodyDiv w:val="1"/>
      <w:marLeft w:val="0"/>
      <w:marRight w:val="0"/>
      <w:marTop w:val="0"/>
      <w:marBottom w:val="0"/>
      <w:divBdr>
        <w:top w:val="none" w:sz="0" w:space="0" w:color="auto"/>
        <w:left w:val="none" w:sz="0" w:space="0" w:color="auto"/>
        <w:bottom w:val="none" w:sz="0" w:space="0" w:color="auto"/>
        <w:right w:val="none" w:sz="0" w:space="0" w:color="auto"/>
      </w:divBdr>
    </w:div>
    <w:div w:id="1128233181">
      <w:bodyDiv w:val="1"/>
      <w:marLeft w:val="0"/>
      <w:marRight w:val="0"/>
      <w:marTop w:val="0"/>
      <w:marBottom w:val="0"/>
      <w:divBdr>
        <w:top w:val="none" w:sz="0" w:space="0" w:color="auto"/>
        <w:left w:val="none" w:sz="0" w:space="0" w:color="auto"/>
        <w:bottom w:val="none" w:sz="0" w:space="0" w:color="auto"/>
        <w:right w:val="none" w:sz="0" w:space="0" w:color="auto"/>
      </w:divBdr>
    </w:div>
    <w:div w:id="1132210309">
      <w:bodyDiv w:val="1"/>
      <w:marLeft w:val="0"/>
      <w:marRight w:val="0"/>
      <w:marTop w:val="0"/>
      <w:marBottom w:val="0"/>
      <w:divBdr>
        <w:top w:val="none" w:sz="0" w:space="0" w:color="auto"/>
        <w:left w:val="none" w:sz="0" w:space="0" w:color="auto"/>
        <w:bottom w:val="none" w:sz="0" w:space="0" w:color="auto"/>
        <w:right w:val="none" w:sz="0" w:space="0" w:color="auto"/>
      </w:divBdr>
    </w:div>
    <w:div w:id="1133060214">
      <w:bodyDiv w:val="1"/>
      <w:marLeft w:val="0"/>
      <w:marRight w:val="0"/>
      <w:marTop w:val="0"/>
      <w:marBottom w:val="0"/>
      <w:divBdr>
        <w:top w:val="none" w:sz="0" w:space="0" w:color="auto"/>
        <w:left w:val="none" w:sz="0" w:space="0" w:color="auto"/>
        <w:bottom w:val="none" w:sz="0" w:space="0" w:color="auto"/>
        <w:right w:val="none" w:sz="0" w:space="0" w:color="auto"/>
      </w:divBdr>
    </w:div>
    <w:div w:id="1135175153">
      <w:bodyDiv w:val="1"/>
      <w:marLeft w:val="0"/>
      <w:marRight w:val="0"/>
      <w:marTop w:val="0"/>
      <w:marBottom w:val="0"/>
      <w:divBdr>
        <w:top w:val="none" w:sz="0" w:space="0" w:color="auto"/>
        <w:left w:val="none" w:sz="0" w:space="0" w:color="auto"/>
        <w:bottom w:val="none" w:sz="0" w:space="0" w:color="auto"/>
        <w:right w:val="none" w:sz="0" w:space="0" w:color="auto"/>
      </w:divBdr>
    </w:div>
    <w:div w:id="1171529895">
      <w:bodyDiv w:val="1"/>
      <w:marLeft w:val="0"/>
      <w:marRight w:val="0"/>
      <w:marTop w:val="0"/>
      <w:marBottom w:val="0"/>
      <w:divBdr>
        <w:top w:val="none" w:sz="0" w:space="0" w:color="auto"/>
        <w:left w:val="none" w:sz="0" w:space="0" w:color="auto"/>
        <w:bottom w:val="none" w:sz="0" w:space="0" w:color="auto"/>
        <w:right w:val="none" w:sz="0" w:space="0" w:color="auto"/>
      </w:divBdr>
    </w:div>
    <w:div w:id="1172530359">
      <w:bodyDiv w:val="1"/>
      <w:marLeft w:val="0"/>
      <w:marRight w:val="0"/>
      <w:marTop w:val="0"/>
      <w:marBottom w:val="0"/>
      <w:divBdr>
        <w:top w:val="none" w:sz="0" w:space="0" w:color="auto"/>
        <w:left w:val="none" w:sz="0" w:space="0" w:color="auto"/>
        <w:bottom w:val="none" w:sz="0" w:space="0" w:color="auto"/>
        <w:right w:val="none" w:sz="0" w:space="0" w:color="auto"/>
      </w:divBdr>
    </w:div>
    <w:div w:id="1182670368">
      <w:bodyDiv w:val="1"/>
      <w:marLeft w:val="0"/>
      <w:marRight w:val="0"/>
      <w:marTop w:val="0"/>
      <w:marBottom w:val="0"/>
      <w:divBdr>
        <w:top w:val="none" w:sz="0" w:space="0" w:color="auto"/>
        <w:left w:val="none" w:sz="0" w:space="0" w:color="auto"/>
        <w:bottom w:val="none" w:sz="0" w:space="0" w:color="auto"/>
        <w:right w:val="none" w:sz="0" w:space="0" w:color="auto"/>
      </w:divBdr>
    </w:div>
    <w:div w:id="1193499697">
      <w:bodyDiv w:val="1"/>
      <w:marLeft w:val="0"/>
      <w:marRight w:val="0"/>
      <w:marTop w:val="0"/>
      <w:marBottom w:val="0"/>
      <w:divBdr>
        <w:top w:val="none" w:sz="0" w:space="0" w:color="auto"/>
        <w:left w:val="none" w:sz="0" w:space="0" w:color="auto"/>
        <w:bottom w:val="none" w:sz="0" w:space="0" w:color="auto"/>
        <w:right w:val="none" w:sz="0" w:space="0" w:color="auto"/>
      </w:divBdr>
    </w:div>
    <w:div w:id="1206479891">
      <w:bodyDiv w:val="1"/>
      <w:marLeft w:val="0"/>
      <w:marRight w:val="0"/>
      <w:marTop w:val="0"/>
      <w:marBottom w:val="0"/>
      <w:divBdr>
        <w:top w:val="none" w:sz="0" w:space="0" w:color="auto"/>
        <w:left w:val="none" w:sz="0" w:space="0" w:color="auto"/>
        <w:bottom w:val="none" w:sz="0" w:space="0" w:color="auto"/>
        <w:right w:val="none" w:sz="0" w:space="0" w:color="auto"/>
      </w:divBdr>
    </w:div>
    <w:div w:id="1217887064">
      <w:bodyDiv w:val="1"/>
      <w:marLeft w:val="0"/>
      <w:marRight w:val="0"/>
      <w:marTop w:val="0"/>
      <w:marBottom w:val="0"/>
      <w:divBdr>
        <w:top w:val="none" w:sz="0" w:space="0" w:color="auto"/>
        <w:left w:val="none" w:sz="0" w:space="0" w:color="auto"/>
        <w:bottom w:val="none" w:sz="0" w:space="0" w:color="auto"/>
        <w:right w:val="none" w:sz="0" w:space="0" w:color="auto"/>
      </w:divBdr>
    </w:div>
    <w:div w:id="1232038747">
      <w:bodyDiv w:val="1"/>
      <w:marLeft w:val="0"/>
      <w:marRight w:val="0"/>
      <w:marTop w:val="0"/>
      <w:marBottom w:val="0"/>
      <w:divBdr>
        <w:top w:val="none" w:sz="0" w:space="0" w:color="auto"/>
        <w:left w:val="none" w:sz="0" w:space="0" w:color="auto"/>
        <w:bottom w:val="none" w:sz="0" w:space="0" w:color="auto"/>
        <w:right w:val="none" w:sz="0" w:space="0" w:color="auto"/>
      </w:divBdr>
    </w:div>
    <w:div w:id="1237082817">
      <w:bodyDiv w:val="1"/>
      <w:marLeft w:val="0"/>
      <w:marRight w:val="0"/>
      <w:marTop w:val="0"/>
      <w:marBottom w:val="0"/>
      <w:divBdr>
        <w:top w:val="none" w:sz="0" w:space="0" w:color="auto"/>
        <w:left w:val="none" w:sz="0" w:space="0" w:color="auto"/>
        <w:bottom w:val="none" w:sz="0" w:space="0" w:color="auto"/>
        <w:right w:val="none" w:sz="0" w:space="0" w:color="auto"/>
      </w:divBdr>
    </w:div>
    <w:div w:id="1240021976">
      <w:bodyDiv w:val="1"/>
      <w:marLeft w:val="0"/>
      <w:marRight w:val="0"/>
      <w:marTop w:val="0"/>
      <w:marBottom w:val="0"/>
      <w:divBdr>
        <w:top w:val="none" w:sz="0" w:space="0" w:color="auto"/>
        <w:left w:val="none" w:sz="0" w:space="0" w:color="auto"/>
        <w:bottom w:val="none" w:sz="0" w:space="0" w:color="auto"/>
        <w:right w:val="none" w:sz="0" w:space="0" w:color="auto"/>
      </w:divBdr>
    </w:div>
    <w:div w:id="1265722672">
      <w:bodyDiv w:val="1"/>
      <w:marLeft w:val="0"/>
      <w:marRight w:val="0"/>
      <w:marTop w:val="0"/>
      <w:marBottom w:val="0"/>
      <w:divBdr>
        <w:top w:val="none" w:sz="0" w:space="0" w:color="auto"/>
        <w:left w:val="none" w:sz="0" w:space="0" w:color="auto"/>
        <w:bottom w:val="none" w:sz="0" w:space="0" w:color="auto"/>
        <w:right w:val="none" w:sz="0" w:space="0" w:color="auto"/>
      </w:divBdr>
    </w:div>
    <w:div w:id="1288312729">
      <w:bodyDiv w:val="1"/>
      <w:marLeft w:val="0"/>
      <w:marRight w:val="0"/>
      <w:marTop w:val="0"/>
      <w:marBottom w:val="0"/>
      <w:divBdr>
        <w:top w:val="none" w:sz="0" w:space="0" w:color="auto"/>
        <w:left w:val="none" w:sz="0" w:space="0" w:color="auto"/>
        <w:bottom w:val="none" w:sz="0" w:space="0" w:color="auto"/>
        <w:right w:val="none" w:sz="0" w:space="0" w:color="auto"/>
      </w:divBdr>
    </w:div>
    <w:div w:id="1302269454">
      <w:bodyDiv w:val="1"/>
      <w:marLeft w:val="0"/>
      <w:marRight w:val="0"/>
      <w:marTop w:val="0"/>
      <w:marBottom w:val="0"/>
      <w:divBdr>
        <w:top w:val="none" w:sz="0" w:space="0" w:color="auto"/>
        <w:left w:val="none" w:sz="0" w:space="0" w:color="auto"/>
        <w:bottom w:val="none" w:sz="0" w:space="0" w:color="auto"/>
        <w:right w:val="none" w:sz="0" w:space="0" w:color="auto"/>
      </w:divBdr>
    </w:div>
    <w:div w:id="1310790127">
      <w:bodyDiv w:val="1"/>
      <w:marLeft w:val="0"/>
      <w:marRight w:val="0"/>
      <w:marTop w:val="0"/>
      <w:marBottom w:val="0"/>
      <w:divBdr>
        <w:top w:val="none" w:sz="0" w:space="0" w:color="auto"/>
        <w:left w:val="none" w:sz="0" w:space="0" w:color="auto"/>
        <w:bottom w:val="none" w:sz="0" w:space="0" w:color="auto"/>
        <w:right w:val="none" w:sz="0" w:space="0" w:color="auto"/>
      </w:divBdr>
    </w:div>
    <w:div w:id="1314143383">
      <w:bodyDiv w:val="1"/>
      <w:marLeft w:val="0"/>
      <w:marRight w:val="0"/>
      <w:marTop w:val="0"/>
      <w:marBottom w:val="0"/>
      <w:divBdr>
        <w:top w:val="none" w:sz="0" w:space="0" w:color="auto"/>
        <w:left w:val="none" w:sz="0" w:space="0" w:color="auto"/>
        <w:bottom w:val="none" w:sz="0" w:space="0" w:color="auto"/>
        <w:right w:val="none" w:sz="0" w:space="0" w:color="auto"/>
      </w:divBdr>
    </w:div>
    <w:div w:id="1319577173">
      <w:bodyDiv w:val="1"/>
      <w:marLeft w:val="0"/>
      <w:marRight w:val="0"/>
      <w:marTop w:val="0"/>
      <w:marBottom w:val="0"/>
      <w:divBdr>
        <w:top w:val="none" w:sz="0" w:space="0" w:color="auto"/>
        <w:left w:val="none" w:sz="0" w:space="0" w:color="auto"/>
        <w:bottom w:val="none" w:sz="0" w:space="0" w:color="auto"/>
        <w:right w:val="none" w:sz="0" w:space="0" w:color="auto"/>
      </w:divBdr>
    </w:div>
    <w:div w:id="1323894027">
      <w:bodyDiv w:val="1"/>
      <w:marLeft w:val="0"/>
      <w:marRight w:val="0"/>
      <w:marTop w:val="0"/>
      <w:marBottom w:val="0"/>
      <w:divBdr>
        <w:top w:val="none" w:sz="0" w:space="0" w:color="auto"/>
        <w:left w:val="none" w:sz="0" w:space="0" w:color="auto"/>
        <w:bottom w:val="none" w:sz="0" w:space="0" w:color="auto"/>
        <w:right w:val="none" w:sz="0" w:space="0" w:color="auto"/>
      </w:divBdr>
    </w:div>
    <w:div w:id="1334188967">
      <w:bodyDiv w:val="1"/>
      <w:marLeft w:val="0"/>
      <w:marRight w:val="0"/>
      <w:marTop w:val="0"/>
      <w:marBottom w:val="0"/>
      <w:divBdr>
        <w:top w:val="none" w:sz="0" w:space="0" w:color="auto"/>
        <w:left w:val="none" w:sz="0" w:space="0" w:color="auto"/>
        <w:bottom w:val="none" w:sz="0" w:space="0" w:color="auto"/>
        <w:right w:val="none" w:sz="0" w:space="0" w:color="auto"/>
      </w:divBdr>
    </w:div>
    <w:div w:id="1346010707">
      <w:bodyDiv w:val="1"/>
      <w:marLeft w:val="0"/>
      <w:marRight w:val="0"/>
      <w:marTop w:val="0"/>
      <w:marBottom w:val="0"/>
      <w:divBdr>
        <w:top w:val="none" w:sz="0" w:space="0" w:color="auto"/>
        <w:left w:val="none" w:sz="0" w:space="0" w:color="auto"/>
        <w:bottom w:val="none" w:sz="0" w:space="0" w:color="auto"/>
        <w:right w:val="none" w:sz="0" w:space="0" w:color="auto"/>
      </w:divBdr>
    </w:div>
    <w:div w:id="1362246517">
      <w:bodyDiv w:val="1"/>
      <w:marLeft w:val="0"/>
      <w:marRight w:val="0"/>
      <w:marTop w:val="0"/>
      <w:marBottom w:val="0"/>
      <w:divBdr>
        <w:top w:val="none" w:sz="0" w:space="0" w:color="auto"/>
        <w:left w:val="none" w:sz="0" w:space="0" w:color="auto"/>
        <w:bottom w:val="none" w:sz="0" w:space="0" w:color="auto"/>
        <w:right w:val="none" w:sz="0" w:space="0" w:color="auto"/>
      </w:divBdr>
    </w:div>
    <w:div w:id="1372730134">
      <w:bodyDiv w:val="1"/>
      <w:marLeft w:val="0"/>
      <w:marRight w:val="0"/>
      <w:marTop w:val="0"/>
      <w:marBottom w:val="0"/>
      <w:divBdr>
        <w:top w:val="none" w:sz="0" w:space="0" w:color="auto"/>
        <w:left w:val="none" w:sz="0" w:space="0" w:color="auto"/>
        <w:bottom w:val="none" w:sz="0" w:space="0" w:color="auto"/>
        <w:right w:val="none" w:sz="0" w:space="0" w:color="auto"/>
      </w:divBdr>
    </w:div>
    <w:div w:id="1378818475">
      <w:bodyDiv w:val="1"/>
      <w:marLeft w:val="0"/>
      <w:marRight w:val="0"/>
      <w:marTop w:val="0"/>
      <w:marBottom w:val="0"/>
      <w:divBdr>
        <w:top w:val="none" w:sz="0" w:space="0" w:color="auto"/>
        <w:left w:val="none" w:sz="0" w:space="0" w:color="auto"/>
        <w:bottom w:val="none" w:sz="0" w:space="0" w:color="auto"/>
        <w:right w:val="none" w:sz="0" w:space="0" w:color="auto"/>
      </w:divBdr>
    </w:div>
    <w:div w:id="1393655024">
      <w:bodyDiv w:val="1"/>
      <w:marLeft w:val="0"/>
      <w:marRight w:val="0"/>
      <w:marTop w:val="0"/>
      <w:marBottom w:val="0"/>
      <w:divBdr>
        <w:top w:val="none" w:sz="0" w:space="0" w:color="auto"/>
        <w:left w:val="none" w:sz="0" w:space="0" w:color="auto"/>
        <w:bottom w:val="none" w:sz="0" w:space="0" w:color="auto"/>
        <w:right w:val="none" w:sz="0" w:space="0" w:color="auto"/>
      </w:divBdr>
    </w:div>
    <w:div w:id="1401950708">
      <w:bodyDiv w:val="1"/>
      <w:marLeft w:val="0"/>
      <w:marRight w:val="0"/>
      <w:marTop w:val="0"/>
      <w:marBottom w:val="0"/>
      <w:divBdr>
        <w:top w:val="none" w:sz="0" w:space="0" w:color="auto"/>
        <w:left w:val="none" w:sz="0" w:space="0" w:color="auto"/>
        <w:bottom w:val="none" w:sz="0" w:space="0" w:color="auto"/>
        <w:right w:val="none" w:sz="0" w:space="0" w:color="auto"/>
      </w:divBdr>
    </w:div>
    <w:div w:id="1414357403">
      <w:bodyDiv w:val="1"/>
      <w:marLeft w:val="0"/>
      <w:marRight w:val="0"/>
      <w:marTop w:val="0"/>
      <w:marBottom w:val="0"/>
      <w:divBdr>
        <w:top w:val="none" w:sz="0" w:space="0" w:color="auto"/>
        <w:left w:val="none" w:sz="0" w:space="0" w:color="auto"/>
        <w:bottom w:val="none" w:sz="0" w:space="0" w:color="auto"/>
        <w:right w:val="none" w:sz="0" w:space="0" w:color="auto"/>
      </w:divBdr>
    </w:div>
    <w:div w:id="1443259607">
      <w:bodyDiv w:val="1"/>
      <w:marLeft w:val="0"/>
      <w:marRight w:val="0"/>
      <w:marTop w:val="0"/>
      <w:marBottom w:val="0"/>
      <w:divBdr>
        <w:top w:val="none" w:sz="0" w:space="0" w:color="auto"/>
        <w:left w:val="none" w:sz="0" w:space="0" w:color="auto"/>
        <w:bottom w:val="none" w:sz="0" w:space="0" w:color="auto"/>
        <w:right w:val="none" w:sz="0" w:space="0" w:color="auto"/>
      </w:divBdr>
    </w:div>
    <w:div w:id="1455249432">
      <w:bodyDiv w:val="1"/>
      <w:marLeft w:val="0"/>
      <w:marRight w:val="0"/>
      <w:marTop w:val="0"/>
      <w:marBottom w:val="0"/>
      <w:divBdr>
        <w:top w:val="none" w:sz="0" w:space="0" w:color="auto"/>
        <w:left w:val="none" w:sz="0" w:space="0" w:color="auto"/>
        <w:bottom w:val="none" w:sz="0" w:space="0" w:color="auto"/>
        <w:right w:val="none" w:sz="0" w:space="0" w:color="auto"/>
      </w:divBdr>
    </w:div>
    <w:div w:id="1479104789">
      <w:bodyDiv w:val="1"/>
      <w:marLeft w:val="0"/>
      <w:marRight w:val="0"/>
      <w:marTop w:val="0"/>
      <w:marBottom w:val="0"/>
      <w:divBdr>
        <w:top w:val="none" w:sz="0" w:space="0" w:color="auto"/>
        <w:left w:val="none" w:sz="0" w:space="0" w:color="auto"/>
        <w:bottom w:val="none" w:sz="0" w:space="0" w:color="auto"/>
        <w:right w:val="none" w:sz="0" w:space="0" w:color="auto"/>
      </w:divBdr>
    </w:div>
    <w:div w:id="1486047825">
      <w:bodyDiv w:val="1"/>
      <w:marLeft w:val="0"/>
      <w:marRight w:val="0"/>
      <w:marTop w:val="0"/>
      <w:marBottom w:val="0"/>
      <w:divBdr>
        <w:top w:val="none" w:sz="0" w:space="0" w:color="auto"/>
        <w:left w:val="none" w:sz="0" w:space="0" w:color="auto"/>
        <w:bottom w:val="none" w:sz="0" w:space="0" w:color="auto"/>
        <w:right w:val="none" w:sz="0" w:space="0" w:color="auto"/>
      </w:divBdr>
    </w:div>
    <w:div w:id="1486388408">
      <w:bodyDiv w:val="1"/>
      <w:marLeft w:val="0"/>
      <w:marRight w:val="0"/>
      <w:marTop w:val="0"/>
      <w:marBottom w:val="0"/>
      <w:divBdr>
        <w:top w:val="none" w:sz="0" w:space="0" w:color="auto"/>
        <w:left w:val="none" w:sz="0" w:space="0" w:color="auto"/>
        <w:bottom w:val="none" w:sz="0" w:space="0" w:color="auto"/>
        <w:right w:val="none" w:sz="0" w:space="0" w:color="auto"/>
      </w:divBdr>
    </w:div>
    <w:div w:id="1504004448">
      <w:bodyDiv w:val="1"/>
      <w:marLeft w:val="0"/>
      <w:marRight w:val="0"/>
      <w:marTop w:val="0"/>
      <w:marBottom w:val="0"/>
      <w:divBdr>
        <w:top w:val="none" w:sz="0" w:space="0" w:color="auto"/>
        <w:left w:val="none" w:sz="0" w:space="0" w:color="auto"/>
        <w:bottom w:val="none" w:sz="0" w:space="0" w:color="auto"/>
        <w:right w:val="none" w:sz="0" w:space="0" w:color="auto"/>
      </w:divBdr>
    </w:div>
    <w:div w:id="1504540674">
      <w:bodyDiv w:val="1"/>
      <w:marLeft w:val="0"/>
      <w:marRight w:val="0"/>
      <w:marTop w:val="0"/>
      <w:marBottom w:val="0"/>
      <w:divBdr>
        <w:top w:val="none" w:sz="0" w:space="0" w:color="auto"/>
        <w:left w:val="none" w:sz="0" w:space="0" w:color="auto"/>
        <w:bottom w:val="none" w:sz="0" w:space="0" w:color="auto"/>
        <w:right w:val="none" w:sz="0" w:space="0" w:color="auto"/>
      </w:divBdr>
    </w:div>
    <w:div w:id="1508519482">
      <w:bodyDiv w:val="1"/>
      <w:marLeft w:val="0"/>
      <w:marRight w:val="0"/>
      <w:marTop w:val="0"/>
      <w:marBottom w:val="0"/>
      <w:divBdr>
        <w:top w:val="none" w:sz="0" w:space="0" w:color="auto"/>
        <w:left w:val="none" w:sz="0" w:space="0" w:color="auto"/>
        <w:bottom w:val="none" w:sz="0" w:space="0" w:color="auto"/>
        <w:right w:val="none" w:sz="0" w:space="0" w:color="auto"/>
      </w:divBdr>
    </w:div>
    <w:div w:id="1509129813">
      <w:bodyDiv w:val="1"/>
      <w:marLeft w:val="0"/>
      <w:marRight w:val="0"/>
      <w:marTop w:val="0"/>
      <w:marBottom w:val="0"/>
      <w:divBdr>
        <w:top w:val="none" w:sz="0" w:space="0" w:color="auto"/>
        <w:left w:val="none" w:sz="0" w:space="0" w:color="auto"/>
        <w:bottom w:val="none" w:sz="0" w:space="0" w:color="auto"/>
        <w:right w:val="none" w:sz="0" w:space="0" w:color="auto"/>
      </w:divBdr>
    </w:div>
    <w:div w:id="1515221181">
      <w:bodyDiv w:val="1"/>
      <w:marLeft w:val="0"/>
      <w:marRight w:val="0"/>
      <w:marTop w:val="0"/>
      <w:marBottom w:val="0"/>
      <w:divBdr>
        <w:top w:val="none" w:sz="0" w:space="0" w:color="auto"/>
        <w:left w:val="none" w:sz="0" w:space="0" w:color="auto"/>
        <w:bottom w:val="none" w:sz="0" w:space="0" w:color="auto"/>
        <w:right w:val="none" w:sz="0" w:space="0" w:color="auto"/>
      </w:divBdr>
    </w:div>
    <w:div w:id="1519733339">
      <w:bodyDiv w:val="1"/>
      <w:marLeft w:val="0"/>
      <w:marRight w:val="0"/>
      <w:marTop w:val="0"/>
      <w:marBottom w:val="0"/>
      <w:divBdr>
        <w:top w:val="none" w:sz="0" w:space="0" w:color="auto"/>
        <w:left w:val="none" w:sz="0" w:space="0" w:color="auto"/>
        <w:bottom w:val="none" w:sz="0" w:space="0" w:color="auto"/>
        <w:right w:val="none" w:sz="0" w:space="0" w:color="auto"/>
      </w:divBdr>
    </w:div>
    <w:div w:id="1522207749">
      <w:bodyDiv w:val="1"/>
      <w:marLeft w:val="0"/>
      <w:marRight w:val="0"/>
      <w:marTop w:val="0"/>
      <w:marBottom w:val="0"/>
      <w:divBdr>
        <w:top w:val="none" w:sz="0" w:space="0" w:color="auto"/>
        <w:left w:val="none" w:sz="0" w:space="0" w:color="auto"/>
        <w:bottom w:val="none" w:sz="0" w:space="0" w:color="auto"/>
        <w:right w:val="none" w:sz="0" w:space="0" w:color="auto"/>
      </w:divBdr>
    </w:div>
    <w:div w:id="1525241388">
      <w:bodyDiv w:val="1"/>
      <w:marLeft w:val="0"/>
      <w:marRight w:val="0"/>
      <w:marTop w:val="0"/>
      <w:marBottom w:val="0"/>
      <w:divBdr>
        <w:top w:val="none" w:sz="0" w:space="0" w:color="auto"/>
        <w:left w:val="none" w:sz="0" w:space="0" w:color="auto"/>
        <w:bottom w:val="none" w:sz="0" w:space="0" w:color="auto"/>
        <w:right w:val="none" w:sz="0" w:space="0" w:color="auto"/>
      </w:divBdr>
    </w:div>
    <w:div w:id="1527407056">
      <w:bodyDiv w:val="1"/>
      <w:marLeft w:val="0"/>
      <w:marRight w:val="0"/>
      <w:marTop w:val="0"/>
      <w:marBottom w:val="0"/>
      <w:divBdr>
        <w:top w:val="none" w:sz="0" w:space="0" w:color="auto"/>
        <w:left w:val="none" w:sz="0" w:space="0" w:color="auto"/>
        <w:bottom w:val="none" w:sz="0" w:space="0" w:color="auto"/>
        <w:right w:val="none" w:sz="0" w:space="0" w:color="auto"/>
      </w:divBdr>
    </w:div>
    <w:div w:id="1534928397">
      <w:bodyDiv w:val="1"/>
      <w:marLeft w:val="0"/>
      <w:marRight w:val="0"/>
      <w:marTop w:val="0"/>
      <w:marBottom w:val="0"/>
      <w:divBdr>
        <w:top w:val="none" w:sz="0" w:space="0" w:color="auto"/>
        <w:left w:val="none" w:sz="0" w:space="0" w:color="auto"/>
        <w:bottom w:val="none" w:sz="0" w:space="0" w:color="auto"/>
        <w:right w:val="none" w:sz="0" w:space="0" w:color="auto"/>
      </w:divBdr>
    </w:div>
    <w:div w:id="1543900404">
      <w:bodyDiv w:val="1"/>
      <w:marLeft w:val="0"/>
      <w:marRight w:val="0"/>
      <w:marTop w:val="0"/>
      <w:marBottom w:val="0"/>
      <w:divBdr>
        <w:top w:val="none" w:sz="0" w:space="0" w:color="auto"/>
        <w:left w:val="none" w:sz="0" w:space="0" w:color="auto"/>
        <w:bottom w:val="none" w:sz="0" w:space="0" w:color="auto"/>
        <w:right w:val="none" w:sz="0" w:space="0" w:color="auto"/>
      </w:divBdr>
    </w:div>
    <w:div w:id="1575385576">
      <w:bodyDiv w:val="1"/>
      <w:marLeft w:val="0"/>
      <w:marRight w:val="0"/>
      <w:marTop w:val="0"/>
      <w:marBottom w:val="0"/>
      <w:divBdr>
        <w:top w:val="none" w:sz="0" w:space="0" w:color="auto"/>
        <w:left w:val="none" w:sz="0" w:space="0" w:color="auto"/>
        <w:bottom w:val="none" w:sz="0" w:space="0" w:color="auto"/>
        <w:right w:val="none" w:sz="0" w:space="0" w:color="auto"/>
      </w:divBdr>
    </w:div>
    <w:div w:id="1583367896">
      <w:bodyDiv w:val="1"/>
      <w:marLeft w:val="0"/>
      <w:marRight w:val="0"/>
      <w:marTop w:val="0"/>
      <w:marBottom w:val="0"/>
      <w:divBdr>
        <w:top w:val="none" w:sz="0" w:space="0" w:color="auto"/>
        <w:left w:val="none" w:sz="0" w:space="0" w:color="auto"/>
        <w:bottom w:val="none" w:sz="0" w:space="0" w:color="auto"/>
        <w:right w:val="none" w:sz="0" w:space="0" w:color="auto"/>
      </w:divBdr>
    </w:div>
    <w:div w:id="1586184815">
      <w:bodyDiv w:val="1"/>
      <w:marLeft w:val="0"/>
      <w:marRight w:val="0"/>
      <w:marTop w:val="0"/>
      <w:marBottom w:val="0"/>
      <w:divBdr>
        <w:top w:val="none" w:sz="0" w:space="0" w:color="auto"/>
        <w:left w:val="none" w:sz="0" w:space="0" w:color="auto"/>
        <w:bottom w:val="none" w:sz="0" w:space="0" w:color="auto"/>
        <w:right w:val="none" w:sz="0" w:space="0" w:color="auto"/>
      </w:divBdr>
    </w:div>
    <w:div w:id="1586307713">
      <w:bodyDiv w:val="1"/>
      <w:marLeft w:val="0"/>
      <w:marRight w:val="0"/>
      <w:marTop w:val="0"/>
      <w:marBottom w:val="0"/>
      <w:divBdr>
        <w:top w:val="none" w:sz="0" w:space="0" w:color="auto"/>
        <w:left w:val="none" w:sz="0" w:space="0" w:color="auto"/>
        <w:bottom w:val="none" w:sz="0" w:space="0" w:color="auto"/>
        <w:right w:val="none" w:sz="0" w:space="0" w:color="auto"/>
      </w:divBdr>
    </w:div>
    <w:div w:id="1594165038">
      <w:bodyDiv w:val="1"/>
      <w:marLeft w:val="0"/>
      <w:marRight w:val="0"/>
      <w:marTop w:val="0"/>
      <w:marBottom w:val="0"/>
      <w:divBdr>
        <w:top w:val="none" w:sz="0" w:space="0" w:color="auto"/>
        <w:left w:val="none" w:sz="0" w:space="0" w:color="auto"/>
        <w:bottom w:val="none" w:sz="0" w:space="0" w:color="auto"/>
        <w:right w:val="none" w:sz="0" w:space="0" w:color="auto"/>
      </w:divBdr>
    </w:div>
    <w:div w:id="1594821029">
      <w:bodyDiv w:val="1"/>
      <w:marLeft w:val="0"/>
      <w:marRight w:val="0"/>
      <w:marTop w:val="0"/>
      <w:marBottom w:val="0"/>
      <w:divBdr>
        <w:top w:val="none" w:sz="0" w:space="0" w:color="auto"/>
        <w:left w:val="none" w:sz="0" w:space="0" w:color="auto"/>
        <w:bottom w:val="none" w:sz="0" w:space="0" w:color="auto"/>
        <w:right w:val="none" w:sz="0" w:space="0" w:color="auto"/>
      </w:divBdr>
    </w:div>
    <w:div w:id="1597863985">
      <w:bodyDiv w:val="1"/>
      <w:marLeft w:val="0"/>
      <w:marRight w:val="0"/>
      <w:marTop w:val="0"/>
      <w:marBottom w:val="0"/>
      <w:divBdr>
        <w:top w:val="none" w:sz="0" w:space="0" w:color="auto"/>
        <w:left w:val="none" w:sz="0" w:space="0" w:color="auto"/>
        <w:bottom w:val="none" w:sz="0" w:space="0" w:color="auto"/>
        <w:right w:val="none" w:sz="0" w:space="0" w:color="auto"/>
      </w:divBdr>
    </w:div>
    <w:div w:id="1603955628">
      <w:bodyDiv w:val="1"/>
      <w:marLeft w:val="0"/>
      <w:marRight w:val="0"/>
      <w:marTop w:val="0"/>
      <w:marBottom w:val="0"/>
      <w:divBdr>
        <w:top w:val="none" w:sz="0" w:space="0" w:color="auto"/>
        <w:left w:val="none" w:sz="0" w:space="0" w:color="auto"/>
        <w:bottom w:val="none" w:sz="0" w:space="0" w:color="auto"/>
        <w:right w:val="none" w:sz="0" w:space="0" w:color="auto"/>
      </w:divBdr>
    </w:div>
    <w:div w:id="1607887801">
      <w:bodyDiv w:val="1"/>
      <w:marLeft w:val="0"/>
      <w:marRight w:val="0"/>
      <w:marTop w:val="0"/>
      <w:marBottom w:val="0"/>
      <w:divBdr>
        <w:top w:val="none" w:sz="0" w:space="0" w:color="auto"/>
        <w:left w:val="none" w:sz="0" w:space="0" w:color="auto"/>
        <w:bottom w:val="none" w:sz="0" w:space="0" w:color="auto"/>
        <w:right w:val="none" w:sz="0" w:space="0" w:color="auto"/>
      </w:divBdr>
    </w:div>
    <w:div w:id="1623800345">
      <w:bodyDiv w:val="1"/>
      <w:marLeft w:val="0"/>
      <w:marRight w:val="0"/>
      <w:marTop w:val="0"/>
      <w:marBottom w:val="0"/>
      <w:divBdr>
        <w:top w:val="none" w:sz="0" w:space="0" w:color="auto"/>
        <w:left w:val="none" w:sz="0" w:space="0" w:color="auto"/>
        <w:bottom w:val="none" w:sz="0" w:space="0" w:color="auto"/>
        <w:right w:val="none" w:sz="0" w:space="0" w:color="auto"/>
      </w:divBdr>
    </w:div>
    <w:div w:id="1627160510">
      <w:bodyDiv w:val="1"/>
      <w:marLeft w:val="0"/>
      <w:marRight w:val="0"/>
      <w:marTop w:val="0"/>
      <w:marBottom w:val="0"/>
      <w:divBdr>
        <w:top w:val="none" w:sz="0" w:space="0" w:color="auto"/>
        <w:left w:val="none" w:sz="0" w:space="0" w:color="auto"/>
        <w:bottom w:val="none" w:sz="0" w:space="0" w:color="auto"/>
        <w:right w:val="none" w:sz="0" w:space="0" w:color="auto"/>
      </w:divBdr>
    </w:div>
    <w:div w:id="1630696315">
      <w:bodyDiv w:val="1"/>
      <w:marLeft w:val="0"/>
      <w:marRight w:val="0"/>
      <w:marTop w:val="0"/>
      <w:marBottom w:val="0"/>
      <w:divBdr>
        <w:top w:val="none" w:sz="0" w:space="0" w:color="auto"/>
        <w:left w:val="none" w:sz="0" w:space="0" w:color="auto"/>
        <w:bottom w:val="none" w:sz="0" w:space="0" w:color="auto"/>
        <w:right w:val="none" w:sz="0" w:space="0" w:color="auto"/>
      </w:divBdr>
    </w:div>
    <w:div w:id="1632516232">
      <w:bodyDiv w:val="1"/>
      <w:marLeft w:val="0"/>
      <w:marRight w:val="0"/>
      <w:marTop w:val="0"/>
      <w:marBottom w:val="0"/>
      <w:divBdr>
        <w:top w:val="none" w:sz="0" w:space="0" w:color="auto"/>
        <w:left w:val="none" w:sz="0" w:space="0" w:color="auto"/>
        <w:bottom w:val="none" w:sz="0" w:space="0" w:color="auto"/>
        <w:right w:val="none" w:sz="0" w:space="0" w:color="auto"/>
      </w:divBdr>
    </w:div>
    <w:div w:id="1651666420">
      <w:bodyDiv w:val="1"/>
      <w:marLeft w:val="0"/>
      <w:marRight w:val="0"/>
      <w:marTop w:val="0"/>
      <w:marBottom w:val="0"/>
      <w:divBdr>
        <w:top w:val="none" w:sz="0" w:space="0" w:color="auto"/>
        <w:left w:val="none" w:sz="0" w:space="0" w:color="auto"/>
        <w:bottom w:val="none" w:sz="0" w:space="0" w:color="auto"/>
        <w:right w:val="none" w:sz="0" w:space="0" w:color="auto"/>
      </w:divBdr>
    </w:div>
    <w:div w:id="1653825652">
      <w:bodyDiv w:val="1"/>
      <w:marLeft w:val="0"/>
      <w:marRight w:val="0"/>
      <w:marTop w:val="0"/>
      <w:marBottom w:val="0"/>
      <w:divBdr>
        <w:top w:val="none" w:sz="0" w:space="0" w:color="auto"/>
        <w:left w:val="none" w:sz="0" w:space="0" w:color="auto"/>
        <w:bottom w:val="none" w:sz="0" w:space="0" w:color="auto"/>
        <w:right w:val="none" w:sz="0" w:space="0" w:color="auto"/>
      </w:divBdr>
    </w:div>
    <w:div w:id="1663120502">
      <w:bodyDiv w:val="1"/>
      <w:marLeft w:val="0"/>
      <w:marRight w:val="0"/>
      <w:marTop w:val="0"/>
      <w:marBottom w:val="0"/>
      <w:divBdr>
        <w:top w:val="none" w:sz="0" w:space="0" w:color="auto"/>
        <w:left w:val="none" w:sz="0" w:space="0" w:color="auto"/>
        <w:bottom w:val="none" w:sz="0" w:space="0" w:color="auto"/>
        <w:right w:val="none" w:sz="0" w:space="0" w:color="auto"/>
      </w:divBdr>
    </w:div>
    <w:div w:id="1696230101">
      <w:bodyDiv w:val="1"/>
      <w:marLeft w:val="0"/>
      <w:marRight w:val="0"/>
      <w:marTop w:val="0"/>
      <w:marBottom w:val="0"/>
      <w:divBdr>
        <w:top w:val="none" w:sz="0" w:space="0" w:color="auto"/>
        <w:left w:val="none" w:sz="0" w:space="0" w:color="auto"/>
        <w:bottom w:val="none" w:sz="0" w:space="0" w:color="auto"/>
        <w:right w:val="none" w:sz="0" w:space="0" w:color="auto"/>
      </w:divBdr>
    </w:div>
    <w:div w:id="1708095652">
      <w:bodyDiv w:val="1"/>
      <w:marLeft w:val="0"/>
      <w:marRight w:val="0"/>
      <w:marTop w:val="0"/>
      <w:marBottom w:val="0"/>
      <w:divBdr>
        <w:top w:val="none" w:sz="0" w:space="0" w:color="auto"/>
        <w:left w:val="none" w:sz="0" w:space="0" w:color="auto"/>
        <w:bottom w:val="none" w:sz="0" w:space="0" w:color="auto"/>
        <w:right w:val="none" w:sz="0" w:space="0" w:color="auto"/>
      </w:divBdr>
    </w:div>
    <w:div w:id="1720127752">
      <w:bodyDiv w:val="1"/>
      <w:marLeft w:val="0"/>
      <w:marRight w:val="0"/>
      <w:marTop w:val="0"/>
      <w:marBottom w:val="0"/>
      <w:divBdr>
        <w:top w:val="none" w:sz="0" w:space="0" w:color="auto"/>
        <w:left w:val="none" w:sz="0" w:space="0" w:color="auto"/>
        <w:bottom w:val="none" w:sz="0" w:space="0" w:color="auto"/>
        <w:right w:val="none" w:sz="0" w:space="0" w:color="auto"/>
      </w:divBdr>
    </w:div>
    <w:div w:id="1726833366">
      <w:bodyDiv w:val="1"/>
      <w:marLeft w:val="0"/>
      <w:marRight w:val="0"/>
      <w:marTop w:val="0"/>
      <w:marBottom w:val="0"/>
      <w:divBdr>
        <w:top w:val="none" w:sz="0" w:space="0" w:color="auto"/>
        <w:left w:val="none" w:sz="0" w:space="0" w:color="auto"/>
        <w:bottom w:val="none" w:sz="0" w:space="0" w:color="auto"/>
        <w:right w:val="none" w:sz="0" w:space="0" w:color="auto"/>
      </w:divBdr>
    </w:div>
    <w:div w:id="1730377523">
      <w:bodyDiv w:val="1"/>
      <w:marLeft w:val="0"/>
      <w:marRight w:val="0"/>
      <w:marTop w:val="0"/>
      <w:marBottom w:val="0"/>
      <w:divBdr>
        <w:top w:val="none" w:sz="0" w:space="0" w:color="auto"/>
        <w:left w:val="none" w:sz="0" w:space="0" w:color="auto"/>
        <w:bottom w:val="none" w:sz="0" w:space="0" w:color="auto"/>
        <w:right w:val="none" w:sz="0" w:space="0" w:color="auto"/>
      </w:divBdr>
    </w:div>
    <w:div w:id="1752315846">
      <w:bodyDiv w:val="1"/>
      <w:marLeft w:val="0"/>
      <w:marRight w:val="0"/>
      <w:marTop w:val="0"/>
      <w:marBottom w:val="0"/>
      <w:divBdr>
        <w:top w:val="none" w:sz="0" w:space="0" w:color="auto"/>
        <w:left w:val="none" w:sz="0" w:space="0" w:color="auto"/>
        <w:bottom w:val="none" w:sz="0" w:space="0" w:color="auto"/>
        <w:right w:val="none" w:sz="0" w:space="0" w:color="auto"/>
      </w:divBdr>
    </w:div>
    <w:div w:id="1759255502">
      <w:bodyDiv w:val="1"/>
      <w:marLeft w:val="0"/>
      <w:marRight w:val="0"/>
      <w:marTop w:val="0"/>
      <w:marBottom w:val="0"/>
      <w:divBdr>
        <w:top w:val="none" w:sz="0" w:space="0" w:color="auto"/>
        <w:left w:val="none" w:sz="0" w:space="0" w:color="auto"/>
        <w:bottom w:val="none" w:sz="0" w:space="0" w:color="auto"/>
        <w:right w:val="none" w:sz="0" w:space="0" w:color="auto"/>
      </w:divBdr>
    </w:div>
    <w:div w:id="1763523667">
      <w:bodyDiv w:val="1"/>
      <w:marLeft w:val="0"/>
      <w:marRight w:val="0"/>
      <w:marTop w:val="0"/>
      <w:marBottom w:val="0"/>
      <w:divBdr>
        <w:top w:val="none" w:sz="0" w:space="0" w:color="auto"/>
        <w:left w:val="none" w:sz="0" w:space="0" w:color="auto"/>
        <w:bottom w:val="none" w:sz="0" w:space="0" w:color="auto"/>
        <w:right w:val="none" w:sz="0" w:space="0" w:color="auto"/>
      </w:divBdr>
    </w:div>
    <w:div w:id="1766146057">
      <w:bodyDiv w:val="1"/>
      <w:marLeft w:val="0"/>
      <w:marRight w:val="0"/>
      <w:marTop w:val="0"/>
      <w:marBottom w:val="0"/>
      <w:divBdr>
        <w:top w:val="none" w:sz="0" w:space="0" w:color="auto"/>
        <w:left w:val="none" w:sz="0" w:space="0" w:color="auto"/>
        <w:bottom w:val="none" w:sz="0" w:space="0" w:color="auto"/>
        <w:right w:val="none" w:sz="0" w:space="0" w:color="auto"/>
      </w:divBdr>
    </w:div>
    <w:div w:id="1786070497">
      <w:bodyDiv w:val="1"/>
      <w:marLeft w:val="0"/>
      <w:marRight w:val="0"/>
      <w:marTop w:val="0"/>
      <w:marBottom w:val="0"/>
      <w:divBdr>
        <w:top w:val="none" w:sz="0" w:space="0" w:color="auto"/>
        <w:left w:val="none" w:sz="0" w:space="0" w:color="auto"/>
        <w:bottom w:val="none" w:sz="0" w:space="0" w:color="auto"/>
        <w:right w:val="none" w:sz="0" w:space="0" w:color="auto"/>
      </w:divBdr>
    </w:div>
    <w:div w:id="1787429240">
      <w:bodyDiv w:val="1"/>
      <w:marLeft w:val="0"/>
      <w:marRight w:val="0"/>
      <w:marTop w:val="0"/>
      <w:marBottom w:val="0"/>
      <w:divBdr>
        <w:top w:val="none" w:sz="0" w:space="0" w:color="auto"/>
        <w:left w:val="none" w:sz="0" w:space="0" w:color="auto"/>
        <w:bottom w:val="none" w:sz="0" w:space="0" w:color="auto"/>
        <w:right w:val="none" w:sz="0" w:space="0" w:color="auto"/>
      </w:divBdr>
    </w:div>
    <w:div w:id="1793281494">
      <w:bodyDiv w:val="1"/>
      <w:marLeft w:val="0"/>
      <w:marRight w:val="0"/>
      <w:marTop w:val="0"/>
      <w:marBottom w:val="0"/>
      <w:divBdr>
        <w:top w:val="none" w:sz="0" w:space="0" w:color="auto"/>
        <w:left w:val="none" w:sz="0" w:space="0" w:color="auto"/>
        <w:bottom w:val="none" w:sz="0" w:space="0" w:color="auto"/>
        <w:right w:val="none" w:sz="0" w:space="0" w:color="auto"/>
      </w:divBdr>
    </w:div>
    <w:div w:id="1795056154">
      <w:bodyDiv w:val="1"/>
      <w:marLeft w:val="0"/>
      <w:marRight w:val="0"/>
      <w:marTop w:val="0"/>
      <w:marBottom w:val="0"/>
      <w:divBdr>
        <w:top w:val="none" w:sz="0" w:space="0" w:color="auto"/>
        <w:left w:val="none" w:sz="0" w:space="0" w:color="auto"/>
        <w:bottom w:val="none" w:sz="0" w:space="0" w:color="auto"/>
        <w:right w:val="none" w:sz="0" w:space="0" w:color="auto"/>
      </w:divBdr>
    </w:div>
    <w:div w:id="1846630512">
      <w:bodyDiv w:val="1"/>
      <w:marLeft w:val="0"/>
      <w:marRight w:val="0"/>
      <w:marTop w:val="0"/>
      <w:marBottom w:val="0"/>
      <w:divBdr>
        <w:top w:val="none" w:sz="0" w:space="0" w:color="auto"/>
        <w:left w:val="none" w:sz="0" w:space="0" w:color="auto"/>
        <w:bottom w:val="none" w:sz="0" w:space="0" w:color="auto"/>
        <w:right w:val="none" w:sz="0" w:space="0" w:color="auto"/>
      </w:divBdr>
    </w:div>
    <w:div w:id="1863127209">
      <w:bodyDiv w:val="1"/>
      <w:marLeft w:val="0"/>
      <w:marRight w:val="0"/>
      <w:marTop w:val="0"/>
      <w:marBottom w:val="0"/>
      <w:divBdr>
        <w:top w:val="none" w:sz="0" w:space="0" w:color="auto"/>
        <w:left w:val="none" w:sz="0" w:space="0" w:color="auto"/>
        <w:bottom w:val="none" w:sz="0" w:space="0" w:color="auto"/>
        <w:right w:val="none" w:sz="0" w:space="0" w:color="auto"/>
      </w:divBdr>
    </w:div>
    <w:div w:id="1920485512">
      <w:bodyDiv w:val="1"/>
      <w:marLeft w:val="0"/>
      <w:marRight w:val="0"/>
      <w:marTop w:val="0"/>
      <w:marBottom w:val="0"/>
      <w:divBdr>
        <w:top w:val="none" w:sz="0" w:space="0" w:color="auto"/>
        <w:left w:val="none" w:sz="0" w:space="0" w:color="auto"/>
        <w:bottom w:val="none" w:sz="0" w:space="0" w:color="auto"/>
        <w:right w:val="none" w:sz="0" w:space="0" w:color="auto"/>
      </w:divBdr>
    </w:div>
    <w:div w:id="1925263313">
      <w:bodyDiv w:val="1"/>
      <w:marLeft w:val="0"/>
      <w:marRight w:val="0"/>
      <w:marTop w:val="0"/>
      <w:marBottom w:val="0"/>
      <w:divBdr>
        <w:top w:val="none" w:sz="0" w:space="0" w:color="auto"/>
        <w:left w:val="none" w:sz="0" w:space="0" w:color="auto"/>
        <w:bottom w:val="none" w:sz="0" w:space="0" w:color="auto"/>
        <w:right w:val="none" w:sz="0" w:space="0" w:color="auto"/>
      </w:divBdr>
    </w:div>
    <w:div w:id="1928347957">
      <w:bodyDiv w:val="1"/>
      <w:marLeft w:val="0"/>
      <w:marRight w:val="0"/>
      <w:marTop w:val="0"/>
      <w:marBottom w:val="0"/>
      <w:divBdr>
        <w:top w:val="none" w:sz="0" w:space="0" w:color="auto"/>
        <w:left w:val="none" w:sz="0" w:space="0" w:color="auto"/>
        <w:bottom w:val="none" w:sz="0" w:space="0" w:color="auto"/>
        <w:right w:val="none" w:sz="0" w:space="0" w:color="auto"/>
      </w:divBdr>
    </w:div>
    <w:div w:id="1948849756">
      <w:bodyDiv w:val="1"/>
      <w:marLeft w:val="0"/>
      <w:marRight w:val="0"/>
      <w:marTop w:val="0"/>
      <w:marBottom w:val="0"/>
      <w:divBdr>
        <w:top w:val="none" w:sz="0" w:space="0" w:color="auto"/>
        <w:left w:val="none" w:sz="0" w:space="0" w:color="auto"/>
        <w:bottom w:val="none" w:sz="0" w:space="0" w:color="auto"/>
        <w:right w:val="none" w:sz="0" w:space="0" w:color="auto"/>
      </w:divBdr>
    </w:div>
    <w:div w:id="1953324472">
      <w:bodyDiv w:val="1"/>
      <w:marLeft w:val="0"/>
      <w:marRight w:val="0"/>
      <w:marTop w:val="0"/>
      <w:marBottom w:val="0"/>
      <w:divBdr>
        <w:top w:val="none" w:sz="0" w:space="0" w:color="auto"/>
        <w:left w:val="none" w:sz="0" w:space="0" w:color="auto"/>
        <w:bottom w:val="none" w:sz="0" w:space="0" w:color="auto"/>
        <w:right w:val="none" w:sz="0" w:space="0" w:color="auto"/>
      </w:divBdr>
    </w:div>
    <w:div w:id="1954242315">
      <w:bodyDiv w:val="1"/>
      <w:marLeft w:val="0"/>
      <w:marRight w:val="0"/>
      <w:marTop w:val="0"/>
      <w:marBottom w:val="0"/>
      <w:divBdr>
        <w:top w:val="none" w:sz="0" w:space="0" w:color="auto"/>
        <w:left w:val="none" w:sz="0" w:space="0" w:color="auto"/>
        <w:bottom w:val="none" w:sz="0" w:space="0" w:color="auto"/>
        <w:right w:val="none" w:sz="0" w:space="0" w:color="auto"/>
      </w:divBdr>
    </w:div>
    <w:div w:id="1954555685">
      <w:bodyDiv w:val="1"/>
      <w:marLeft w:val="0"/>
      <w:marRight w:val="0"/>
      <w:marTop w:val="0"/>
      <w:marBottom w:val="0"/>
      <w:divBdr>
        <w:top w:val="none" w:sz="0" w:space="0" w:color="auto"/>
        <w:left w:val="none" w:sz="0" w:space="0" w:color="auto"/>
        <w:bottom w:val="none" w:sz="0" w:space="0" w:color="auto"/>
        <w:right w:val="none" w:sz="0" w:space="0" w:color="auto"/>
      </w:divBdr>
    </w:div>
    <w:div w:id="1955670511">
      <w:bodyDiv w:val="1"/>
      <w:marLeft w:val="0"/>
      <w:marRight w:val="0"/>
      <w:marTop w:val="0"/>
      <w:marBottom w:val="0"/>
      <w:divBdr>
        <w:top w:val="none" w:sz="0" w:space="0" w:color="auto"/>
        <w:left w:val="none" w:sz="0" w:space="0" w:color="auto"/>
        <w:bottom w:val="none" w:sz="0" w:space="0" w:color="auto"/>
        <w:right w:val="none" w:sz="0" w:space="0" w:color="auto"/>
      </w:divBdr>
    </w:div>
    <w:div w:id="1968197958">
      <w:bodyDiv w:val="1"/>
      <w:marLeft w:val="0"/>
      <w:marRight w:val="0"/>
      <w:marTop w:val="0"/>
      <w:marBottom w:val="0"/>
      <w:divBdr>
        <w:top w:val="none" w:sz="0" w:space="0" w:color="auto"/>
        <w:left w:val="none" w:sz="0" w:space="0" w:color="auto"/>
        <w:bottom w:val="none" w:sz="0" w:space="0" w:color="auto"/>
        <w:right w:val="none" w:sz="0" w:space="0" w:color="auto"/>
      </w:divBdr>
    </w:div>
    <w:div w:id="1972248706">
      <w:bodyDiv w:val="1"/>
      <w:marLeft w:val="0"/>
      <w:marRight w:val="0"/>
      <w:marTop w:val="0"/>
      <w:marBottom w:val="0"/>
      <w:divBdr>
        <w:top w:val="none" w:sz="0" w:space="0" w:color="auto"/>
        <w:left w:val="none" w:sz="0" w:space="0" w:color="auto"/>
        <w:bottom w:val="none" w:sz="0" w:space="0" w:color="auto"/>
        <w:right w:val="none" w:sz="0" w:space="0" w:color="auto"/>
      </w:divBdr>
    </w:div>
    <w:div w:id="1975141439">
      <w:bodyDiv w:val="1"/>
      <w:marLeft w:val="0"/>
      <w:marRight w:val="0"/>
      <w:marTop w:val="0"/>
      <w:marBottom w:val="0"/>
      <w:divBdr>
        <w:top w:val="none" w:sz="0" w:space="0" w:color="auto"/>
        <w:left w:val="none" w:sz="0" w:space="0" w:color="auto"/>
        <w:bottom w:val="none" w:sz="0" w:space="0" w:color="auto"/>
        <w:right w:val="none" w:sz="0" w:space="0" w:color="auto"/>
      </w:divBdr>
    </w:div>
    <w:div w:id="1975214609">
      <w:bodyDiv w:val="1"/>
      <w:marLeft w:val="0"/>
      <w:marRight w:val="0"/>
      <w:marTop w:val="0"/>
      <w:marBottom w:val="0"/>
      <w:divBdr>
        <w:top w:val="none" w:sz="0" w:space="0" w:color="auto"/>
        <w:left w:val="none" w:sz="0" w:space="0" w:color="auto"/>
        <w:bottom w:val="none" w:sz="0" w:space="0" w:color="auto"/>
        <w:right w:val="none" w:sz="0" w:space="0" w:color="auto"/>
      </w:divBdr>
    </w:div>
    <w:div w:id="1979609277">
      <w:bodyDiv w:val="1"/>
      <w:marLeft w:val="0"/>
      <w:marRight w:val="0"/>
      <w:marTop w:val="0"/>
      <w:marBottom w:val="0"/>
      <w:divBdr>
        <w:top w:val="none" w:sz="0" w:space="0" w:color="auto"/>
        <w:left w:val="none" w:sz="0" w:space="0" w:color="auto"/>
        <w:bottom w:val="none" w:sz="0" w:space="0" w:color="auto"/>
        <w:right w:val="none" w:sz="0" w:space="0" w:color="auto"/>
      </w:divBdr>
    </w:div>
    <w:div w:id="1981761159">
      <w:bodyDiv w:val="1"/>
      <w:marLeft w:val="0"/>
      <w:marRight w:val="0"/>
      <w:marTop w:val="0"/>
      <w:marBottom w:val="0"/>
      <w:divBdr>
        <w:top w:val="none" w:sz="0" w:space="0" w:color="auto"/>
        <w:left w:val="none" w:sz="0" w:space="0" w:color="auto"/>
        <w:bottom w:val="none" w:sz="0" w:space="0" w:color="auto"/>
        <w:right w:val="none" w:sz="0" w:space="0" w:color="auto"/>
      </w:divBdr>
    </w:div>
    <w:div w:id="1988314368">
      <w:bodyDiv w:val="1"/>
      <w:marLeft w:val="0"/>
      <w:marRight w:val="0"/>
      <w:marTop w:val="0"/>
      <w:marBottom w:val="0"/>
      <w:divBdr>
        <w:top w:val="none" w:sz="0" w:space="0" w:color="auto"/>
        <w:left w:val="none" w:sz="0" w:space="0" w:color="auto"/>
        <w:bottom w:val="none" w:sz="0" w:space="0" w:color="auto"/>
        <w:right w:val="none" w:sz="0" w:space="0" w:color="auto"/>
      </w:divBdr>
    </w:div>
    <w:div w:id="1988851273">
      <w:bodyDiv w:val="1"/>
      <w:marLeft w:val="0"/>
      <w:marRight w:val="0"/>
      <w:marTop w:val="0"/>
      <w:marBottom w:val="0"/>
      <w:divBdr>
        <w:top w:val="none" w:sz="0" w:space="0" w:color="auto"/>
        <w:left w:val="none" w:sz="0" w:space="0" w:color="auto"/>
        <w:bottom w:val="none" w:sz="0" w:space="0" w:color="auto"/>
        <w:right w:val="none" w:sz="0" w:space="0" w:color="auto"/>
      </w:divBdr>
    </w:div>
    <w:div w:id="2026050840">
      <w:bodyDiv w:val="1"/>
      <w:marLeft w:val="0"/>
      <w:marRight w:val="0"/>
      <w:marTop w:val="0"/>
      <w:marBottom w:val="0"/>
      <w:divBdr>
        <w:top w:val="none" w:sz="0" w:space="0" w:color="auto"/>
        <w:left w:val="none" w:sz="0" w:space="0" w:color="auto"/>
        <w:bottom w:val="none" w:sz="0" w:space="0" w:color="auto"/>
        <w:right w:val="none" w:sz="0" w:space="0" w:color="auto"/>
      </w:divBdr>
    </w:div>
    <w:div w:id="2027900987">
      <w:bodyDiv w:val="1"/>
      <w:marLeft w:val="0"/>
      <w:marRight w:val="0"/>
      <w:marTop w:val="0"/>
      <w:marBottom w:val="0"/>
      <w:divBdr>
        <w:top w:val="none" w:sz="0" w:space="0" w:color="auto"/>
        <w:left w:val="none" w:sz="0" w:space="0" w:color="auto"/>
        <w:bottom w:val="none" w:sz="0" w:space="0" w:color="auto"/>
        <w:right w:val="none" w:sz="0" w:space="0" w:color="auto"/>
      </w:divBdr>
    </w:div>
    <w:div w:id="2041397037">
      <w:bodyDiv w:val="1"/>
      <w:marLeft w:val="0"/>
      <w:marRight w:val="0"/>
      <w:marTop w:val="0"/>
      <w:marBottom w:val="0"/>
      <w:divBdr>
        <w:top w:val="none" w:sz="0" w:space="0" w:color="auto"/>
        <w:left w:val="none" w:sz="0" w:space="0" w:color="auto"/>
        <w:bottom w:val="none" w:sz="0" w:space="0" w:color="auto"/>
        <w:right w:val="none" w:sz="0" w:space="0" w:color="auto"/>
      </w:divBdr>
    </w:div>
    <w:div w:id="2046519382">
      <w:bodyDiv w:val="1"/>
      <w:marLeft w:val="0"/>
      <w:marRight w:val="0"/>
      <w:marTop w:val="0"/>
      <w:marBottom w:val="0"/>
      <w:divBdr>
        <w:top w:val="none" w:sz="0" w:space="0" w:color="auto"/>
        <w:left w:val="none" w:sz="0" w:space="0" w:color="auto"/>
        <w:bottom w:val="none" w:sz="0" w:space="0" w:color="auto"/>
        <w:right w:val="none" w:sz="0" w:space="0" w:color="auto"/>
      </w:divBdr>
    </w:div>
    <w:div w:id="2060275740">
      <w:bodyDiv w:val="1"/>
      <w:marLeft w:val="0"/>
      <w:marRight w:val="0"/>
      <w:marTop w:val="0"/>
      <w:marBottom w:val="0"/>
      <w:divBdr>
        <w:top w:val="none" w:sz="0" w:space="0" w:color="auto"/>
        <w:left w:val="none" w:sz="0" w:space="0" w:color="auto"/>
        <w:bottom w:val="none" w:sz="0" w:space="0" w:color="auto"/>
        <w:right w:val="none" w:sz="0" w:space="0" w:color="auto"/>
      </w:divBdr>
    </w:div>
    <w:div w:id="2071419119">
      <w:bodyDiv w:val="1"/>
      <w:marLeft w:val="0"/>
      <w:marRight w:val="0"/>
      <w:marTop w:val="0"/>
      <w:marBottom w:val="0"/>
      <w:divBdr>
        <w:top w:val="none" w:sz="0" w:space="0" w:color="auto"/>
        <w:left w:val="none" w:sz="0" w:space="0" w:color="auto"/>
        <w:bottom w:val="none" w:sz="0" w:space="0" w:color="auto"/>
        <w:right w:val="none" w:sz="0" w:space="0" w:color="auto"/>
      </w:divBdr>
    </w:div>
    <w:div w:id="2088645192">
      <w:bodyDiv w:val="1"/>
      <w:marLeft w:val="0"/>
      <w:marRight w:val="0"/>
      <w:marTop w:val="0"/>
      <w:marBottom w:val="0"/>
      <w:divBdr>
        <w:top w:val="none" w:sz="0" w:space="0" w:color="auto"/>
        <w:left w:val="none" w:sz="0" w:space="0" w:color="auto"/>
        <w:bottom w:val="none" w:sz="0" w:space="0" w:color="auto"/>
        <w:right w:val="none" w:sz="0" w:space="0" w:color="auto"/>
      </w:divBdr>
    </w:div>
    <w:div w:id="2097166907">
      <w:bodyDiv w:val="1"/>
      <w:marLeft w:val="0"/>
      <w:marRight w:val="0"/>
      <w:marTop w:val="0"/>
      <w:marBottom w:val="0"/>
      <w:divBdr>
        <w:top w:val="none" w:sz="0" w:space="0" w:color="auto"/>
        <w:left w:val="none" w:sz="0" w:space="0" w:color="auto"/>
        <w:bottom w:val="none" w:sz="0" w:space="0" w:color="auto"/>
        <w:right w:val="none" w:sz="0" w:space="0" w:color="auto"/>
      </w:divBdr>
    </w:div>
    <w:div w:id="2101175541">
      <w:bodyDiv w:val="1"/>
      <w:marLeft w:val="0"/>
      <w:marRight w:val="0"/>
      <w:marTop w:val="0"/>
      <w:marBottom w:val="0"/>
      <w:divBdr>
        <w:top w:val="none" w:sz="0" w:space="0" w:color="auto"/>
        <w:left w:val="none" w:sz="0" w:space="0" w:color="auto"/>
        <w:bottom w:val="none" w:sz="0" w:space="0" w:color="auto"/>
        <w:right w:val="none" w:sz="0" w:space="0" w:color="auto"/>
      </w:divBdr>
    </w:div>
    <w:div w:id="2112779360">
      <w:bodyDiv w:val="1"/>
      <w:marLeft w:val="0"/>
      <w:marRight w:val="0"/>
      <w:marTop w:val="0"/>
      <w:marBottom w:val="0"/>
      <w:divBdr>
        <w:top w:val="none" w:sz="0" w:space="0" w:color="auto"/>
        <w:left w:val="none" w:sz="0" w:space="0" w:color="auto"/>
        <w:bottom w:val="none" w:sz="0" w:space="0" w:color="auto"/>
        <w:right w:val="none" w:sz="0" w:space="0" w:color="auto"/>
      </w:divBdr>
    </w:div>
    <w:div w:id="2121409019">
      <w:bodyDiv w:val="1"/>
      <w:marLeft w:val="0"/>
      <w:marRight w:val="0"/>
      <w:marTop w:val="0"/>
      <w:marBottom w:val="0"/>
      <w:divBdr>
        <w:top w:val="none" w:sz="0" w:space="0" w:color="auto"/>
        <w:left w:val="none" w:sz="0" w:space="0" w:color="auto"/>
        <w:bottom w:val="none" w:sz="0" w:space="0" w:color="auto"/>
        <w:right w:val="none" w:sz="0" w:space="0" w:color="auto"/>
      </w:divBdr>
    </w:div>
    <w:div w:id="2123643341">
      <w:bodyDiv w:val="1"/>
      <w:marLeft w:val="0"/>
      <w:marRight w:val="0"/>
      <w:marTop w:val="0"/>
      <w:marBottom w:val="0"/>
      <w:divBdr>
        <w:top w:val="none" w:sz="0" w:space="0" w:color="auto"/>
        <w:left w:val="none" w:sz="0" w:space="0" w:color="auto"/>
        <w:bottom w:val="none" w:sz="0" w:space="0" w:color="auto"/>
        <w:right w:val="none" w:sz="0" w:space="0" w:color="auto"/>
      </w:divBdr>
    </w:div>
    <w:div w:id="2127890934">
      <w:bodyDiv w:val="1"/>
      <w:marLeft w:val="0"/>
      <w:marRight w:val="0"/>
      <w:marTop w:val="0"/>
      <w:marBottom w:val="0"/>
      <w:divBdr>
        <w:top w:val="none" w:sz="0" w:space="0" w:color="auto"/>
        <w:left w:val="none" w:sz="0" w:space="0" w:color="auto"/>
        <w:bottom w:val="none" w:sz="0" w:space="0" w:color="auto"/>
        <w:right w:val="none" w:sz="0" w:space="0" w:color="auto"/>
      </w:divBdr>
    </w:div>
    <w:div w:id="214214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631&amp;dst=1000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50454&amp;dst=236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gulation.gov.ru/projects/1600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3BA1E-B1F4-43F0-884A-FADD2DF1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12003</Words>
  <Characters>68419</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План раздела</vt:lpstr>
    </vt:vector>
  </TitlesOfParts>
  <Company/>
  <LinksUpToDate>false</LinksUpToDate>
  <CharactersWithSpaces>80262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раздела</dc:title>
  <dc:creator>Puhova</dc:creator>
  <cp:lastModifiedBy>Виноградов Павел Владимирович</cp:lastModifiedBy>
  <cp:revision>6</cp:revision>
  <cp:lastPrinted>2024-10-02T12:12:00Z</cp:lastPrinted>
  <dcterms:created xsi:type="dcterms:W3CDTF">2025-10-08T16:26:00Z</dcterms:created>
  <dcterms:modified xsi:type="dcterms:W3CDTF">2025-10-10T11:17:00Z</dcterms:modified>
</cp:coreProperties>
</file>