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45DCB" w14:textId="2549CC16" w:rsidR="009F061F" w:rsidRDefault="00C20AD2" w:rsidP="00C20AD2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B21385">
        <w:rPr>
          <w:rFonts w:ascii="Times New Roman" w:hAnsi="Times New Roman" w:cs="Times New Roman"/>
          <w:sz w:val="24"/>
          <w:szCs w:val="24"/>
        </w:rPr>
        <w:t>Приложение № 1</w:t>
      </w:r>
      <w:r w:rsidRPr="00B21385">
        <w:rPr>
          <w:rFonts w:ascii="Times New Roman" w:hAnsi="Times New Roman" w:cs="Times New Roman"/>
          <w:sz w:val="24"/>
          <w:szCs w:val="24"/>
        </w:rPr>
        <w:br/>
        <w:t xml:space="preserve">к отчету по результатам экспертно-аналитического </w:t>
      </w:r>
      <w:r w:rsidR="009F061F">
        <w:rPr>
          <w:rFonts w:ascii="Times New Roman" w:hAnsi="Times New Roman" w:cs="Times New Roman"/>
          <w:sz w:val="24"/>
          <w:szCs w:val="24"/>
        </w:rPr>
        <w:t>м</w:t>
      </w:r>
      <w:r w:rsidRPr="00B21385">
        <w:rPr>
          <w:rFonts w:ascii="Times New Roman" w:hAnsi="Times New Roman" w:cs="Times New Roman"/>
          <w:sz w:val="24"/>
          <w:szCs w:val="24"/>
        </w:rPr>
        <w:t xml:space="preserve">ероприятия </w:t>
      </w:r>
    </w:p>
    <w:p w14:paraId="39359F86" w14:textId="7D3ED3DE" w:rsidR="00C20AD2" w:rsidRPr="00B21385" w:rsidRDefault="00C20AD2" w:rsidP="00C20AD2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B21385">
        <w:rPr>
          <w:rFonts w:ascii="Times New Roman" w:hAnsi="Times New Roman" w:cs="Times New Roman"/>
          <w:sz w:val="24"/>
          <w:szCs w:val="24"/>
        </w:rPr>
        <w:t>от </w:t>
      </w:r>
      <w:bookmarkStart w:id="0" w:name="_GoBack"/>
      <w:bookmarkEnd w:id="0"/>
      <w:r w:rsidR="009F061F">
        <w:rPr>
          <w:rFonts w:ascii="Times New Roman" w:hAnsi="Times New Roman" w:cs="Times New Roman"/>
          <w:sz w:val="24"/>
          <w:szCs w:val="24"/>
        </w:rPr>
        <w:t xml:space="preserve">30 января </w:t>
      </w:r>
      <w:r w:rsidRPr="00B21385">
        <w:rPr>
          <w:rFonts w:ascii="Times New Roman" w:hAnsi="Times New Roman" w:cs="Times New Roman"/>
          <w:sz w:val="24"/>
          <w:szCs w:val="24"/>
        </w:rPr>
        <w:t>202</w:t>
      </w:r>
      <w:r w:rsidR="007E5194">
        <w:rPr>
          <w:rFonts w:ascii="Times New Roman" w:hAnsi="Times New Roman" w:cs="Times New Roman"/>
          <w:sz w:val="24"/>
          <w:szCs w:val="24"/>
        </w:rPr>
        <w:t>5</w:t>
      </w:r>
      <w:r w:rsidRPr="00B2138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35B7D0" w14:textId="7D919F5C" w:rsidR="00C20AD2" w:rsidRPr="00B21385" w:rsidRDefault="00C20AD2" w:rsidP="00C20AD2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B21385">
        <w:rPr>
          <w:rFonts w:ascii="Times New Roman" w:hAnsi="Times New Roman" w:cs="Times New Roman"/>
          <w:sz w:val="24"/>
          <w:szCs w:val="24"/>
        </w:rPr>
        <w:t xml:space="preserve">№ </w:t>
      </w:r>
      <w:r w:rsidR="009F061F">
        <w:rPr>
          <w:rFonts w:ascii="Times New Roman" w:hAnsi="Times New Roman" w:cs="Times New Roman"/>
          <w:sz w:val="24"/>
          <w:szCs w:val="24"/>
        </w:rPr>
        <w:t>ОМ-4/13-04</w:t>
      </w:r>
    </w:p>
    <w:p w14:paraId="1989EE76" w14:textId="030306B1" w:rsidR="00CE0365" w:rsidRDefault="00D04A5C" w:rsidP="001729C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A5C">
        <w:rPr>
          <w:rFonts w:ascii="Times New Roman" w:hAnsi="Times New Roman" w:cs="Times New Roman"/>
          <w:b/>
          <w:bCs/>
          <w:sz w:val="28"/>
          <w:szCs w:val="28"/>
        </w:rPr>
        <w:t>Критер</w:t>
      </w:r>
      <w:proofErr w:type="gramStart"/>
      <w:r w:rsidRPr="00D04A5C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D04A5C">
        <w:rPr>
          <w:rFonts w:ascii="Times New Roman" w:hAnsi="Times New Roman" w:cs="Times New Roman"/>
          <w:b/>
          <w:bCs/>
          <w:sz w:val="28"/>
          <w:szCs w:val="28"/>
        </w:rPr>
        <w:t xml:space="preserve">дита и результаты оценки по указанным критериям </w:t>
      </w:r>
    </w:p>
    <w:p w14:paraId="59CAF4C1" w14:textId="1BF721AA" w:rsidR="006B6CAA" w:rsidRDefault="00D04A5C" w:rsidP="001729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 1.</w:t>
      </w:r>
      <w:r w:rsidRPr="00D04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Оценить результативность использования АО «КРДВ» средств, полученных из федерального бюджета в 2021–2023 годах</w:t>
      </w:r>
      <w:r w:rsidR="00B83B05" w:rsidRPr="00B83B05">
        <w:t xml:space="preserve"> </w:t>
      </w:r>
      <w:r w:rsidR="00B83B05">
        <w:t>(</w:t>
      </w:r>
      <w:r w:rsidR="00B83B05" w:rsidRPr="00B83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аудит</w:t>
      </w:r>
      <w:r w:rsidR="00B83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3B05" w:rsidRPr="00B83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эффективности</w:t>
      </w:r>
      <w:r w:rsidR="00B83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D04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6492"/>
        <w:gridCol w:w="1588"/>
      </w:tblGrid>
      <w:tr w:rsidR="00D04A5C" w:rsidRPr="006B6CAA" w14:paraId="085E080E" w14:textId="77777777" w:rsidTr="005E7C52">
        <w:trPr>
          <w:tblHeader/>
        </w:trPr>
        <w:tc>
          <w:tcPr>
            <w:tcW w:w="2836" w:type="dxa"/>
          </w:tcPr>
          <w:p w14:paraId="08CB6741" w14:textId="77777777" w:rsidR="00D04A5C" w:rsidRPr="00D65FFB" w:rsidRDefault="00D04A5C" w:rsidP="00D04A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492" w:type="dxa"/>
          </w:tcPr>
          <w:p w14:paraId="7E44D950" w14:textId="77777777" w:rsidR="00D04A5C" w:rsidRPr="00D65FFB" w:rsidRDefault="00D04A5C" w:rsidP="00D04A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Установленные обстоятельства</w:t>
            </w:r>
          </w:p>
        </w:tc>
        <w:tc>
          <w:tcPr>
            <w:tcW w:w="1588" w:type="dxa"/>
          </w:tcPr>
          <w:p w14:paraId="3251D4D0" w14:textId="77777777" w:rsidR="00D04A5C" w:rsidRPr="00D65FFB" w:rsidRDefault="00D04A5C" w:rsidP="00D04A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оценки</w:t>
            </w:r>
          </w:p>
        </w:tc>
      </w:tr>
      <w:tr w:rsidR="00D04A5C" w:rsidRPr="00067397" w14:paraId="79F3933C" w14:textId="77777777" w:rsidTr="005E7C52">
        <w:tc>
          <w:tcPr>
            <w:tcW w:w="2836" w:type="dxa"/>
          </w:tcPr>
          <w:p w14:paraId="4FE33EF6" w14:textId="77777777" w:rsidR="00D04A5C" w:rsidRPr="00D04A5C" w:rsidRDefault="00D04A5C" w:rsidP="00D04A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1. </w:t>
            </w:r>
          </w:p>
          <w:p w14:paraId="5BF34825" w14:textId="1F3ACFDE" w:rsidR="00D04A5C" w:rsidRPr="00067397" w:rsidRDefault="00D04A5C" w:rsidP="00D04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Бюджетные средства, предоставленные АО «КРДВ», использованы полностью, за исключением экономии средств</w:t>
            </w:r>
            <w:r w:rsidR="00B83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07EFE1D0" w14:textId="77777777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Одной из основных функций АО «КРДВ» является создание объектов инфраструктуры ТОР и обеспечение их функционирования. На указанные цели в период 2016 – 2023 годов предоставлены субсидии в объеме 47,6 млрд. рублей. В анализируемом периоде объем таких субсидий составил 21,7 млрд. рублей.</w:t>
            </w:r>
          </w:p>
          <w:p w14:paraId="18B6AEEC" w14:textId="77777777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АО «КРДВ» не в полной мере обеспечено использование средств субсидий на инфраструктуру ТОР из федерального бюджета.</w:t>
            </w:r>
          </w:p>
          <w:p w14:paraId="1F23990C" w14:textId="48E6E3D9" w:rsidR="00D04A5C" w:rsidRPr="00D04A5C" w:rsidRDefault="00D04A5C" w:rsidP="00D04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 xml:space="preserve">На лицевых счетах АО «КРДВ» по состоянию на 1 января 2024 года образовались остатки неиспользованных средств субсидий на создание инфраструктуры ТОР в объеме 0,8 млрд. рублей, </w:t>
            </w:r>
            <w:proofErr w:type="gramStart"/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а у ее</w:t>
            </w:r>
            <w:proofErr w:type="gramEnd"/>
            <w:r w:rsidRPr="00D04A5C">
              <w:rPr>
                <w:rFonts w:ascii="Times New Roman" w:hAnsi="Times New Roman" w:cs="Times New Roman"/>
                <w:sz w:val="24"/>
                <w:szCs w:val="24"/>
              </w:rPr>
              <w:t xml:space="preserve"> дочерних обществ в объеме 13,5 млрд. рублей. При этом объем остатков указанных средств на лицевых счетах АО «КРДВ» имеет тенденцию к уменьшению, снизившись с 1,4 млрд. рублей в 2020 году на 0,6 млрд. рублей, однако в случае с остатками средств на лицевых счетах дочерних обществ АО «КРДВ» устойчивая тенденция к их уменьшению отсутствует.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33B32086" w14:textId="77777777" w:rsidR="00D04A5C" w:rsidRPr="00D04A5C" w:rsidRDefault="00D04A5C" w:rsidP="00D0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</w:tr>
      <w:tr w:rsidR="00D04A5C" w:rsidRPr="00067397" w14:paraId="185D5972" w14:textId="77777777" w:rsidTr="005E7C52">
        <w:tc>
          <w:tcPr>
            <w:tcW w:w="2836" w:type="dxa"/>
          </w:tcPr>
          <w:p w14:paraId="10646DD8" w14:textId="77777777" w:rsidR="00D04A5C" w:rsidRPr="00D04A5C" w:rsidRDefault="00D04A5C" w:rsidP="00D04A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2. </w:t>
            </w:r>
          </w:p>
          <w:p w14:paraId="77D6B37C" w14:textId="71A77855" w:rsidR="00D04A5C" w:rsidRPr="00067397" w:rsidRDefault="00D04A5C" w:rsidP="00D04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Результаты, предусмотренные соглашениями о предоставлении субсидий, достигнуты в полном объеме и в установленные сроки.</w:t>
            </w:r>
          </w:p>
        </w:tc>
        <w:tc>
          <w:tcPr>
            <w:tcW w:w="6492" w:type="dxa"/>
          </w:tcPr>
          <w:p w14:paraId="2E911BB0" w14:textId="1F649B7C" w:rsid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предоставления субсидии из федерального бюджета АО «КРДВ» на финансовое обеспечение затрат на развитие инфраструктуры ТОР в ДФО в 2021–2023 годах, а также показатели, необходимые для достижения результата, в 2023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формально достигнуты</w:t>
            </w: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B088D9" w14:textId="1D8B51D2" w:rsidR="00D04A5C" w:rsidRPr="00067397" w:rsidRDefault="00D65FFB" w:rsidP="00D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Вместе с тем</w:t>
            </w: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регламентирующие предоставление указанных субсидий, не предусматривали (до 2023 года) установление в качестве результатов и не предусматривают (с 2023 года) установление в качестве показателей, необходимых для достижения результата, выполнение мероприятий, плановый срок по которым выходит за пределы года предоставления субсидии, а также не учитывали (не учитывают) сложившуюся практику переноса на более поздние плановых сроков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кончания реализации мероприятий</w:t>
            </w: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88" w:type="dxa"/>
            <w:shd w:val="clear" w:color="auto" w:fill="E2EFD9" w:themeFill="accent6" w:themeFillTint="33"/>
          </w:tcPr>
          <w:p w14:paraId="497E966B" w14:textId="6B758325" w:rsidR="00D04A5C" w:rsidRPr="00D04A5C" w:rsidRDefault="00D04A5C" w:rsidP="00D0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</w:tr>
      <w:tr w:rsidR="00D65FFB" w:rsidRPr="00067397" w14:paraId="3EECA9CF" w14:textId="77777777" w:rsidTr="005E7C52">
        <w:tc>
          <w:tcPr>
            <w:tcW w:w="10916" w:type="dxa"/>
            <w:gridSpan w:val="3"/>
          </w:tcPr>
          <w:p w14:paraId="19431E43" w14:textId="3ADB48D2" w:rsidR="00D65FFB" w:rsidRPr="00D04A5C" w:rsidRDefault="00D65FFB" w:rsidP="00B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t xml:space="preserve"> </w:t>
            </w: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 xml:space="preserve">АО «КРДВ»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обеспечено эффективное использование средств субсидий,</w:t>
            </w:r>
            <w:r w:rsidR="00B8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полученных из федерального бюджета в 2021–2023 годах</w:t>
            </w:r>
            <w:r w:rsidR="00B83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0210EB" w14:textId="77777777" w:rsidR="00D04A5C" w:rsidRDefault="00D04A5C" w:rsidP="006B6CAA">
      <w:pPr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801855" w14:textId="7EB69FDF" w:rsidR="00B83B05" w:rsidRDefault="00B83B05" w:rsidP="001729C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Цель 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Pr="00D04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83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Оценить соответствие деятельности АО «КРДВ» требованиям нормативных правовых актов, регулирующих социально-экономическое развитие Дальнего Востока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B83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аудит соответствия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D04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887" w:type="dxa"/>
        <w:tblInd w:w="-743" w:type="dxa"/>
        <w:tblLook w:val="04A0" w:firstRow="1" w:lastRow="0" w:firstColumn="1" w:lastColumn="0" w:noHBand="0" w:noVBand="1"/>
      </w:tblPr>
      <w:tblGrid>
        <w:gridCol w:w="2836"/>
        <w:gridCol w:w="6492"/>
        <w:gridCol w:w="1559"/>
      </w:tblGrid>
      <w:tr w:rsidR="00B83B05" w:rsidRPr="006B6CAA" w14:paraId="5241C633" w14:textId="77777777" w:rsidTr="005E7C52">
        <w:trPr>
          <w:tblHeader/>
        </w:trPr>
        <w:tc>
          <w:tcPr>
            <w:tcW w:w="2836" w:type="dxa"/>
          </w:tcPr>
          <w:p w14:paraId="25C6DA91" w14:textId="77777777" w:rsidR="00B83B05" w:rsidRPr="00D65FFB" w:rsidRDefault="00B83B05" w:rsidP="00E47C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492" w:type="dxa"/>
          </w:tcPr>
          <w:p w14:paraId="58BBA1B9" w14:textId="77777777" w:rsidR="00B83B05" w:rsidRPr="00D65FFB" w:rsidRDefault="00B83B05" w:rsidP="00E47C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Установленные обстоятельства</w:t>
            </w:r>
          </w:p>
        </w:tc>
        <w:tc>
          <w:tcPr>
            <w:tcW w:w="1559" w:type="dxa"/>
          </w:tcPr>
          <w:p w14:paraId="31382720" w14:textId="77777777" w:rsidR="00B83B05" w:rsidRPr="00D65FFB" w:rsidRDefault="00B83B05" w:rsidP="00E47C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оценки</w:t>
            </w:r>
          </w:p>
        </w:tc>
      </w:tr>
      <w:tr w:rsidR="00B83B05" w:rsidRPr="00067397" w14:paraId="6454497C" w14:textId="77777777" w:rsidTr="005E7C52">
        <w:tc>
          <w:tcPr>
            <w:tcW w:w="2836" w:type="dxa"/>
          </w:tcPr>
          <w:p w14:paraId="405D689F" w14:textId="77777777" w:rsidR="00B83B05" w:rsidRPr="00D04A5C" w:rsidRDefault="00B83B05" w:rsidP="00E47C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1. </w:t>
            </w:r>
          </w:p>
          <w:p w14:paraId="4BC0FEBA" w14:textId="77777777" w:rsidR="00B83B05" w:rsidRPr="00B83B05" w:rsidRDefault="00B83B05" w:rsidP="00B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t xml:space="preserve">АО КРДВ в полном объеме реализует функции </w:t>
            </w:r>
          </w:p>
          <w:p w14:paraId="5A836A49" w14:textId="45F90182" w:rsidR="00B83B05" w:rsidRPr="00067397" w:rsidRDefault="00B83B05" w:rsidP="00B83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t>по управлению территориями опережающего развития в субъектах Российской Федерации, входящих в состав ДФО, в соответствии с требованиями Федерального закона «О территориях опережающего развития в Российской Федерации».</w:t>
            </w:r>
          </w:p>
        </w:tc>
        <w:tc>
          <w:tcPr>
            <w:tcW w:w="6492" w:type="dxa"/>
          </w:tcPr>
          <w:p w14:paraId="02898925" w14:textId="3FBE45A6" w:rsidR="00B83B05" w:rsidRPr="00D04A5C" w:rsidRDefault="001239DC" w:rsidP="00E47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АО «КРДВ» осуществляет выполнение всех основных функций, предусмотренных статьей 8 Федерального закона от 29 декабря 2014 г. № 473 ФЗ «О территориях опережающего развития в Российской Федерации». Вместе с тем отдельные функции, также перечисленные в указанном законе, АО «КРДВ» не реализуются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(транспортное обслуживание на ТОР, сбор твердых коммунальных отходов, благоустройство ТОР, создание условий для обеспечения лиц, находящихся на ТОР, услугами связи, общественного питания, торговли и бытового обслуживания, а также для организации досуга таких лиц).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5EFE72" w14:textId="77777777" w:rsidR="00B83B05" w:rsidRPr="00D04A5C" w:rsidRDefault="00B83B05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</w:tr>
      <w:tr w:rsidR="00B83B05" w:rsidRPr="00067397" w14:paraId="7C9AF192" w14:textId="77777777" w:rsidTr="005E7C52">
        <w:tc>
          <w:tcPr>
            <w:tcW w:w="2836" w:type="dxa"/>
          </w:tcPr>
          <w:p w14:paraId="10940460" w14:textId="77777777" w:rsidR="00B83B05" w:rsidRPr="00D04A5C" w:rsidRDefault="00B83B05" w:rsidP="00E47C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2. </w:t>
            </w:r>
          </w:p>
          <w:p w14:paraId="197880B0" w14:textId="126E459B" w:rsidR="00B83B05" w:rsidRPr="00067397" w:rsidRDefault="00B83B05" w:rsidP="00E47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t>АО КРДВ в полном объеме осуществляет функции, предусмотренные Федеральным законом «О свободном порте Владивосток».</w:t>
            </w:r>
          </w:p>
        </w:tc>
        <w:tc>
          <w:tcPr>
            <w:tcW w:w="6492" w:type="dxa"/>
          </w:tcPr>
          <w:p w14:paraId="46629BBC" w14:textId="4CD47B0F" w:rsidR="001239DC" w:rsidRPr="001239DC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5 статьи 8 ФЗ о СПВ АО «КРДВ» осуществляет следующие функции:</w:t>
            </w:r>
          </w:p>
          <w:p w14:paraId="4FFD4E51" w14:textId="77777777" w:rsidR="001239DC" w:rsidRPr="001239DC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рассмотрение заявки на заключение соглашения об осуществлении деятельности и оценку бизнес-плана;</w:t>
            </w:r>
          </w:p>
          <w:p w14:paraId="43B25D28" w14:textId="77777777" w:rsidR="001239DC" w:rsidRPr="001239DC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осуществлении деятельности;</w:t>
            </w:r>
          </w:p>
          <w:p w14:paraId="2CAC984E" w14:textId="77777777" w:rsidR="001239DC" w:rsidRPr="001239DC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резидентами свободного порта Владивосток соглашений об осуществлении деятельности;</w:t>
            </w:r>
          </w:p>
          <w:p w14:paraId="745BBAD4" w14:textId="77777777" w:rsidR="001239DC" w:rsidRPr="001239DC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осуществляет мероприятия по привлечению резидентов для реализации инвестиционных проектов на территории свободного порта Владивосток, для чего организует выставки, ярмарки и конгрессы, принимает в них участие, изготавливает, распространяет рекламные материалы и осуществляет иные подобные мероприятия;</w:t>
            </w:r>
          </w:p>
          <w:p w14:paraId="233861A7" w14:textId="7E1B56B1" w:rsidR="001239DC" w:rsidRPr="001239DC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наблюдательных советов.</w:t>
            </w:r>
          </w:p>
          <w:p w14:paraId="3483BE7D" w14:textId="77777777" w:rsidR="001239DC" w:rsidRPr="001239DC" w:rsidRDefault="001239DC" w:rsidP="00E47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В части функции по обеспечению деятельности наблюдательных советов СПВ АО «КРДВ» информация о деятельности по осуществлению указанной функции не представлена.</w:t>
            </w:r>
          </w:p>
          <w:p w14:paraId="3D4843A5" w14:textId="3D2F8AB1" w:rsidR="00B83B05" w:rsidRPr="00067397" w:rsidRDefault="001239DC" w:rsidP="00E47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Таким образом, АО «КРДВ» представлены данные о реализации 4 из 5 функций, предусмотренных ФЗ о СПВ.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857D534" w14:textId="12757792" w:rsidR="00B83B05" w:rsidRPr="00D04A5C" w:rsidRDefault="001239DC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="00B83B05" w:rsidRPr="00D04A5C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</w:tc>
      </w:tr>
      <w:tr w:rsidR="00B83B05" w:rsidRPr="00067397" w14:paraId="69327A28" w14:textId="77777777" w:rsidTr="005E7C52">
        <w:tc>
          <w:tcPr>
            <w:tcW w:w="2836" w:type="dxa"/>
          </w:tcPr>
          <w:p w14:paraId="74544885" w14:textId="7DF95D77" w:rsidR="00B83B05" w:rsidRDefault="00B83B05" w:rsidP="00B83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2AC4A4" w14:textId="77777777" w:rsidR="00B83B05" w:rsidRPr="00B83B05" w:rsidRDefault="00B83B05" w:rsidP="00B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t xml:space="preserve">АО КРДВ в полном объеме осуществляет функции, определенные постановлением Правительства Российской Федерации </w:t>
            </w:r>
          </w:p>
          <w:p w14:paraId="6E54D51A" w14:textId="12C6B9FF" w:rsidR="00B83B05" w:rsidRPr="00D04A5C" w:rsidRDefault="00B83B05" w:rsidP="00B83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управляющей компании, осуществляющей функции по управлению Арктической зоной Российской Федерации, а также территориями опережающего развития в субъектах Российской Федерации, входящих в состав Дальневосточного федерального округа, Арктической зоне Российской Федерации и свободным портом Владивосток».</w:t>
            </w:r>
          </w:p>
        </w:tc>
        <w:tc>
          <w:tcPr>
            <w:tcW w:w="6492" w:type="dxa"/>
          </w:tcPr>
          <w:p w14:paraId="47802920" w14:textId="0550897D" w:rsidR="00B83B05" w:rsidRPr="00D65FFB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«КРДВ»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 6 функций,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предусмотренные Постановлением</w:t>
            </w: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AB69302" w14:textId="39D42348" w:rsidR="00B83B05" w:rsidRPr="00D04A5C" w:rsidRDefault="001239DC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</w:tr>
      <w:tr w:rsidR="00B83B05" w:rsidRPr="00067397" w14:paraId="3B41D655" w14:textId="77777777" w:rsidTr="005E7C52">
        <w:tc>
          <w:tcPr>
            <w:tcW w:w="2836" w:type="dxa"/>
          </w:tcPr>
          <w:p w14:paraId="6283A70D" w14:textId="5F6DA17F" w:rsidR="00B83B05" w:rsidRDefault="00B83B05" w:rsidP="00B83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Критерий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66F4F4" w14:textId="2E452E46" w:rsidR="00B83B05" w:rsidRPr="00B83B05" w:rsidRDefault="00B83B05" w:rsidP="00B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t xml:space="preserve">АО КРДВ в полном объеме реализует функции в части обеспечения социально-экономического развития ДФО, установленные нормативными правовыми актами </w:t>
            </w:r>
            <w:proofErr w:type="spellStart"/>
            <w:r w:rsidRPr="00B83B05">
              <w:rPr>
                <w:rFonts w:ascii="Times New Roman" w:hAnsi="Times New Roman" w:cs="Times New Roman"/>
                <w:sz w:val="24"/>
                <w:szCs w:val="24"/>
              </w:rPr>
              <w:t>Минвостокразвития</w:t>
            </w:r>
            <w:proofErr w:type="spellEnd"/>
            <w:r w:rsidRPr="00B83B0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30D01C45" w14:textId="533ED99B" w:rsidR="00B83B05" w:rsidRPr="00D65FFB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АО «КРДВ»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</w:t>
            </w:r>
            <w:proofErr w:type="spellStart"/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Минвостокразвития</w:t>
            </w:r>
            <w:proofErr w:type="spellEnd"/>
            <w:r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AD93E8F" w14:textId="1A5A5DEC" w:rsidR="00B83B05" w:rsidRPr="00D04A5C" w:rsidRDefault="001239DC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</w:tr>
      <w:tr w:rsidR="00B83B05" w:rsidRPr="00067397" w14:paraId="1F1BB00C" w14:textId="77777777" w:rsidTr="005E7C52">
        <w:tc>
          <w:tcPr>
            <w:tcW w:w="2836" w:type="dxa"/>
          </w:tcPr>
          <w:p w14:paraId="0BD963C6" w14:textId="7538CDC4" w:rsidR="00B83B05" w:rsidRDefault="00B83B05" w:rsidP="00B83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C56C00" w14:textId="77777777" w:rsidR="00B83B05" w:rsidRPr="00B83B05" w:rsidRDefault="00B83B05" w:rsidP="00B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t xml:space="preserve">АО КРДВ в полном объеме реализует задачи и функции </w:t>
            </w:r>
          </w:p>
          <w:p w14:paraId="7CB97EAD" w14:textId="0FCD1E9C" w:rsidR="00B83B05" w:rsidRPr="00B83B05" w:rsidRDefault="00B83B05" w:rsidP="00B83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sz w:val="24"/>
                <w:szCs w:val="24"/>
              </w:rPr>
              <w:t>в части обеспечения социально-экономического развития ДФО, установленные его уставными документами.</w:t>
            </w:r>
          </w:p>
        </w:tc>
        <w:tc>
          <w:tcPr>
            <w:tcW w:w="6492" w:type="dxa"/>
          </w:tcPr>
          <w:p w14:paraId="2970D878" w14:textId="08683F5D" w:rsidR="001239DC" w:rsidRPr="001239DC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Уставом АО «КРДВ» предусмотрено 29 функций общества, которые в целом детализируют функции общества, закрепленные нормативными правовыми актами.</w:t>
            </w:r>
          </w:p>
          <w:p w14:paraId="733D9C6B" w14:textId="692D42CA" w:rsidR="00B83B05" w:rsidRPr="00D65FFB" w:rsidRDefault="001239DC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DC">
              <w:rPr>
                <w:rFonts w:ascii="Times New Roman" w:hAnsi="Times New Roman" w:cs="Times New Roman"/>
                <w:sz w:val="24"/>
                <w:szCs w:val="24"/>
              </w:rPr>
              <w:t>Анализ представленных АО «КРДВ» в ходе настоящего мероприятия сведений по вопросам осуществления им своей деятельности позволяет сделать вывод о соответствии реализуемых обществом функций положениям его Устава.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DA6B287" w14:textId="17D1EC45" w:rsidR="00B83B05" w:rsidRPr="00D04A5C" w:rsidRDefault="001239DC" w:rsidP="00E4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C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</w:tr>
      <w:tr w:rsidR="00B83B05" w:rsidRPr="00067397" w14:paraId="2C4ED730" w14:textId="77777777" w:rsidTr="005E7C52">
        <w:tc>
          <w:tcPr>
            <w:tcW w:w="10887" w:type="dxa"/>
            <w:gridSpan w:val="3"/>
          </w:tcPr>
          <w:p w14:paraId="5F326B64" w14:textId="7B84715E" w:rsidR="00B83B05" w:rsidRPr="00D04A5C" w:rsidRDefault="00B83B05" w:rsidP="001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0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t xml:space="preserve"> </w:t>
            </w:r>
            <w:r w:rsidR="001239DC" w:rsidRPr="001239D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 xml:space="preserve">АО «КРДВ»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</w:t>
            </w:r>
            <w:r w:rsidR="001239D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1239DC">
              <w:t xml:space="preserve"> </w:t>
            </w:r>
            <w:r w:rsidR="001239DC" w:rsidRPr="001239DC">
              <w:rPr>
                <w:rFonts w:ascii="Times New Roman" w:hAnsi="Times New Roman" w:cs="Times New Roman"/>
                <w:sz w:val="24"/>
                <w:szCs w:val="24"/>
              </w:rPr>
              <w:t>требованиям нормативных правовых актов, регулирующих социально-экономическое развитие Дальнего Востока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F87BF68" w14:textId="779620AD" w:rsidR="00C12FBE" w:rsidRDefault="00C12FBE" w:rsidP="00B83B05">
      <w:pPr>
        <w:spacing w:line="360" w:lineRule="auto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570894D" w14:textId="77777777" w:rsidR="00C12FBE" w:rsidRDefault="00C12FBE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774B166A" w14:textId="31A8BB2D" w:rsidR="00C12FBE" w:rsidRDefault="00C12FBE" w:rsidP="001729CE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Цель 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</w:t>
      </w:r>
      <w:r w:rsidRPr="00D04A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Pr="00D04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12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Оценить результативность механизмов, разработанных для обеспечения социально-экономического развития Курильских островов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2F7B38" w14:textId="6B9CCE46" w:rsidR="00C12FBE" w:rsidRDefault="00C12FBE" w:rsidP="001729CE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12F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</w:t>
      </w:r>
      <w:r w:rsidR="001729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C12F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1:</w:t>
      </w:r>
      <w:r w:rsidR="001729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C12FB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«Оценить результативность реализации федеральной целевой программы «Социально-экономическое развитие Курильских островов (Сахалинская область) на 2016–2025 годы» в 2021</w:t>
      </w:r>
      <w:r w:rsidR="001729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C12FB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2023 годах»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887" w:type="dxa"/>
        <w:tblInd w:w="-743" w:type="dxa"/>
        <w:tblLook w:val="04A0" w:firstRow="1" w:lastRow="0" w:firstColumn="1" w:lastColumn="0" w:noHBand="0" w:noVBand="1"/>
      </w:tblPr>
      <w:tblGrid>
        <w:gridCol w:w="2836"/>
        <w:gridCol w:w="6492"/>
        <w:gridCol w:w="1559"/>
      </w:tblGrid>
      <w:tr w:rsidR="00C12FBE" w:rsidRPr="006B6CAA" w14:paraId="65498CFF" w14:textId="77777777" w:rsidTr="005E7C52">
        <w:trPr>
          <w:tblHeader/>
        </w:trPr>
        <w:tc>
          <w:tcPr>
            <w:tcW w:w="2836" w:type="dxa"/>
          </w:tcPr>
          <w:p w14:paraId="2C8A0337" w14:textId="77777777" w:rsidR="00C12FBE" w:rsidRPr="004655D8" w:rsidRDefault="00C12FBE" w:rsidP="004D705C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5D8"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6492" w:type="dxa"/>
          </w:tcPr>
          <w:p w14:paraId="45AA21A2" w14:textId="77777777" w:rsidR="00C12FBE" w:rsidRPr="004655D8" w:rsidRDefault="00C12FBE" w:rsidP="004D705C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5D8">
              <w:rPr>
                <w:rFonts w:ascii="Times New Roman" w:hAnsi="Times New Roman" w:cs="Times New Roman"/>
                <w:b/>
                <w:bCs/>
              </w:rPr>
              <w:t>Установленные обстоятельства</w:t>
            </w:r>
          </w:p>
        </w:tc>
        <w:tc>
          <w:tcPr>
            <w:tcW w:w="1559" w:type="dxa"/>
          </w:tcPr>
          <w:p w14:paraId="2AD916B9" w14:textId="77777777" w:rsidR="00C12FBE" w:rsidRPr="004D705C" w:rsidRDefault="00C12FBE" w:rsidP="004D705C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05C">
              <w:rPr>
                <w:rFonts w:ascii="Times New Roman" w:hAnsi="Times New Roman" w:cs="Times New Roman"/>
                <w:b/>
                <w:bCs/>
              </w:rPr>
              <w:t>Результат оценки</w:t>
            </w:r>
          </w:p>
        </w:tc>
      </w:tr>
      <w:tr w:rsidR="00C12FBE" w:rsidRPr="001E0CA9" w14:paraId="4AB76A14" w14:textId="77777777" w:rsidTr="005E7C52">
        <w:tc>
          <w:tcPr>
            <w:tcW w:w="2836" w:type="dxa"/>
          </w:tcPr>
          <w:p w14:paraId="51B31204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0CA9">
              <w:rPr>
                <w:rFonts w:ascii="Times New Roman" w:hAnsi="Times New Roman" w:cs="Times New Roman"/>
                <w:b/>
              </w:rPr>
              <w:t xml:space="preserve">Критерий 1. </w:t>
            </w:r>
          </w:p>
          <w:p w14:paraId="34B985E3" w14:textId="7A7CE1B2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Все запланированные в 2021–2023 годах показатели ФЦП «Курилы» достигнуты.</w:t>
            </w:r>
          </w:p>
        </w:tc>
        <w:tc>
          <w:tcPr>
            <w:tcW w:w="6492" w:type="dxa"/>
          </w:tcPr>
          <w:p w14:paraId="4C521F92" w14:textId="02C6D859" w:rsidR="00C12FBE" w:rsidRPr="001E0CA9" w:rsidRDefault="00486D81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486D81">
              <w:rPr>
                <w:rFonts w:ascii="Times New Roman" w:hAnsi="Times New Roman" w:cs="Times New Roman"/>
              </w:rPr>
              <w:t>В 2021-2023 годах были достигнуты плановые значения 91 % показателей. Вместе с тем достижение указанных показателей обеспечено за счет корректировки их значений путем внесения соответствующих изменений в ФЦП «Курилы».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591F02C" w14:textId="77777777" w:rsidR="00C12FBE" w:rsidRPr="001E0CA9" w:rsidRDefault="00C12FBE" w:rsidP="004D705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Не выполнен</w:t>
            </w:r>
          </w:p>
        </w:tc>
      </w:tr>
      <w:tr w:rsidR="00C12FBE" w:rsidRPr="001E0CA9" w14:paraId="4DC0F006" w14:textId="77777777" w:rsidTr="005E7C52">
        <w:tc>
          <w:tcPr>
            <w:tcW w:w="2836" w:type="dxa"/>
          </w:tcPr>
          <w:p w14:paraId="796D4D8A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0CA9">
              <w:rPr>
                <w:rFonts w:ascii="Times New Roman" w:hAnsi="Times New Roman" w:cs="Times New Roman"/>
                <w:b/>
              </w:rPr>
              <w:t xml:space="preserve">Критерий 2. </w:t>
            </w:r>
          </w:p>
          <w:p w14:paraId="7144A3E3" w14:textId="1E0DC53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В 2021–2023 годах отсутствует негативная динамика снижения доли достигаемых показателей.</w:t>
            </w:r>
          </w:p>
        </w:tc>
        <w:tc>
          <w:tcPr>
            <w:tcW w:w="6492" w:type="dxa"/>
          </w:tcPr>
          <w:p w14:paraId="79885BC4" w14:textId="695737CD" w:rsidR="002A3039" w:rsidRPr="001E0CA9" w:rsidRDefault="002A3039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0CA9">
              <w:rPr>
                <w:rFonts w:ascii="Times New Roman" w:hAnsi="Times New Roman" w:cs="Times New Roman"/>
              </w:rPr>
              <w:t>В 2021 году только по двум показателям программы не достигнуты целевые значения («Объем налоговых доходов местных бюджетов на территории Курильских островов (год)» (млн. рублей) и «Рост посещаемости музейных учреждений (по отношению к уровню 2017 года)» (процентов), в 2022-2023 годах они не достигнуты также по двум показателям («Численность постоянного населения» (чел.) и «Производство электроэнергии на душу населения» (тыс. кВт ч/год).</w:t>
            </w:r>
            <w:proofErr w:type="gramEnd"/>
          </w:p>
          <w:p w14:paraId="5C27F6CB" w14:textId="150E9F5A" w:rsidR="00C12FBE" w:rsidRPr="001E0CA9" w:rsidRDefault="002A3039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Таким образом, негативная динамика снижения доли достигаемых показателей отсутствует.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433AEAE" w14:textId="0AB8E4F7" w:rsidR="00C12FBE" w:rsidRPr="001E0CA9" w:rsidRDefault="002A3039" w:rsidP="004D705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В</w:t>
            </w:r>
            <w:r w:rsidR="00C12FBE" w:rsidRPr="001E0CA9">
              <w:rPr>
                <w:rFonts w:ascii="Times New Roman" w:hAnsi="Times New Roman" w:cs="Times New Roman"/>
              </w:rPr>
              <w:t>ыполнен</w:t>
            </w:r>
          </w:p>
        </w:tc>
      </w:tr>
      <w:tr w:rsidR="00C12FBE" w:rsidRPr="001E0CA9" w14:paraId="57BD9B12" w14:textId="77777777" w:rsidTr="005E7C52">
        <w:tc>
          <w:tcPr>
            <w:tcW w:w="2836" w:type="dxa"/>
          </w:tcPr>
          <w:p w14:paraId="7DC4F376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0CA9">
              <w:rPr>
                <w:rFonts w:ascii="Times New Roman" w:hAnsi="Times New Roman" w:cs="Times New Roman"/>
                <w:b/>
              </w:rPr>
              <w:t>Критерий 3.</w:t>
            </w:r>
          </w:p>
          <w:p w14:paraId="780AB8C4" w14:textId="79A23894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0CA9">
              <w:rPr>
                <w:rFonts w:ascii="Times New Roman" w:hAnsi="Times New Roman" w:cs="Times New Roman"/>
              </w:rPr>
              <w:t>Все запланированные в 2021–2023 годах мероприятия ФЦП «Курилы» выполнены.</w:t>
            </w:r>
          </w:p>
        </w:tc>
        <w:tc>
          <w:tcPr>
            <w:tcW w:w="6492" w:type="dxa"/>
          </w:tcPr>
          <w:p w14:paraId="6DA7AE08" w14:textId="6133555A" w:rsidR="002A3039" w:rsidRPr="001E0CA9" w:rsidRDefault="002A3039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Действующей редакцией ФЦП в 2021-2023 годах запланирована реализация 17 мероприятий.</w:t>
            </w:r>
          </w:p>
          <w:p w14:paraId="4E5F3D06" w14:textId="105C154C" w:rsidR="00C12FBE" w:rsidRPr="001E0CA9" w:rsidRDefault="002A3039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Из 17 мероприятий реализовано 7 мероприятий (41 % от общего количества мероприятий), частично реализовано – 3 (18 %) , 7 мероприятий (41 %) находятся в процессе реализации (реализация продолжается в 2023-2025 годах).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6B4F8E8" w14:textId="664AB2C5" w:rsidR="00C12FBE" w:rsidRPr="001E0CA9" w:rsidRDefault="002A3039" w:rsidP="004D705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Не в</w:t>
            </w:r>
            <w:r w:rsidR="00C12FBE" w:rsidRPr="001E0CA9">
              <w:rPr>
                <w:rFonts w:ascii="Times New Roman" w:hAnsi="Times New Roman" w:cs="Times New Roman"/>
              </w:rPr>
              <w:t>ыполнен</w:t>
            </w:r>
          </w:p>
        </w:tc>
      </w:tr>
      <w:tr w:rsidR="00C12FBE" w:rsidRPr="001E0CA9" w14:paraId="7999FA7A" w14:textId="77777777" w:rsidTr="005E7C52">
        <w:tc>
          <w:tcPr>
            <w:tcW w:w="2836" w:type="dxa"/>
          </w:tcPr>
          <w:p w14:paraId="1FF2E39F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0CA9">
              <w:rPr>
                <w:rFonts w:ascii="Times New Roman" w:hAnsi="Times New Roman" w:cs="Times New Roman"/>
                <w:b/>
              </w:rPr>
              <w:t>Критерий 4.</w:t>
            </w:r>
          </w:p>
          <w:p w14:paraId="536A3EC4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1E0CA9">
              <w:rPr>
                <w:rFonts w:ascii="Times New Roman" w:hAnsi="Times New Roman" w:cs="Times New Roman"/>
                <w:spacing w:val="-6"/>
              </w:rPr>
              <w:t xml:space="preserve">Средства федерального бюджета, запланированные </w:t>
            </w:r>
          </w:p>
          <w:p w14:paraId="2DF6D479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1E0CA9">
              <w:rPr>
                <w:rFonts w:ascii="Times New Roman" w:hAnsi="Times New Roman" w:cs="Times New Roman"/>
                <w:spacing w:val="-6"/>
              </w:rPr>
              <w:t xml:space="preserve">на реализацию ФЦП «Курилы», израсходованы в полном объеме, </w:t>
            </w:r>
          </w:p>
          <w:p w14:paraId="44131BAF" w14:textId="7141F5AE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  <w:spacing w:val="-6"/>
              </w:rPr>
              <w:t>за исключением экономии средств.</w:t>
            </w:r>
          </w:p>
        </w:tc>
        <w:tc>
          <w:tcPr>
            <w:tcW w:w="6492" w:type="dxa"/>
          </w:tcPr>
          <w:p w14:paraId="13C8BEF7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 xml:space="preserve">В 2021-2023 годы сводной бюджетной росписью за 2021, 2022, 2023 годы на реализацию ФЦП было предусмотрено 1 765,1 млн. рублей (в 2021 году – 357,6 </w:t>
            </w:r>
            <w:proofErr w:type="gramStart"/>
            <w:r w:rsidRPr="001E0CA9">
              <w:rPr>
                <w:rFonts w:ascii="Times New Roman" w:hAnsi="Times New Roman" w:cs="Times New Roman"/>
              </w:rPr>
              <w:t>млн</w:t>
            </w:r>
            <w:proofErr w:type="gramEnd"/>
            <w:r w:rsidRPr="001E0CA9">
              <w:rPr>
                <w:rFonts w:ascii="Times New Roman" w:hAnsi="Times New Roman" w:cs="Times New Roman"/>
              </w:rPr>
              <w:t xml:space="preserve"> рублей, 2022 году – 1 003,5 млн рублей, 2023 году – 404,0 млн рублей). </w:t>
            </w:r>
          </w:p>
          <w:p w14:paraId="2C19E902" w14:textId="1752B85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 xml:space="preserve">Кассовое исполнение в 2021-2023 годы составило 1 155,3 </w:t>
            </w:r>
            <w:proofErr w:type="gramStart"/>
            <w:r w:rsidRPr="001E0CA9">
              <w:rPr>
                <w:rFonts w:ascii="Times New Roman" w:hAnsi="Times New Roman" w:cs="Times New Roman"/>
              </w:rPr>
              <w:t>млн</w:t>
            </w:r>
            <w:proofErr w:type="gramEnd"/>
            <w:r w:rsidRPr="001E0CA9">
              <w:rPr>
                <w:rFonts w:ascii="Times New Roman" w:hAnsi="Times New Roman" w:cs="Times New Roman"/>
              </w:rPr>
              <w:t xml:space="preserve"> рублей (или 66 % относительно показателя СБР), в том числе в 2021 году – 346,8 млн рублей (или 97,0 %), в 2022 году – 803,7 млн рублей (или 80,1 %), в 2023 году – 4,8 млн рублей (или 1,2 %).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90CC2CC" w14:textId="06EAF876" w:rsidR="00C12FBE" w:rsidRPr="001E0CA9" w:rsidRDefault="00C12FBE" w:rsidP="004D705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Не выполнен</w:t>
            </w:r>
          </w:p>
        </w:tc>
      </w:tr>
      <w:tr w:rsidR="00C12FBE" w:rsidRPr="001E0CA9" w14:paraId="50481F68" w14:textId="77777777" w:rsidTr="005E7C52">
        <w:tc>
          <w:tcPr>
            <w:tcW w:w="2836" w:type="dxa"/>
          </w:tcPr>
          <w:p w14:paraId="232B0997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0CA9">
              <w:rPr>
                <w:rFonts w:ascii="Times New Roman" w:hAnsi="Times New Roman" w:cs="Times New Roman"/>
                <w:b/>
              </w:rPr>
              <w:t>Критерий 5.</w:t>
            </w:r>
          </w:p>
          <w:p w14:paraId="23C19331" w14:textId="77777777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 xml:space="preserve">«Курилы» имеет комплексный характер, </w:t>
            </w:r>
          </w:p>
          <w:p w14:paraId="5314B2AA" w14:textId="54388BFA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0CA9">
              <w:rPr>
                <w:rFonts w:ascii="Times New Roman" w:hAnsi="Times New Roman" w:cs="Times New Roman"/>
              </w:rPr>
              <w:t>и предусматривает реализацию мероприятий по всем направлениям, соответствующим сферам деятельности ее государственных заказчиков.</w:t>
            </w:r>
          </w:p>
        </w:tc>
        <w:tc>
          <w:tcPr>
            <w:tcW w:w="6492" w:type="dxa"/>
          </w:tcPr>
          <w:p w14:paraId="46BAE44A" w14:textId="2C68C6DF" w:rsidR="00B8512C" w:rsidRPr="001E0CA9" w:rsidRDefault="00B8512C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 xml:space="preserve">В первоначальной редакции реализация ФЦП Курилы предусматривалась 13 государственными заказчиками, в ходе внесения изменений в программу в состав участников было включено МВД России, а </w:t>
            </w:r>
            <w:proofErr w:type="spellStart"/>
            <w:r w:rsidRPr="001E0CA9">
              <w:rPr>
                <w:rFonts w:ascii="Times New Roman" w:hAnsi="Times New Roman" w:cs="Times New Roman"/>
              </w:rPr>
              <w:t>Минкомсвязь</w:t>
            </w:r>
            <w:proofErr w:type="spellEnd"/>
            <w:r w:rsidRPr="001E0CA9">
              <w:rPr>
                <w:rFonts w:ascii="Times New Roman" w:hAnsi="Times New Roman" w:cs="Times New Roman"/>
              </w:rPr>
              <w:t xml:space="preserve"> России</w:t>
            </w:r>
            <w:r w:rsidR="002464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24649D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="0024649D">
              <w:rPr>
                <w:rFonts w:ascii="Times New Roman" w:hAnsi="Times New Roman" w:cs="Times New Roman"/>
              </w:rPr>
              <w:t xml:space="preserve"> России заменены </w:t>
            </w:r>
            <w:proofErr w:type="spellStart"/>
            <w:r w:rsidRPr="001E0CA9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1E0CA9">
              <w:rPr>
                <w:rFonts w:ascii="Times New Roman" w:hAnsi="Times New Roman" w:cs="Times New Roman"/>
              </w:rPr>
              <w:t xml:space="preserve"> России и </w:t>
            </w:r>
            <w:proofErr w:type="spellStart"/>
            <w:r w:rsidRPr="001E0CA9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1E0CA9">
              <w:rPr>
                <w:rFonts w:ascii="Times New Roman" w:hAnsi="Times New Roman" w:cs="Times New Roman"/>
              </w:rPr>
              <w:t xml:space="preserve"> России соответственно.</w:t>
            </w:r>
          </w:p>
          <w:p w14:paraId="41152E05" w14:textId="45ED6DDE" w:rsidR="00B8512C" w:rsidRPr="001E0CA9" w:rsidRDefault="00B8512C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В соответствии с первоначальной редакцией ФЦП все государственные заказчики обеспечивали реализацию ее мероприятий.</w:t>
            </w:r>
          </w:p>
          <w:p w14:paraId="7B3F0EE7" w14:textId="17AF970E" w:rsidR="00C12FBE" w:rsidRPr="001E0CA9" w:rsidRDefault="002A3039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В соответствии с действующей редакцией ФЦП Курилы отсутствуют мероприятия у трех государственных заказчиков (</w:t>
            </w:r>
            <w:proofErr w:type="spellStart"/>
            <w:r w:rsidRPr="001E0CA9">
              <w:rPr>
                <w:rFonts w:ascii="Times New Roman" w:hAnsi="Times New Roman" w:cs="Times New Roman"/>
              </w:rPr>
              <w:t>Минпромторг</w:t>
            </w:r>
            <w:proofErr w:type="spellEnd"/>
            <w:r w:rsidRPr="001E0CA9">
              <w:rPr>
                <w:rFonts w:ascii="Times New Roman" w:hAnsi="Times New Roman" w:cs="Times New Roman"/>
              </w:rPr>
              <w:t xml:space="preserve"> России, </w:t>
            </w:r>
            <w:proofErr w:type="spellStart"/>
            <w:r w:rsidRPr="001E0CA9">
              <w:rPr>
                <w:rFonts w:ascii="Times New Roman" w:hAnsi="Times New Roman" w:cs="Times New Roman"/>
              </w:rPr>
              <w:t>Росавиация</w:t>
            </w:r>
            <w:proofErr w:type="spellEnd"/>
            <w:r w:rsidRPr="001E0C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0CA9">
              <w:rPr>
                <w:rFonts w:ascii="Times New Roman" w:hAnsi="Times New Roman" w:cs="Times New Roman"/>
              </w:rPr>
              <w:t>Росморречфлот</w:t>
            </w:r>
            <w:proofErr w:type="spellEnd"/>
            <w:r w:rsidRPr="001E0CA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D2BB193" w14:textId="2F39A59C" w:rsidR="00C12FBE" w:rsidRPr="001E0CA9" w:rsidRDefault="00B8512C" w:rsidP="004D705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</w:rPr>
              <w:t>Не в</w:t>
            </w:r>
            <w:r w:rsidR="00C12FBE" w:rsidRPr="001E0CA9">
              <w:rPr>
                <w:rFonts w:ascii="Times New Roman" w:hAnsi="Times New Roman" w:cs="Times New Roman"/>
              </w:rPr>
              <w:t>ыполнен</w:t>
            </w:r>
          </w:p>
        </w:tc>
      </w:tr>
      <w:tr w:rsidR="00C12FBE" w:rsidRPr="001E0CA9" w14:paraId="1470BB35" w14:textId="77777777" w:rsidTr="005E7C52">
        <w:tc>
          <w:tcPr>
            <w:tcW w:w="10887" w:type="dxa"/>
            <w:gridSpan w:val="3"/>
          </w:tcPr>
          <w:p w14:paraId="79E9ABCC" w14:textId="4B0C68AF" w:rsidR="00C12FBE" w:rsidRPr="001E0CA9" w:rsidRDefault="00C12FBE" w:rsidP="004D705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E0CA9">
              <w:rPr>
                <w:rFonts w:ascii="Times New Roman" w:hAnsi="Times New Roman" w:cs="Times New Roman"/>
                <w:b/>
              </w:rPr>
              <w:t>Вывод:</w:t>
            </w:r>
            <w:r w:rsidRPr="001E0CA9">
              <w:t xml:space="preserve"> </w:t>
            </w:r>
            <w:r w:rsidRPr="001E0CA9">
              <w:rPr>
                <w:rFonts w:ascii="Times New Roman" w:hAnsi="Times New Roman" w:cs="Times New Roman"/>
              </w:rPr>
              <w:t>Реализация ФЦП «Курилы» в 2021 – 2023 годах была не в полной мере эффективной.</w:t>
            </w:r>
          </w:p>
        </w:tc>
      </w:tr>
    </w:tbl>
    <w:p w14:paraId="0A372F1A" w14:textId="7F651624" w:rsidR="002A3039" w:rsidRDefault="002A3039" w:rsidP="007B21B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12F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C12F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4655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C12FB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B8512C" w:rsidRPr="00B851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Оценить результативность применения особого налогового режима на Курильских островах в 2022–2023 годах с учетом функционирования в ДФО иных преференциальных режимов</w:t>
      </w:r>
      <w:r w:rsidRPr="00C12FB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tbl>
      <w:tblPr>
        <w:tblStyle w:val="a3"/>
        <w:tblW w:w="10887" w:type="dxa"/>
        <w:tblInd w:w="-743" w:type="dxa"/>
        <w:tblLook w:val="04A0" w:firstRow="1" w:lastRow="0" w:firstColumn="1" w:lastColumn="0" w:noHBand="0" w:noVBand="1"/>
      </w:tblPr>
      <w:tblGrid>
        <w:gridCol w:w="2836"/>
        <w:gridCol w:w="6492"/>
        <w:gridCol w:w="1559"/>
      </w:tblGrid>
      <w:tr w:rsidR="00B8512C" w:rsidRPr="007B21B5" w14:paraId="4921DDF3" w14:textId="77777777" w:rsidTr="005E7C52">
        <w:trPr>
          <w:tblHeader/>
        </w:trPr>
        <w:tc>
          <w:tcPr>
            <w:tcW w:w="2836" w:type="dxa"/>
          </w:tcPr>
          <w:p w14:paraId="5CE3D96D" w14:textId="77777777" w:rsidR="00B8512C" w:rsidRPr="007B21B5" w:rsidRDefault="00B8512C" w:rsidP="00931B3C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1B5"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6492" w:type="dxa"/>
          </w:tcPr>
          <w:p w14:paraId="2C1921CF" w14:textId="77777777" w:rsidR="00B8512C" w:rsidRPr="007B21B5" w:rsidRDefault="00B8512C" w:rsidP="00931B3C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1B5">
              <w:rPr>
                <w:rFonts w:ascii="Times New Roman" w:hAnsi="Times New Roman" w:cs="Times New Roman"/>
                <w:b/>
                <w:bCs/>
              </w:rPr>
              <w:t>Установленные обстоятельства</w:t>
            </w:r>
          </w:p>
        </w:tc>
        <w:tc>
          <w:tcPr>
            <w:tcW w:w="1559" w:type="dxa"/>
          </w:tcPr>
          <w:p w14:paraId="5B32DBAA" w14:textId="77777777" w:rsidR="00B8512C" w:rsidRPr="007B21B5" w:rsidRDefault="00B8512C" w:rsidP="00931B3C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1B5">
              <w:rPr>
                <w:rFonts w:ascii="Times New Roman" w:hAnsi="Times New Roman" w:cs="Times New Roman"/>
                <w:b/>
                <w:bCs/>
              </w:rPr>
              <w:t>Результат оценки</w:t>
            </w:r>
          </w:p>
        </w:tc>
      </w:tr>
      <w:tr w:rsidR="00B8512C" w:rsidRPr="007B21B5" w14:paraId="485CE473" w14:textId="77777777" w:rsidTr="005E7C52">
        <w:tc>
          <w:tcPr>
            <w:tcW w:w="2836" w:type="dxa"/>
          </w:tcPr>
          <w:p w14:paraId="334CA146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1B5">
              <w:rPr>
                <w:rFonts w:ascii="Times New Roman" w:hAnsi="Times New Roman" w:cs="Times New Roman"/>
                <w:b/>
              </w:rPr>
              <w:t xml:space="preserve">Критерий 1. </w:t>
            </w:r>
          </w:p>
          <w:p w14:paraId="1DD3C6C9" w14:textId="15274F64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Наблюдается положительная динамика численности лиц, ставших участниками особого налогового режима на Курильских островах.</w:t>
            </w:r>
          </w:p>
        </w:tc>
        <w:tc>
          <w:tcPr>
            <w:tcW w:w="6492" w:type="dxa"/>
          </w:tcPr>
          <w:p w14:paraId="0E20ED21" w14:textId="77777777" w:rsidR="00324695" w:rsidRPr="007B21B5" w:rsidRDefault="00324695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Режим КОРФ введен в соответствии с федеральным законом от 9 марта 2022 г. № 50-ФЗ «О внесении изменений в часть вторую Налогового кодекса Российской Федерации». </w:t>
            </w:r>
          </w:p>
          <w:p w14:paraId="47B659F7" w14:textId="4AA2182D" w:rsidR="00B8512C" w:rsidRPr="007B21B5" w:rsidRDefault="00324695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По итогам 2022 года в режиме КОРФ действовало 11 резидентов, по и</w:t>
            </w:r>
            <w:r w:rsidR="0024649D">
              <w:rPr>
                <w:rFonts w:ascii="Times New Roman" w:hAnsi="Times New Roman" w:cs="Times New Roman"/>
              </w:rPr>
              <w:t>т</w:t>
            </w:r>
            <w:r w:rsidRPr="007B21B5">
              <w:rPr>
                <w:rFonts w:ascii="Times New Roman" w:hAnsi="Times New Roman" w:cs="Times New Roman"/>
              </w:rPr>
              <w:t xml:space="preserve">огам 2023 года – 21 резидент, по состоянию на июль 2024 года численность действующих резидентов режима КОРФ </w:t>
            </w:r>
            <w:r w:rsidR="002F1E2B" w:rsidRPr="007B21B5">
              <w:rPr>
                <w:rFonts w:ascii="Times New Roman" w:hAnsi="Times New Roman" w:cs="Times New Roman"/>
              </w:rPr>
              <w:t>снизилась до</w:t>
            </w:r>
            <w:r w:rsidRPr="007B21B5">
              <w:rPr>
                <w:rFonts w:ascii="Times New Roman" w:hAnsi="Times New Roman" w:cs="Times New Roman"/>
              </w:rPr>
              <w:t xml:space="preserve"> 17 резидентов.</w:t>
            </w:r>
          </w:p>
          <w:p w14:paraId="607DC404" w14:textId="39A62C5A" w:rsidR="00324695" w:rsidRPr="007B21B5" w:rsidRDefault="00324695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Учитывая незначительную продолжительность существования </w:t>
            </w:r>
            <w:proofErr w:type="gramStart"/>
            <w:r w:rsidRPr="007B21B5">
              <w:rPr>
                <w:rFonts w:ascii="Times New Roman" w:hAnsi="Times New Roman" w:cs="Times New Roman"/>
              </w:rPr>
              <w:t>режима</w:t>
            </w:r>
            <w:proofErr w:type="gramEnd"/>
            <w:r w:rsidRPr="007B21B5">
              <w:rPr>
                <w:rFonts w:ascii="Times New Roman" w:hAnsi="Times New Roman" w:cs="Times New Roman"/>
              </w:rPr>
              <w:t xml:space="preserve"> КОРФ динамика численности его резидентов требует дальнейшего наблюдения.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3D5B3BB" w14:textId="77777777" w:rsidR="00B8512C" w:rsidRPr="007B21B5" w:rsidRDefault="00B8512C" w:rsidP="00931B3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Не выполнен</w:t>
            </w:r>
          </w:p>
        </w:tc>
      </w:tr>
      <w:tr w:rsidR="00B8512C" w:rsidRPr="007B21B5" w14:paraId="6C0A768D" w14:textId="77777777" w:rsidTr="005E7C52">
        <w:tc>
          <w:tcPr>
            <w:tcW w:w="2836" w:type="dxa"/>
          </w:tcPr>
          <w:p w14:paraId="2EB4EF9D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1B5">
              <w:rPr>
                <w:rFonts w:ascii="Times New Roman" w:hAnsi="Times New Roman" w:cs="Times New Roman"/>
                <w:b/>
              </w:rPr>
              <w:t xml:space="preserve">Критерий 2. </w:t>
            </w:r>
          </w:p>
          <w:p w14:paraId="6453FD7A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B21B5">
              <w:rPr>
                <w:rFonts w:ascii="Times New Roman" w:hAnsi="Times New Roman" w:cs="Times New Roman"/>
              </w:rPr>
              <w:t>Получившие</w:t>
            </w:r>
            <w:proofErr w:type="gramEnd"/>
            <w:r w:rsidRPr="007B21B5">
              <w:rPr>
                <w:rFonts w:ascii="Times New Roman" w:hAnsi="Times New Roman" w:cs="Times New Roman"/>
              </w:rPr>
              <w:t xml:space="preserve"> в рамках особого налогового режима право </w:t>
            </w:r>
          </w:p>
          <w:p w14:paraId="6E5919B9" w14:textId="05302CA8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на освобождение от обязанностей налогоплательщика лица осуществляют свою деятельность на территории Курильских островов».</w:t>
            </w:r>
          </w:p>
        </w:tc>
        <w:tc>
          <w:tcPr>
            <w:tcW w:w="6492" w:type="dxa"/>
          </w:tcPr>
          <w:p w14:paraId="7F37C743" w14:textId="7C03C6D1" w:rsidR="00324695" w:rsidRPr="007B21B5" w:rsidRDefault="00324695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B21B5">
              <w:rPr>
                <w:rFonts w:ascii="Times New Roman" w:hAnsi="Times New Roman" w:cs="Times New Roman"/>
              </w:rPr>
              <w:t>По состоянию на июль 2024 года операционную деятельность на территории Курильских островов осуществляют 6 участников режима КОРФ (25,0 % от общего количества участников КОРФ), 11 (45,8 % от общего количества участников КОРФ) – находятся в стадии подготовки к осуществлению операционной деятельности, 7 (29,2 % от общего количества участников КОРФ) – фактически не осуществляют деятельность (в связи с решением учредителей (участников) о прекращении деятельности юридического лица</w:t>
            </w:r>
            <w:proofErr w:type="gramEnd"/>
            <w:r w:rsidRPr="007B21B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B21B5">
              <w:rPr>
                <w:rFonts w:ascii="Times New Roman" w:hAnsi="Times New Roman" w:cs="Times New Roman"/>
              </w:rPr>
              <w:t>изменении</w:t>
            </w:r>
            <w:proofErr w:type="gramEnd"/>
            <w:r w:rsidRPr="007B21B5">
              <w:rPr>
                <w:rFonts w:ascii="Times New Roman" w:hAnsi="Times New Roman" w:cs="Times New Roman"/>
              </w:rPr>
              <w:t xml:space="preserve"> местонахождения (региона регистрации), ликвидированы или находятся в стадии ликвидации, исполнительное производство). </w:t>
            </w:r>
          </w:p>
          <w:p w14:paraId="134C4BFC" w14:textId="6EC43798" w:rsidR="00B8512C" w:rsidRPr="007B21B5" w:rsidRDefault="00324695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Отмечается, что 5 из 7 участников, которые фактически не осуществляют деятельность на территории Курильских островов, зарегистрированы и получили право на освобождение от исполнения обязанностей налогоплательщика в 2022 году, 2 участника – в 2023 году.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0BC827" w14:textId="4286479F" w:rsidR="00B8512C" w:rsidRPr="007B21B5" w:rsidRDefault="00324695" w:rsidP="00931B3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Не в</w:t>
            </w:r>
            <w:r w:rsidR="00B8512C" w:rsidRPr="007B21B5">
              <w:rPr>
                <w:rFonts w:ascii="Times New Roman" w:hAnsi="Times New Roman" w:cs="Times New Roman"/>
              </w:rPr>
              <w:t>ыполнен</w:t>
            </w:r>
          </w:p>
        </w:tc>
      </w:tr>
      <w:tr w:rsidR="00B8512C" w:rsidRPr="007B21B5" w14:paraId="3A4ACC41" w14:textId="77777777" w:rsidTr="005E7C52">
        <w:tc>
          <w:tcPr>
            <w:tcW w:w="2836" w:type="dxa"/>
          </w:tcPr>
          <w:p w14:paraId="6872FF20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1B5">
              <w:rPr>
                <w:rFonts w:ascii="Times New Roman" w:hAnsi="Times New Roman" w:cs="Times New Roman"/>
                <w:b/>
              </w:rPr>
              <w:t>Критерий 3.</w:t>
            </w:r>
          </w:p>
          <w:p w14:paraId="38EECAC4" w14:textId="79F03365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1B5">
              <w:rPr>
                <w:rFonts w:ascii="Times New Roman" w:hAnsi="Times New Roman" w:cs="Times New Roman"/>
              </w:rPr>
              <w:t>Установленные законодательством условия применения особого налогового режима на Курильских островах являются привлекательными для потенциальных участников по сравнению с иными преференциальными режимам, действующими в ДФО. Отсутствуют административные барьеры для использования указанного режима.</w:t>
            </w:r>
          </w:p>
        </w:tc>
        <w:tc>
          <w:tcPr>
            <w:tcW w:w="6492" w:type="dxa"/>
          </w:tcPr>
          <w:p w14:paraId="6B35C843" w14:textId="03BD097B" w:rsidR="002F1E2B" w:rsidRPr="007B21B5" w:rsidRDefault="002F1E2B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Преимуществом режима КОРФ является то, что для получения статуса его участника достаточно направить письменное уведомление в ФНС России о начале использования налоговых преференций в течение 30 календарных дней со дня регистрации организации.</w:t>
            </w:r>
          </w:p>
          <w:p w14:paraId="6FE4A469" w14:textId="2BBA0814" w:rsidR="00B8512C" w:rsidRPr="007B21B5" w:rsidRDefault="002F1E2B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Вместе с тем в ходе проведенного мероприятия установлены наличие недостатков действующего законодательства, препятствующих эффективному использованию режима КОРФ. Налоговый кодекс Российской Федерации содержит избыточные ограничения, касающиеся невозможности ведения деятельности в режиме КОРФ взаимозависимыми лицами, а также положения, делающие невозможным одновременное использование режимов КОРФ и УСН, что ограничивает число потенциальных участников режима.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18444A9" w14:textId="77777777" w:rsidR="00B8512C" w:rsidRPr="007B21B5" w:rsidRDefault="00B8512C" w:rsidP="00931B3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Не выполнен</w:t>
            </w:r>
          </w:p>
        </w:tc>
      </w:tr>
      <w:tr w:rsidR="00B8512C" w:rsidRPr="007B21B5" w14:paraId="0DFD676C" w14:textId="77777777" w:rsidTr="005E7C52">
        <w:tc>
          <w:tcPr>
            <w:tcW w:w="2836" w:type="dxa"/>
          </w:tcPr>
          <w:p w14:paraId="628AB0AE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1B5">
              <w:rPr>
                <w:rFonts w:ascii="Times New Roman" w:hAnsi="Times New Roman" w:cs="Times New Roman"/>
                <w:b/>
              </w:rPr>
              <w:t>Критерий 4.</w:t>
            </w:r>
          </w:p>
          <w:p w14:paraId="4E34E399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Установленные законодательством для </w:t>
            </w:r>
            <w:r w:rsidRPr="007B21B5">
              <w:rPr>
                <w:rFonts w:ascii="Times New Roman" w:hAnsi="Times New Roman" w:cs="Times New Roman"/>
              </w:rPr>
              <w:lastRenderedPageBreak/>
              <w:t xml:space="preserve">участников особого налогового режима на Курильских островах налоговые льготы и иные преференции являются привлекательным для потенциальных участников </w:t>
            </w:r>
          </w:p>
          <w:p w14:paraId="5E0C47DC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по сравнению с иными преференциальными режимам, действующими в ДФО </w:t>
            </w:r>
          </w:p>
          <w:p w14:paraId="7DA9C55C" w14:textId="182DB69D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и общим режимом налогообложения</w:t>
            </w:r>
          </w:p>
        </w:tc>
        <w:tc>
          <w:tcPr>
            <w:tcW w:w="6492" w:type="dxa"/>
          </w:tcPr>
          <w:p w14:paraId="699D9C01" w14:textId="73289868" w:rsidR="00B8512C" w:rsidRPr="007B21B5" w:rsidRDefault="002F1E2B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lastRenderedPageBreak/>
              <w:t>Режим КОРФ предлагает наиболее значительный перечень налоговых льгот и преференций среди действующих в ДФО преференциальных режимов.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E76C8AC" w14:textId="4B85779B" w:rsidR="00B8512C" w:rsidRPr="007B21B5" w:rsidRDefault="002F1E2B" w:rsidP="00931B3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В</w:t>
            </w:r>
            <w:r w:rsidR="00B8512C" w:rsidRPr="007B21B5">
              <w:rPr>
                <w:rFonts w:ascii="Times New Roman" w:hAnsi="Times New Roman" w:cs="Times New Roman"/>
              </w:rPr>
              <w:t>ыполнен</w:t>
            </w:r>
          </w:p>
        </w:tc>
      </w:tr>
      <w:tr w:rsidR="00B8512C" w:rsidRPr="007B21B5" w14:paraId="12150874" w14:textId="77777777" w:rsidTr="005E7C52">
        <w:tc>
          <w:tcPr>
            <w:tcW w:w="2836" w:type="dxa"/>
          </w:tcPr>
          <w:p w14:paraId="4D755427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1B5">
              <w:rPr>
                <w:rFonts w:ascii="Times New Roman" w:hAnsi="Times New Roman" w:cs="Times New Roman"/>
                <w:b/>
              </w:rPr>
              <w:lastRenderedPageBreak/>
              <w:t>Критерий 5.</w:t>
            </w:r>
          </w:p>
          <w:p w14:paraId="383AFF58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Отсутствуют установленные факты нарушений законодательства, связанных с использованием особого налогового режима </w:t>
            </w:r>
          </w:p>
          <w:p w14:paraId="4A62B773" w14:textId="77777777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на Курильских островах в целях минимизации сумм уплачиваемых налогов </w:t>
            </w:r>
          </w:p>
          <w:p w14:paraId="55BF815E" w14:textId="48248082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1B5">
              <w:rPr>
                <w:rFonts w:ascii="Times New Roman" w:hAnsi="Times New Roman" w:cs="Times New Roman"/>
              </w:rPr>
              <w:t>и страховых взносов.</w:t>
            </w:r>
          </w:p>
        </w:tc>
        <w:tc>
          <w:tcPr>
            <w:tcW w:w="6492" w:type="dxa"/>
          </w:tcPr>
          <w:p w14:paraId="098A365D" w14:textId="77777777" w:rsidR="002F1E2B" w:rsidRPr="007B21B5" w:rsidRDefault="002F1E2B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Федеральной налоговой службой в отношении 4 участников режима КОРФ (ООО «ЭКОМИР-ТУР», ООО «ЭКОМИР-КУНАШИР», ООО «ЭКОМИР-ИТУРУП» </w:t>
            </w:r>
            <w:proofErr w:type="gramStart"/>
            <w:r w:rsidRPr="007B21B5">
              <w:rPr>
                <w:rFonts w:ascii="Times New Roman" w:hAnsi="Times New Roman" w:cs="Times New Roman"/>
              </w:rPr>
              <w:t>и ООО</w:t>
            </w:r>
            <w:proofErr w:type="gramEnd"/>
            <w:r w:rsidRPr="007B21B5">
              <w:rPr>
                <w:rFonts w:ascii="Times New Roman" w:hAnsi="Times New Roman" w:cs="Times New Roman"/>
              </w:rPr>
              <w:t xml:space="preserve"> «НАТУРАЛЬНЫЕ ПРОДУКТЫ») проведены мероприятия, связанные с проверкой соблюдения ими законодательства при использовании права на освобождение от исполнения обязанностей налогоплательщика в соответствии со статьей 246.3 НК РФ.</w:t>
            </w:r>
          </w:p>
          <w:p w14:paraId="165440E4" w14:textId="77777777" w:rsidR="002F1E2B" w:rsidRPr="007B21B5" w:rsidRDefault="002F1E2B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По результатам проведенных мероприятий в отношении всех 4 проверяемых участников установлены факты нарушения законодательства, связанные с использованием права на освобождение от исполнения обязанностей налогоплательщика в соответствии со статьей 246.3 НК РФ.</w:t>
            </w:r>
          </w:p>
          <w:p w14:paraId="394A19A9" w14:textId="77777777" w:rsidR="002F1E2B" w:rsidRPr="007B21B5" w:rsidRDefault="002F1E2B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 xml:space="preserve">Так, в отношении 3 из 4 участников (ООО «ЭКОМИР-ТУР», ООО «ЭКОМИР-КУНАШИР» </w:t>
            </w:r>
            <w:proofErr w:type="gramStart"/>
            <w:r w:rsidRPr="007B21B5">
              <w:rPr>
                <w:rFonts w:ascii="Times New Roman" w:hAnsi="Times New Roman" w:cs="Times New Roman"/>
              </w:rPr>
              <w:t>и ООО</w:t>
            </w:r>
            <w:proofErr w:type="gramEnd"/>
            <w:r w:rsidRPr="007B21B5">
              <w:rPr>
                <w:rFonts w:ascii="Times New Roman" w:hAnsi="Times New Roman" w:cs="Times New Roman"/>
              </w:rPr>
              <w:t xml:space="preserve"> «ЭКОМИР-ИТУРУП») установлено, что организация утратила право на освобождение в связи с несоблюдением ограничений, установленных пунктом 1 статьи 246.3 НК РФ. В отношении 1 участника (ООО «НАТУРАЛЬНЫЕ ПРОДУКТЫ») установлено неправомерное применение заявленного пониженного тарифа страховых взносов в связи с несоответствием критериям, установленным статьей 246.3 НК РФ, по причине отсутствия на территории Курильских островов экономической деятельности (производство прочих продуктов питания).</w:t>
            </w:r>
          </w:p>
          <w:p w14:paraId="2ED2E198" w14:textId="6AC73006" w:rsidR="00B8512C" w:rsidRPr="007B21B5" w:rsidRDefault="002F1E2B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На основании решений по результатам проведенных мероприятий, связанных с проверкой соблюдения законодательства при использовании права на освобождение от исполнения обязанностей налогоплательщика в соответствии со статьей 246.3 НК РФ, в отношении 3 проверяемых организаций осуществлены доначисления налогов (штрафов).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B255404" w14:textId="5DD72572" w:rsidR="00B8512C" w:rsidRPr="007B21B5" w:rsidRDefault="002F1E2B" w:rsidP="00931B3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</w:rPr>
              <w:t>Не в</w:t>
            </w:r>
            <w:r w:rsidR="00B8512C" w:rsidRPr="007B21B5">
              <w:rPr>
                <w:rFonts w:ascii="Times New Roman" w:hAnsi="Times New Roman" w:cs="Times New Roman"/>
              </w:rPr>
              <w:t>ыполнен</w:t>
            </w:r>
          </w:p>
        </w:tc>
      </w:tr>
      <w:tr w:rsidR="00B8512C" w:rsidRPr="007B21B5" w14:paraId="1FCECEBA" w14:textId="77777777" w:rsidTr="005E7C52">
        <w:tc>
          <w:tcPr>
            <w:tcW w:w="10887" w:type="dxa"/>
            <w:gridSpan w:val="3"/>
          </w:tcPr>
          <w:p w14:paraId="4BF20C4D" w14:textId="0F72D074" w:rsidR="00B8512C" w:rsidRPr="007B21B5" w:rsidRDefault="00B8512C" w:rsidP="00931B3C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21B5">
              <w:rPr>
                <w:rFonts w:ascii="Times New Roman" w:hAnsi="Times New Roman" w:cs="Times New Roman"/>
                <w:b/>
              </w:rPr>
              <w:t>Вывод:</w:t>
            </w:r>
            <w:r w:rsidRPr="007B21B5">
              <w:t xml:space="preserve"> </w:t>
            </w:r>
            <w:r w:rsidRPr="007B21B5">
              <w:rPr>
                <w:rFonts w:ascii="Times New Roman" w:hAnsi="Times New Roman" w:cs="Times New Roman"/>
              </w:rPr>
              <w:t>Функционирование особого налогового режима на Курильских островах</w:t>
            </w:r>
            <w:r w:rsidR="004D5AB6" w:rsidRPr="007B21B5">
              <w:rPr>
                <w:rFonts w:ascii="Times New Roman" w:hAnsi="Times New Roman" w:cs="Times New Roman"/>
              </w:rPr>
              <w:t xml:space="preserve"> нельзя признать в полной мере результативным, режим требует </w:t>
            </w:r>
            <w:proofErr w:type="spellStart"/>
            <w:r w:rsidR="004D5AB6" w:rsidRPr="007B21B5">
              <w:rPr>
                <w:rFonts w:ascii="Times New Roman" w:hAnsi="Times New Roman" w:cs="Times New Roman"/>
              </w:rPr>
              <w:t>донастройки</w:t>
            </w:r>
            <w:proofErr w:type="spellEnd"/>
            <w:r w:rsidR="004D5AB6" w:rsidRPr="007B21B5">
              <w:rPr>
                <w:rFonts w:ascii="Times New Roman" w:hAnsi="Times New Roman" w:cs="Times New Roman"/>
              </w:rPr>
              <w:t>.</w:t>
            </w:r>
          </w:p>
        </w:tc>
      </w:tr>
    </w:tbl>
    <w:p w14:paraId="4B33F72F" w14:textId="77777777" w:rsidR="00E61985" w:rsidRPr="004655D8" w:rsidRDefault="00E61985" w:rsidP="00931B3C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1985" w:rsidRPr="004655D8" w:rsidSect="001E0CA9">
      <w:headerReference w:type="default" r:id="rId8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6179F" w14:textId="77777777" w:rsidR="004430C1" w:rsidRDefault="004430C1" w:rsidP="006B6CAA">
      <w:pPr>
        <w:spacing w:after="0" w:line="240" w:lineRule="auto"/>
      </w:pPr>
      <w:r>
        <w:separator/>
      </w:r>
    </w:p>
  </w:endnote>
  <w:endnote w:type="continuationSeparator" w:id="0">
    <w:p w14:paraId="449AC872" w14:textId="77777777" w:rsidR="004430C1" w:rsidRDefault="004430C1" w:rsidP="006B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0165A" w14:textId="77777777" w:rsidR="004430C1" w:rsidRDefault="004430C1" w:rsidP="006B6CAA">
      <w:pPr>
        <w:spacing w:after="0" w:line="240" w:lineRule="auto"/>
      </w:pPr>
      <w:r>
        <w:separator/>
      </w:r>
    </w:p>
  </w:footnote>
  <w:footnote w:type="continuationSeparator" w:id="0">
    <w:p w14:paraId="5BCD6957" w14:textId="77777777" w:rsidR="004430C1" w:rsidRDefault="004430C1" w:rsidP="006B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2F0453" w14:textId="34D55546" w:rsidR="00D04A5C" w:rsidRPr="00985369" w:rsidRDefault="00D04A5C">
        <w:pPr>
          <w:pStyle w:val="a4"/>
          <w:jc w:val="center"/>
          <w:rPr>
            <w:rFonts w:ascii="Times New Roman" w:hAnsi="Times New Roman" w:cs="Times New Roman"/>
          </w:rPr>
        </w:pPr>
        <w:r w:rsidRPr="00985369">
          <w:rPr>
            <w:rFonts w:ascii="Times New Roman" w:hAnsi="Times New Roman" w:cs="Times New Roman"/>
          </w:rPr>
          <w:fldChar w:fldCharType="begin"/>
        </w:r>
        <w:r w:rsidRPr="00985369">
          <w:rPr>
            <w:rFonts w:ascii="Times New Roman" w:hAnsi="Times New Roman" w:cs="Times New Roman"/>
          </w:rPr>
          <w:instrText>PAGE   \* MERGEFORMAT</w:instrText>
        </w:r>
        <w:r w:rsidRPr="00985369">
          <w:rPr>
            <w:rFonts w:ascii="Times New Roman" w:hAnsi="Times New Roman" w:cs="Times New Roman"/>
          </w:rPr>
          <w:fldChar w:fldCharType="separate"/>
        </w:r>
        <w:r w:rsidR="009F061F">
          <w:rPr>
            <w:rFonts w:ascii="Times New Roman" w:hAnsi="Times New Roman" w:cs="Times New Roman"/>
            <w:noProof/>
          </w:rPr>
          <w:t>2</w:t>
        </w:r>
        <w:r w:rsidRPr="00985369">
          <w:rPr>
            <w:rFonts w:ascii="Times New Roman" w:hAnsi="Times New Roman" w:cs="Times New Roman"/>
          </w:rPr>
          <w:fldChar w:fldCharType="end"/>
        </w:r>
      </w:p>
    </w:sdtContent>
  </w:sdt>
  <w:p w14:paraId="0398CE23" w14:textId="77777777" w:rsidR="00D04A5C" w:rsidRDefault="00D04A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9"/>
    <w:rsid w:val="00000825"/>
    <w:rsid w:val="000164D6"/>
    <w:rsid w:val="00027A00"/>
    <w:rsid w:val="00067397"/>
    <w:rsid w:val="00070524"/>
    <w:rsid w:val="000F720B"/>
    <w:rsid w:val="00121A88"/>
    <w:rsid w:val="001239DC"/>
    <w:rsid w:val="00125E59"/>
    <w:rsid w:val="00133D4A"/>
    <w:rsid w:val="00140522"/>
    <w:rsid w:val="001729CE"/>
    <w:rsid w:val="001E0CA9"/>
    <w:rsid w:val="00227BDE"/>
    <w:rsid w:val="0024649D"/>
    <w:rsid w:val="0027612E"/>
    <w:rsid w:val="002A3039"/>
    <w:rsid w:val="002B19B5"/>
    <w:rsid w:val="002F1E2B"/>
    <w:rsid w:val="00304933"/>
    <w:rsid w:val="00306D3C"/>
    <w:rsid w:val="00307133"/>
    <w:rsid w:val="00324695"/>
    <w:rsid w:val="00333120"/>
    <w:rsid w:val="00341D04"/>
    <w:rsid w:val="00364BAD"/>
    <w:rsid w:val="00381F77"/>
    <w:rsid w:val="003F53C0"/>
    <w:rsid w:val="004430C1"/>
    <w:rsid w:val="004655D8"/>
    <w:rsid w:val="00486D81"/>
    <w:rsid w:val="004D5AB6"/>
    <w:rsid w:val="004D705C"/>
    <w:rsid w:val="004E5204"/>
    <w:rsid w:val="0059056B"/>
    <w:rsid w:val="005D3779"/>
    <w:rsid w:val="005E7C52"/>
    <w:rsid w:val="006057B9"/>
    <w:rsid w:val="00663ED5"/>
    <w:rsid w:val="006B0635"/>
    <w:rsid w:val="006B6CAA"/>
    <w:rsid w:val="007B21B5"/>
    <w:rsid w:val="007C5ADE"/>
    <w:rsid w:val="007D1FD1"/>
    <w:rsid w:val="007D74DA"/>
    <w:rsid w:val="007D7F11"/>
    <w:rsid w:val="007E5194"/>
    <w:rsid w:val="00824767"/>
    <w:rsid w:val="008D5D2C"/>
    <w:rsid w:val="00916D1C"/>
    <w:rsid w:val="00931B3C"/>
    <w:rsid w:val="0097289D"/>
    <w:rsid w:val="00977882"/>
    <w:rsid w:val="00984B34"/>
    <w:rsid w:val="00985369"/>
    <w:rsid w:val="009A3F47"/>
    <w:rsid w:val="009F0349"/>
    <w:rsid w:val="009F061F"/>
    <w:rsid w:val="00A26359"/>
    <w:rsid w:val="00A522A8"/>
    <w:rsid w:val="00A56415"/>
    <w:rsid w:val="00A669B7"/>
    <w:rsid w:val="00A66DC1"/>
    <w:rsid w:val="00A67075"/>
    <w:rsid w:val="00A81E81"/>
    <w:rsid w:val="00AF470A"/>
    <w:rsid w:val="00B21115"/>
    <w:rsid w:val="00B21385"/>
    <w:rsid w:val="00B421E9"/>
    <w:rsid w:val="00B83B05"/>
    <w:rsid w:val="00B8512C"/>
    <w:rsid w:val="00BB2382"/>
    <w:rsid w:val="00BF0CE9"/>
    <w:rsid w:val="00BF6DC7"/>
    <w:rsid w:val="00C12FBE"/>
    <w:rsid w:val="00C16E14"/>
    <w:rsid w:val="00C201E9"/>
    <w:rsid w:val="00C20AD2"/>
    <w:rsid w:val="00C21FE9"/>
    <w:rsid w:val="00CB604B"/>
    <w:rsid w:val="00CC3589"/>
    <w:rsid w:val="00CE0365"/>
    <w:rsid w:val="00D04A5C"/>
    <w:rsid w:val="00D33961"/>
    <w:rsid w:val="00D65FFB"/>
    <w:rsid w:val="00DB59AE"/>
    <w:rsid w:val="00DC240C"/>
    <w:rsid w:val="00E61985"/>
    <w:rsid w:val="00E71205"/>
    <w:rsid w:val="00E76691"/>
    <w:rsid w:val="00E84808"/>
    <w:rsid w:val="00F57B8C"/>
    <w:rsid w:val="00F82DA9"/>
    <w:rsid w:val="00FB08DA"/>
    <w:rsid w:val="00FB1F8A"/>
    <w:rsid w:val="00FB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D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CAA"/>
  </w:style>
  <w:style w:type="paragraph" w:styleId="a6">
    <w:name w:val="footer"/>
    <w:basedOn w:val="a"/>
    <w:link w:val="a7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CAA"/>
  </w:style>
  <w:style w:type="paragraph" w:styleId="a8">
    <w:name w:val="footnote text"/>
    <w:basedOn w:val="a"/>
    <w:link w:val="a9"/>
    <w:uiPriority w:val="99"/>
    <w:unhideWhenUsed/>
    <w:rsid w:val="00DC24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C24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C24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CAA"/>
  </w:style>
  <w:style w:type="paragraph" w:styleId="a6">
    <w:name w:val="footer"/>
    <w:basedOn w:val="a"/>
    <w:link w:val="a7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CAA"/>
  </w:style>
  <w:style w:type="paragraph" w:styleId="a8">
    <w:name w:val="footnote text"/>
    <w:basedOn w:val="a"/>
    <w:link w:val="a9"/>
    <w:uiPriority w:val="99"/>
    <w:unhideWhenUsed/>
    <w:rsid w:val="00DC24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C24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C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7E8-E012-4CA0-A439-8EF9C952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Лучников</dc:creator>
  <cp:lastModifiedBy>Краснова </cp:lastModifiedBy>
  <cp:revision>25</cp:revision>
  <dcterms:created xsi:type="dcterms:W3CDTF">2024-11-15T14:44:00Z</dcterms:created>
  <dcterms:modified xsi:type="dcterms:W3CDTF">2025-01-30T12:08:00Z</dcterms:modified>
</cp:coreProperties>
</file>