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2D0E" w:rsidRDefault="00647C36">
      <w:pPr>
        <w:spacing w:before="135"/>
        <w:ind w:left="10828" w:right="161"/>
        <w:jc w:val="right"/>
        <w:rPr>
          <w:rFonts w:cstheme="minorBidi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Приложение к отчёту о результатах контрольного мероприятия</w:t>
      </w:r>
    </w:p>
    <w:p w:rsidR="00D02D0E" w:rsidRDefault="00647C36">
      <w:pPr>
        <w:spacing w:before="645"/>
        <w:ind w:left="3643" w:right="3641"/>
        <w:jc w:val="center"/>
        <w:rPr>
          <w:rFonts w:cstheme="minorBidi"/>
          <w:sz w:val="24"/>
          <w:szCs w:val="24"/>
        </w:rPr>
      </w:pPr>
      <w:r>
        <w:rPr>
          <w:b/>
          <w:bCs/>
          <w:color w:val="000000"/>
          <w:sz w:val="36"/>
          <w:szCs w:val="36"/>
        </w:rPr>
        <w:t>КАРТА ПРЕДЛОЖЕНИЙ (РЕКОМЕНДАЦИЙ)</w:t>
      </w:r>
    </w:p>
    <w:p w:rsidR="00D02D0E" w:rsidRDefault="00647C36">
      <w:pPr>
        <w:ind w:left="133" w:right="131"/>
        <w:jc w:val="center"/>
        <w:rPr>
          <w:rFonts w:cstheme="minorBidi"/>
          <w:sz w:val="24"/>
          <w:szCs w:val="24"/>
        </w:rPr>
      </w:pPr>
      <w:r>
        <w:rPr>
          <w:b/>
          <w:bCs/>
          <w:color w:val="000000"/>
          <w:sz w:val="36"/>
          <w:szCs w:val="36"/>
        </w:rPr>
        <w:t>по результатам совместно</w:t>
      </w:r>
      <w:r w:rsidR="008631B7">
        <w:rPr>
          <w:b/>
          <w:bCs/>
          <w:color w:val="000000"/>
          <w:sz w:val="36"/>
          <w:szCs w:val="36"/>
        </w:rPr>
        <w:t>го</w:t>
      </w:r>
      <w:r>
        <w:rPr>
          <w:b/>
          <w:bCs/>
          <w:color w:val="000000"/>
          <w:sz w:val="36"/>
          <w:szCs w:val="36"/>
        </w:rPr>
        <w:t xml:space="preserve"> контрольно</w:t>
      </w:r>
      <w:r w:rsidR="008631B7">
        <w:rPr>
          <w:b/>
          <w:bCs/>
          <w:color w:val="000000"/>
          <w:sz w:val="36"/>
          <w:szCs w:val="36"/>
        </w:rPr>
        <w:t>го</w:t>
      </w:r>
      <w:r>
        <w:rPr>
          <w:b/>
          <w:bCs/>
          <w:color w:val="000000"/>
          <w:sz w:val="36"/>
          <w:szCs w:val="36"/>
        </w:rPr>
        <w:t xml:space="preserve"> мероприяти</w:t>
      </w:r>
      <w:r w:rsidR="008631B7">
        <w:rPr>
          <w:b/>
          <w:bCs/>
          <w:color w:val="000000"/>
          <w:sz w:val="36"/>
          <w:szCs w:val="36"/>
        </w:rPr>
        <w:t>я</w:t>
      </w:r>
      <w:r>
        <w:rPr>
          <w:b/>
          <w:bCs/>
          <w:color w:val="000000"/>
          <w:sz w:val="36"/>
          <w:szCs w:val="36"/>
        </w:rPr>
        <w:t xml:space="preserve"> «Аудит использования средств федерального бюджета и государственной собственности в 2020–2023 годах и истекшем периоде 2024 года на охрану водных объектов, защиту от негативного воздействия вод в рамках реализации государственной программы Российской Федерации «Воспроизводство и использование природных ресурсов» на территории Дальневосточного федерального округа» (с контрольно-счетными органами субъектов Российской Федерации)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35"/>
        <w:gridCol w:w="4979"/>
        <w:gridCol w:w="1530"/>
        <w:gridCol w:w="1710"/>
        <w:gridCol w:w="3225"/>
      </w:tblGrid>
      <w:tr w:rsidR="00D02D0E">
        <w:trPr>
          <w:trHeight w:hRule="exact" w:val="21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D02D0E" w:rsidRDefault="00D02D0E">
            <w:pPr>
              <w:rPr>
                <w:rFonts w:cstheme="minorBidi"/>
                <w:sz w:val="1"/>
                <w:szCs w:val="1"/>
              </w:rPr>
            </w:pP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Получатель (адресат)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Предложение (рекомендация)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Отметка о приоритетности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Рекомендованный срок реализации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ФЕДЕРАЛЬНОЕ АГЕНТСТВО ВОДНЫХ РЕСУРСОВ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Определить единые подходы к расчету степени технической готовности объектов капитального строительства, финансовое обеспечение которых осуществляется с привлечением субсидий из федерального бюджета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июня 2025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 определении степени технической готовности объектов капитального строительства используется несогласованный подход: в одном случае значение рассчитывается исходя из стоимости выполненных работ, в другом – исходя из физических объемов выполненных работ.</w:t>
            </w:r>
            <w:r>
              <w:rPr>
                <w:color w:val="000000"/>
                <w:sz w:val="19"/>
                <w:szCs w:val="19"/>
              </w:rPr>
              <w:br/>
              <w:t xml:space="preserve">Согласно отчету об исполнении графика выполнения мероприятий на 1 января 2024 года к Соглашению от 26 декабря 2022 г. № 052-09-2023-051 степень технической готовности по объекту  «Строительство защитной дамбы кп. Горные Ключи польдер № 2» в Приморском крае» составило 76,76 % (перевыполнение составило </w:t>
            </w:r>
            <w:r>
              <w:rPr>
                <w:color w:val="000000"/>
                <w:sz w:val="19"/>
                <w:szCs w:val="19"/>
              </w:rPr>
              <w:lastRenderedPageBreak/>
              <w:t>0,76 %). Техническая готовность рассчитана как отношение объема обязательств по государственным контрактам (цена контракта, сложившаяся по результатам торгов) к стоимости исполненных поставщиком (подрядчиком, исполнителем) обязательств. Вместе с тем в ходе контрольного мероприятия Администрацией Горноключевского городского поселения представлена справка о ходе строительных работ по объекту с расчетом фактического значения технической готовности объекта по состоянию на 1 января 2024 г. – 65-68 %. В результате отклонение составило более 10%.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разработки и согласования ведомственного акта.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ФЕДЕРАЛЬНОЕ АГЕНТСТВО ВОДНЫХ РЕСУРСОВ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Определить подходы к формированию показателей результативности использования субсидий из федерального бюджета с учетом уровня безопасности ГТС в целом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июня 2025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Соглашением от 23 декабря 2022 № 052-09-2023-046, в соответствии с которым бюджету Хабаровского края предоставлена субсидия из федерального бюджета в сумме 3 953,40 тыс. рублей на софинансирование капитального ремонта шлюза регулятора РПТ-2 x 100 вторая аванкамера польдер 1 Берегоукрепление р. Хор в п. Хор района имени Лазо, определен результат использования в 2023 году субсидии из федерального бюджета  – «Количество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состояние» в количестве одной единицы. Вместе с тем согласно в состав указанного ГТС включены 8 шлюзов-регуляторов, из которых только 1 находится в </w:t>
            </w:r>
            <w:r>
              <w:rPr>
                <w:color w:val="000000"/>
                <w:sz w:val="19"/>
                <w:szCs w:val="19"/>
              </w:rPr>
              <w:lastRenderedPageBreak/>
              <w:t>удовлетворительном состоянии.</w:t>
            </w:r>
            <w:r>
              <w:rPr>
                <w:color w:val="000000"/>
                <w:sz w:val="19"/>
                <w:szCs w:val="19"/>
              </w:rPr>
              <w:br/>
              <w:t xml:space="preserve">Таким образом, ремонт одного шлюза-регулятора РТП 2х100 польдера № 1 (ПК 16+69) не позволил привести ГТС «Берегоукрепление р. Хор в п. Хор» с неудовлетворительным и опасным уровнем безопасности в безопасное техническое состояние. 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Рекомендованный срок определен с учетом процедур формирования соглашений и дополнительных соглашений к ним.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ФЕДЕРАЛЬНОЕ АГЕНТСТВО ВОДНЫХ РЕСУРСОВ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Внести изменения в методику расчета экономической эффективности выполнения водохозяйственных мероприятий на водных объектах с учетом разработанной модели укрупненной оценки стоимости переселения с территорий, подверженных негативному воздействию вод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июня 2025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Существующей Методикой оценки вероятностного ущерба от вредного воздействия вод и оценки эффективности осуществления превентивных водохозяйственных мероприятий, разработанная ФГУП «ВИЭМС» в 2006 г. (далее – Методика) не предусмотрена модель расчета стоимости затрат на переселение с территорий, подверженных негативному воздействию и сопоставление с затратами на строительство гидротехнического сооружения.</w:t>
            </w:r>
            <w:r>
              <w:rPr>
                <w:color w:val="000000"/>
                <w:sz w:val="19"/>
                <w:szCs w:val="19"/>
              </w:rPr>
              <w:br/>
              <w:t>В период контрольного мероприятия с привлечением экспертного сообщества была подготовлена модель укрупненной оценки стоимости переселения с территорий, подверженных негативного воздействию вод.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разработки и согласования ведомственного акта.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Внести в приказ Минприроды России от 7 мая 2008 г.  № 111 «Об утверждении форм и порядка представления данных мониторинга, полученных участниками ведения государственного мониторинга водных объектов» </w:t>
            </w:r>
            <w:r>
              <w:rPr>
                <w:color w:val="000000"/>
                <w:sz w:val="19"/>
                <w:szCs w:val="19"/>
              </w:rPr>
              <w:lastRenderedPageBreak/>
              <w:t>изменения, предусматривающие отражение в форме № 29 Данные наблюдения за режимом использования зон затопления, подтопления» информации о нарушениях режима использования зон затопления, подтопления в части строительства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Да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Приказом Минприроды России от 30 марта 2015 г. № 152 введена форма представления в Росводресурсы данных мониторинга, полученных </w:t>
            </w:r>
            <w:r>
              <w:rPr>
                <w:color w:val="000000"/>
                <w:sz w:val="19"/>
                <w:szCs w:val="19"/>
              </w:rPr>
              <w:lastRenderedPageBreak/>
              <w:t>участниками ведения государственного мониторинга водных объектов № 29 «Данные наблюдения за режимом использования зон затопления, подтопления», в которой отражается информация о нарушениях режима использования зон затопления, подтопления.</w:t>
            </w:r>
            <w:r>
              <w:rPr>
                <w:color w:val="000000"/>
                <w:sz w:val="19"/>
                <w:szCs w:val="19"/>
              </w:rPr>
              <w:br/>
              <w:t xml:space="preserve">При этом данная форма не предусматривает заполнение сведений о нарушениях в части строительства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вод, в границах указанных зон. 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подготовки, согласования и принятия ведомственного акта.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Обеспечить возобновление участия российской стороны в проведении совместного российско-китайского мониторинга качества трансграничных вод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В соответствии с Планом совместного российско-китайского мониторинга качества вод трансграничных водных объектов (далее – План), разработанным в целях реализации Меморандума о взаимопонимании между Министерством природных ресурсов Российской Федерации и Государственной администрацией по охране окружающей среды Китайской Народной Республики по вопросам совместного мониторинга качества воды трансграничных водных объектов от 21 февраля 2006 года, ежегодно, начиная с 2007 года утверждается Программа мероприятий по осуществлению совместного мониторинга качества вод российско-китайских </w:t>
            </w:r>
            <w:r>
              <w:rPr>
                <w:color w:val="000000"/>
                <w:sz w:val="19"/>
                <w:szCs w:val="19"/>
              </w:rPr>
              <w:lastRenderedPageBreak/>
              <w:t xml:space="preserve">трансграничных водных объектов: рек Амура, Уссури, Аргуни, Раздольной и озера Ханка. </w:t>
            </w:r>
            <w:r>
              <w:rPr>
                <w:color w:val="000000"/>
                <w:sz w:val="19"/>
                <w:szCs w:val="19"/>
              </w:rPr>
              <w:br/>
              <w:t xml:space="preserve">В соответствии с Планом ответственными за проведение мониторинга с российской стороны определены учреждения, подведомственные Федеральной службе по гидрометеорологии и мониторингу окружающей среды (ФГБУ «Дальневосточное управление по гидрометеорологии и мониторингу окружающей среды», ФГБУ «Приморское управление по гидрометеорологии и мониторингу окружающей среды», ФГБУ «Забайкальское управление по гидрометеорологии и мониторингу окружающей среды»). </w:t>
            </w:r>
            <w:r>
              <w:rPr>
                <w:color w:val="000000"/>
                <w:sz w:val="19"/>
                <w:szCs w:val="19"/>
              </w:rPr>
              <w:br/>
              <w:t>Установлено, что начиная с 2015 года данные учреждения не исполняют обязательства Российской Федерации в части проведения совместного российско-китайского мониторинга качества трансграничных вод, ввиду их отказа от дальнейшего участия в выполнении мониторинга.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формирования и утверждения программ мониторинга и государственного задания для учреждений участников мониторинга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Проработать вопрос совместно с заинтересованными ведомствами о внесении изменений в Водный кодекс Российской Федерации в части определения понятия «расчистка водных объектов», а также в постановление Правительства Российской Федерации от 29 декабря 2021 г.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 в части </w:t>
            </w:r>
            <w:r>
              <w:rPr>
                <w:color w:val="000000"/>
                <w:sz w:val="19"/>
                <w:szCs w:val="19"/>
              </w:rPr>
              <w:lastRenderedPageBreak/>
              <w:t>установления дополнительных требований к участникам закупок на выполнение работ по расчистке водных объектов.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В Водном кодексе Российской Федерации не дано определение понятия «расчистка водных объектов», а также отсутствует подробное правовое регулирование ее процесса, что затрудняет возможность применения дополнительных требований к участникам закупок на выполнение работ по расчистке водных объектов в части наличия </w:t>
            </w:r>
            <w:r>
              <w:rPr>
                <w:color w:val="000000"/>
                <w:sz w:val="19"/>
                <w:szCs w:val="19"/>
              </w:rPr>
              <w:lastRenderedPageBreak/>
              <w:t>необходимого опыта и ресурсов для более эффективного и качественного выполнения работ, а также влечет риски нарушения положений Федерального закона № 44-ФЗ в части запрета на установление избыточных требований к участникам закупок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Рекомендованный срок определен с учетом процедур разработки и согласования изменений в нормативно-правовые акты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Проработать вопрос о внесении изменений в приказ Минстроя России № 160/пр и/или разработке типовых условий контракта на проведение строительного контроля при выполнении работ по строительству линейных объектов капитального строительства, заключаемого с ФБУ «РосСтройКонтроль»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Приказом Минстроя России от 18 марта 2021 г. № 160/пр утверждены типовые условия контракта на проведение строительного контроля </w:t>
            </w:r>
            <w:r>
              <w:rPr>
                <w:color w:val="000000"/>
                <w:sz w:val="19"/>
                <w:szCs w:val="19"/>
              </w:rPr>
              <w:br/>
              <w:t>ФБУ «РосСтройКонтроль» (далее – Типовые условия) по объектам капитального строительства, финансирование (софинансирование) которых 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      </w:r>
            <w:r>
              <w:rPr>
                <w:color w:val="000000"/>
                <w:sz w:val="19"/>
                <w:szCs w:val="19"/>
              </w:rPr>
              <w:br/>
              <w:t>В то же время положения данного приказа не распространяются на осуществление строительного контроля при выполнении работ по строительству линейных объектов капитального строительства (приложение № 2 к данному приказу)</w:t>
            </w:r>
            <w:r>
              <w:rPr>
                <w:color w:val="000000"/>
                <w:sz w:val="19"/>
                <w:szCs w:val="19"/>
              </w:rPr>
              <w:br/>
              <w:t xml:space="preserve">При этом Типовые условия предусматривают оплату услуг строительного контроля равными частями за каждый отчетный период без взаимоувязки с графиком производства работ на ГТС, а также в независимости от отраслевых причин (прохождение нереста, изменение уровня воды, ледостав, </w:t>
            </w:r>
            <w:r>
              <w:rPr>
                <w:color w:val="000000"/>
                <w:sz w:val="19"/>
                <w:szCs w:val="19"/>
              </w:rPr>
              <w:lastRenderedPageBreak/>
              <w:t>несвоевременное выполнение подрядной организацией графика работ, прекращение ее деятельности), что влечет риски оплаты невыполненных работ.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разработки, согласования и принятия нормативно-правового акта.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Проработать вопрос о внесении изменений в законодательство Российской Федерации в части установления запрета на проведение одним и тем же лицом строительного контроля, осуществляемого как подрядчиком, так и заказчиком, а также на привлечение к осуществлению строительного контроля организаций, не имеющих аттестованных специалистов в области строительного контроля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 настоящее время нормы действующего законодательства, в том числе статей 52, 53 Градостроительного кодекса Российской Федерации, постановления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не предусматривают возможности осуществления функций строительного контроля подрядчика и заказчика одним и тем же лицом, но в то же время не содержат прямого запрета на совмещение указанных функций, что на практике приводит к неправильному толкованию норм законодательства о строительном контроле.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разработка, согласования и принятия нормативно- правовых актов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Провести сверку поднадзорных Ростехнадзору ГТС с уполномоченными органами исполнительной власти Приморского края и Хабаровского края и Дальневосточным управлением Ростехнадзора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Отмечено расхождение представленных Ростехнадзором и уполномоченными органами исполнительной власти субъектов Российской Федерации по запросам Счетной палаты Российской </w:t>
            </w:r>
            <w:r>
              <w:rPr>
                <w:color w:val="000000"/>
                <w:sz w:val="19"/>
                <w:szCs w:val="19"/>
              </w:rPr>
              <w:lastRenderedPageBreak/>
              <w:t>Федерации сведений о количестве эксплуатируемых гидротехнических сооружений (далее – ГТС), расположенных на территории Хабаровского края и Приморского края.</w:t>
            </w:r>
            <w:r>
              <w:rPr>
                <w:color w:val="000000"/>
                <w:sz w:val="19"/>
                <w:szCs w:val="19"/>
              </w:rPr>
              <w:br/>
              <w:t>Кроме того, в информации, представленной центральным аппаратом Ростехнадзора и Дальневосточным управлением Ростехнадзора, выявлены расхождения в установленном уровне безопасности ГТС Хабаровского края. По информации центрального аппарата Ростехнадзора, в регионе отсутствуют ГТС, уровень безопасности которых «не определен», а по сведениям Дальневосточного управления Ростехнадзора, на территории находятся 25 таких ГТС.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br/>
              <w:t>Рекомендованный срок определен с учетом процедур сверки данных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Провести проверку соблюдения нормативных правовых актов и проектной документации при выполнении работ по модернизации элемента ГТС «Защита от затопления территории Южного округа г. Хабаровска на участке ул. Пионерская от Дендрария до ул. Союзной»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Проверкой установлено, что в рамках контракта от 3 апреля 2024 г.</w:t>
            </w:r>
            <w:r>
              <w:rPr>
                <w:color w:val="000000"/>
                <w:sz w:val="19"/>
                <w:szCs w:val="19"/>
              </w:rPr>
              <w:br/>
              <w:t xml:space="preserve">№ 0122200002524000431, заключенного между КГКУ «Служба заказчика» и АО «Хабаровский судостроительный завод» на выполнение работ по модернизации (изготовление и монтаж) системы удаления балласта, проведение тестовых испытаний понтона-батопорта проекта ПБ 75 для Дамбы г. Хабаровска, работы по модернизации выполняются в соответствии с техническим заданием (рабочей документацией) заказчика при отсутствии положительного заключения государственной экспертизы на модернизацию элемента ГТС от федерального </w:t>
            </w:r>
            <w:r>
              <w:rPr>
                <w:color w:val="000000"/>
                <w:sz w:val="19"/>
                <w:szCs w:val="19"/>
              </w:rPr>
              <w:lastRenderedPageBreak/>
              <w:t>автономного учреждения «Главное управление государственной экспертизы»</w:t>
            </w:r>
            <w:r>
              <w:rPr>
                <w:color w:val="000000"/>
                <w:sz w:val="19"/>
                <w:szCs w:val="19"/>
              </w:rPr>
              <w:br/>
              <w:t>Рекомендуемый срок определен с учетом процедур проверки</w:t>
            </w:r>
          </w:p>
        </w:tc>
      </w:tr>
      <w:tr w:rsidR="00D02D0E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Проработать вопрос по внесению изменений в законодательство Российской Федерации в части проведения плановых контрольных (надзорных) мероприятий в отношении ГТС III класса,а также ГТС, которые не включены в качестве объектов контроля, надзора в ЕРВК, в связи с их отсутствием в Регистре ГТС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2D0E" w:rsidRDefault="00647C36">
            <w:pPr>
              <w:ind w:left="28" w:right="2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января 2026 г.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2D0E" w:rsidRDefault="00647C36">
            <w:pPr>
              <w:ind w:left="28" w:right="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 качестве объектов контроля (надзора) в ЕРВК включаются только ГТС, внесенные в Регистр ГТС, что исключает возможность проведения проверок в отношении ГТС, сведения о котором не внесены в Регистр ГТС.</w:t>
            </w:r>
            <w:r>
              <w:rPr>
                <w:color w:val="000000"/>
                <w:sz w:val="19"/>
                <w:szCs w:val="19"/>
              </w:rPr>
              <w:br/>
              <w:t>При этом в соответствии с пунктом 2 статьи 3 Федерального закона от 3 июля 2016 г. № 255-ФЗ «О внесении изменений в Федеральный закон «О безопасности гидротехнических сооружений» в случае, если сведения о ГТС не внесены в Регистр ГТС и (или) не обновлены в Регистре ГТС с присвоением ГТС соответствующего класса, плановые проверки в отношении такого ГТС проводятся с периодичностью не чаще чем один раз в течение одного года.</w:t>
            </w:r>
            <w:r>
              <w:rPr>
                <w:color w:val="000000"/>
                <w:sz w:val="19"/>
                <w:szCs w:val="19"/>
              </w:rPr>
              <w:br/>
              <w:t xml:space="preserve">Таким образом, вышеуказанные ограничения приводят к невозможности проведения плановых проверок в отношении ГТС, не внесенных в Регистр ГТС, и ГТС III класса (средней опасности), что создает риски несвоевременного выявления ухудшения состояния ГТС и возникновения аварийных ситуаций. </w:t>
            </w:r>
            <w:r>
              <w:rPr>
                <w:color w:val="000000"/>
                <w:sz w:val="19"/>
                <w:szCs w:val="19"/>
              </w:rPr>
              <w:br/>
              <w:t xml:space="preserve"> Рекомендуемый срок определн с учетом процедуры разработки и согласования нормативных правовых актов.</w:t>
            </w:r>
          </w:p>
        </w:tc>
      </w:tr>
    </w:tbl>
    <w:p w:rsidR="00D02D0E" w:rsidRDefault="00D02D0E"/>
    <w:sectPr w:rsidR="00D02D0E">
      <w:headerReference w:type="default" r:id="rId6"/>
      <w:footerReference w:type="default" r:id="rId7"/>
      <w:headerReference w:type="first" r:id="rId8"/>
      <w:footerReference w:type="first" r:id="rId9"/>
      <w:pgSz w:w="16833" w:h="11908" w:orient="landscape"/>
      <w:pgMar w:top="1133" w:right="566" w:bottom="1133" w:left="1133" w:header="0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FD" w:rsidRDefault="008F1EFD">
      <w:r>
        <w:separator/>
      </w:r>
    </w:p>
  </w:endnote>
  <w:endnote w:type="continuationSeparator" w:id="0">
    <w:p w:rsidR="008F1EFD" w:rsidRDefault="008F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E" w:rsidRDefault="00D02D0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E" w:rsidRDefault="00D02D0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FD" w:rsidRDefault="008F1EFD">
      <w:r>
        <w:separator/>
      </w:r>
    </w:p>
  </w:footnote>
  <w:footnote w:type="continuationSeparator" w:id="0">
    <w:p w:rsidR="008F1EFD" w:rsidRDefault="008F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E" w:rsidRDefault="00D02D0E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4"/>
      <w:gridCol w:w="5670"/>
    </w:tblGrid>
    <w:tr w:rsidR="00D02D0E">
      <w:trPr>
        <w:trHeight w:hRule="exact" w:val="390"/>
      </w:trPr>
      <w:tc>
        <w:tcPr>
          <w:tcW w:w="9465" w:type="dxa"/>
          <w:tcBorders>
            <w:top w:val="nil"/>
            <w:left w:val="nil"/>
            <w:bottom w:val="nil"/>
            <w:right w:val="nil"/>
          </w:tcBorders>
        </w:tcPr>
        <w:p w:rsidR="00D02D0E" w:rsidRDefault="00D02D0E">
          <w:pPr>
            <w:rPr>
              <w:rFonts w:cstheme="minorBidi"/>
              <w:sz w:val="1"/>
              <w:szCs w:val="1"/>
            </w:rPr>
          </w:pP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2D0E" w:rsidRDefault="00647C36">
          <w:pPr>
            <w:ind w:left="28" w:right="28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КПС «ККМ СП-АУДИТ» 04 декабря 2024 г. в 18:08</w:t>
          </w:r>
        </w:p>
      </w:tc>
    </w:tr>
    <w:tr w:rsidR="00D02D0E">
      <w:trPr>
        <w:trHeight w:hRule="exact" w:val="345"/>
      </w:trPr>
      <w:tc>
        <w:tcPr>
          <w:tcW w:w="151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02D0E" w:rsidRDefault="00647C36">
          <w:pPr>
            <w:ind w:left="28" w:right="28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 xml:space="preserve"> PAGE 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20813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E" w:rsidRDefault="00D02D0E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4"/>
      <w:gridCol w:w="5670"/>
    </w:tblGrid>
    <w:tr w:rsidR="00D02D0E">
      <w:trPr>
        <w:trHeight w:hRule="exact" w:val="390"/>
      </w:trPr>
      <w:tc>
        <w:tcPr>
          <w:tcW w:w="9465" w:type="dxa"/>
          <w:tcBorders>
            <w:top w:val="nil"/>
            <w:left w:val="nil"/>
            <w:bottom w:val="nil"/>
            <w:right w:val="nil"/>
          </w:tcBorders>
        </w:tcPr>
        <w:p w:rsidR="00D02D0E" w:rsidRDefault="00D02D0E">
          <w:pPr>
            <w:rPr>
              <w:rFonts w:cstheme="minorBidi"/>
              <w:sz w:val="1"/>
              <w:szCs w:val="1"/>
            </w:rPr>
          </w:pP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2D0E" w:rsidRDefault="00647C36">
          <w:pPr>
            <w:ind w:left="28" w:right="28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КПС «ККМ СП-АУДИТ» 04 декабря 2024 г. в 18:08</w:t>
          </w:r>
        </w:p>
      </w:tc>
    </w:tr>
  </w:tbl>
  <w:p w:rsidR="00D02D0E" w:rsidRDefault="00D02D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0E"/>
    <w:rsid w:val="00020813"/>
    <w:rsid w:val="00647C36"/>
    <w:rsid w:val="008631B7"/>
    <w:rsid w:val="008F1EFD"/>
    <w:rsid w:val="00D0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AF3CF-D9C1-44AB-80FE-2D18ECE7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Казьмина Ольга Сергеевна</dc:creator>
  <cp:lastModifiedBy>Гаспаров Алексей Валерьевич</cp:lastModifiedBy>
  <cp:revision>2</cp:revision>
  <dcterms:created xsi:type="dcterms:W3CDTF">2025-01-15T12:18:00Z</dcterms:created>
  <dcterms:modified xsi:type="dcterms:W3CDTF">2025-01-15T12:18:00Z</dcterms:modified>
</cp:coreProperties>
</file>