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52" w:rsidRPr="00560A2F" w:rsidRDefault="00350052" w:rsidP="00350052">
      <w:pPr>
        <w:spacing w:line="360" w:lineRule="auto"/>
        <w:ind w:firstLine="709"/>
        <w:jc w:val="right"/>
        <w:rPr>
          <w:bCs/>
        </w:rPr>
      </w:pPr>
      <w:r w:rsidRPr="00560A2F">
        <w:rPr>
          <w:bCs/>
        </w:rPr>
        <w:t xml:space="preserve">Приложение </w:t>
      </w:r>
      <w:r w:rsidR="009D34C6">
        <w:rPr>
          <w:bCs/>
        </w:rPr>
        <w:t xml:space="preserve">№ </w:t>
      </w:r>
      <w:r w:rsidRPr="00560A2F">
        <w:rPr>
          <w:bCs/>
        </w:rPr>
        <w:t>1</w:t>
      </w:r>
    </w:p>
    <w:p w:rsidR="00361382" w:rsidRDefault="00361382" w:rsidP="00361382">
      <w:pPr>
        <w:spacing w:line="360" w:lineRule="auto"/>
        <w:jc w:val="center"/>
        <w:rPr>
          <w:b/>
          <w:bCs/>
          <w:sz w:val="28"/>
          <w:szCs w:val="28"/>
        </w:rPr>
      </w:pPr>
    </w:p>
    <w:p w:rsidR="00350052" w:rsidRPr="00361382" w:rsidRDefault="00361382" w:rsidP="00361382">
      <w:pPr>
        <w:spacing w:line="360" w:lineRule="auto"/>
        <w:jc w:val="center"/>
        <w:rPr>
          <w:b/>
          <w:bCs/>
          <w:sz w:val="28"/>
          <w:szCs w:val="28"/>
        </w:rPr>
      </w:pPr>
      <w:r w:rsidRPr="00361382">
        <w:rPr>
          <w:b/>
          <w:bCs/>
          <w:sz w:val="28"/>
          <w:szCs w:val="28"/>
        </w:rPr>
        <w:t>Выбор объектов экспертно-аналитического мероприятия</w:t>
      </w:r>
    </w:p>
    <w:p w:rsidR="00350052" w:rsidRPr="00095B6C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>Выбор объектов экспертно-аналитического мероприятия осуществлялся</w:t>
      </w:r>
      <w:r w:rsidRPr="00095B6C">
        <w:rPr>
          <w:rStyle w:val="a5"/>
          <w:bCs/>
          <w:sz w:val="28"/>
          <w:szCs w:val="28"/>
        </w:rPr>
        <w:footnoteReference w:id="1"/>
      </w:r>
      <w:r w:rsidRPr="00095B6C">
        <w:rPr>
          <w:bCs/>
          <w:sz w:val="28"/>
          <w:szCs w:val="28"/>
        </w:rPr>
        <w:t xml:space="preserve"> по таким критериям, как:</w:t>
      </w:r>
    </w:p>
    <w:p w:rsidR="00350052" w:rsidRPr="00095B6C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>ранг (место) по задолженности в 2020 году;</w:t>
      </w:r>
    </w:p>
    <w:p w:rsidR="00350052" w:rsidRPr="00095B6C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D34C6">
        <w:rPr>
          <w:bCs/>
          <w:sz w:val="28"/>
          <w:szCs w:val="28"/>
        </w:rPr>
        <w:t>ранг (место) по коэффициенту динамики роста задолженности за 2016 – 2020 год</w:t>
      </w:r>
      <w:r w:rsidR="00E43160" w:rsidRPr="009D34C6">
        <w:rPr>
          <w:rStyle w:val="a5"/>
          <w:bCs/>
          <w:sz w:val="28"/>
          <w:szCs w:val="28"/>
        </w:rPr>
        <w:footnoteReference w:id="2"/>
      </w:r>
      <w:r w:rsidRPr="009D34C6">
        <w:rPr>
          <w:bCs/>
          <w:sz w:val="28"/>
          <w:szCs w:val="28"/>
        </w:rPr>
        <w:t>;</w:t>
      </w:r>
    </w:p>
    <w:p w:rsidR="00350052" w:rsidRPr="00095B6C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>ранг (место) по DTI за 2020 год;</w:t>
      </w:r>
    </w:p>
    <w:p w:rsidR="00350052" w:rsidRPr="00095B6C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>ранг (место) по объему сомнительной задолженности в 2020 году.</w:t>
      </w:r>
    </w:p>
    <w:p w:rsidR="00350052" w:rsidRPr="00095B6C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>Исключены из выборки ведомства с преобладанием дебиторской задолженности по возврату субсидий прошлых лет.</w:t>
      </w:r>
    </w:p>
    <w:p w:rsidR="00350052" w:rsidRDefault="00350052" w:rsidP="0035005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 xml:space="preserve">По результатам итогового рейтинга в состав объектов мероприятия включены </w:t>
      </w:r>
      <w:r w:rsidR="00361382">
        <w:rPr>
          <w:bCs/>
          <w:sz w:val="28"/>
          <w:szCs w:val="28"/>
        </w:rPr>
        <w:t xml:space="preserve">18 </w:t>
      </w:r>
      <w:r w:rsidR="007B7450">
        <w:rPr>
          <w:bCs/>
          <w:sz w:val="28"/>
          <w:szCs w:val="28"/>
        </w:rPr>
        <w:t xml:space="preserve">главных администраторов доходов бюджетов (далее - </w:t>
      </w:r>
      <w:r w:rsidRPr="00095B6C">
        <w:rPr>
          <w:bCs/>
          <w:sz w:val="28"/>
          <w:szCs w:val="28"/>
        </w:rPr>
        <w:t>ГАДБ</w:t>
      </w:r>
      <w:r w:rsidR="007B7450">
        <w:rPr>
          <w:bCs/>
          <w:sz w:val="28"/>
          <w:szCs w:val="28"/>
        </w:rPr>
        <w:t>)</w:t>
      </w:r>
      <w:r w:rsidRPr="00095B6C">
        <w:rPr>
          <w:bCs/>
          <w:sz w:val="28"/>
          <w:szCs w:val="28"/>
        </w:rPr>
        <w:t>, имеющие наиболее неудовлетворительные показатели по управлению дебиторской задолженностью</w:t>
      </w:r>
      <w:r w:rsidR="00CD3F99">
        <w:rPr>
          <w:bCs/>
          <w:sz w:val="28"/>
          <w:szCs w:val="28"/>
        </w:rPr>
        <w:t>.</w:t>
      </w:r>
    </w:p>
    <w:p w:rsidR="00CD3F99" w:rsidRPr="00095B6C" w:rsidRDefault="00CD3F99" w:rsidP="00CD3F99">
      <w:pPr>
        <w:spacing w:line="312" w:lineRule="auto"/>
        <w:ind w:firstLine="709"/>
        <w:jc w:val="both"/>
        <w:rPr>
          <w:bCs/>
          <w:sz w:val="28"/>
          <w:szCs w:val="28"/>
        </w:rPr>
      </w:pPr>
    </w:p>
    <w:tbl>
      <w:tblPr>
        <w:tblW w:w="9293" w:type="dxa"/>
        <w:jc w:val="center"/>
        <w:tblLook w:val="04A0" w:firstRow="1" w:lastRow="0" w:firstColumn="1" w:lastColumn="0" w:noHBand="0" w:noVBand="1"/>
      </w:tblPr>
      <w:tblGrid>
        <w:gridCol w:w="2708"/>
        <w:gridCol w:w="1119"/>
        <w:gridCol w:w="2283"/>
        <w:gridCol w:w="3183"/>
      </w:tblGrid>
      <w:tr w:rsidR="00CD3F99" w:rsidRPr="00095B6C" w:rsidTr="00034DD3">
        <w:trPr>
          <w:trHeight w:val="910"/>
          <w:tblHeader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95B6C">
              <w:rPr>
                <w:b/>
                <w:color w:val="000000"/>
                <w:sz w:val="28"/>
                <w:szCs w:val="28"/>
              </w:rPr>
              <w:t>Наименование ГАДБ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95B6C">
              <w:rPr>
                <w:b/>
                <w:color w:val="000000"/>
                <w:sz w:val="28"/>
                <w:szCs w:val="28"/>
              </w:rPr>
              <w:t>Код ГАДБ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95B6C">
              <w:rPr>
                <w:b/>
                <w:color w:val="000000"/>
                <w:sz w:val="28"/>
                <w:szCs w:val="28"/>
              </w:rPr>
              <w:t>Ранг (место) по итоговой сумме баллов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95B6C">
              <w:rPr>
                <w:b/>
                <w:color w:val="000000"/>
                <w:sz w:val="28"/>
                <w:szCs w:val="28"/>
              </w:rPr>
              <w:t>Сумма дебиторской задолженности за 2020 год (млн. рублей)</w:t>
            </w:r>
            <w:r w:rsidRPr="00095B6C">
              <w:rPr>
                <w:rStyle w:val="a5"/>
                <w:b/>
                <w:color w:val="000000"/>
                <w:sz w:val="28"/>
                <w:szCs w:val="28"/>
              </w:rPr>
              <w:footnoteReference w:id="3"/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Росприроднадзор</w:t>
            </w:r>
            <w:proofErr w:type="spellEnd"/>
            <w:r w:rsidRPr="00095B6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182 246,82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Рослесхоз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053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966 974,87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ФНС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511 557,26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ФССП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sz w:val="28"/>
                <w:szCs w:val="28"/>
              </w:rPr>
              <w:t>339 357,28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УД ПРФ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38 010,74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Росжелдор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357 370,72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Росимущество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440 472,58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Росавиация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19 479,00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ФСИН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8 100,43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Росавтодор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7 631,31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ФТС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163 054,65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lastRenderedPageBreak/>
              <w:t>ФАС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5 581,47</w:t>
            </w:r>
          </w:p>
        </w:tc>
      </w:tr>
      <w:tr w:rsidR="00CD3F99" w:rsidRPr="00095B6C" w:rsidTr="00034DD3">
        <w:trPr>
          <w:trHeight w:val="399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Минкультуры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054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4 939,09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Ространснадзор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17 246,37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BA374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5B6C">
              <w:rPr>
                <w:color w:val="000000"/>
                <w:sz w:val="28"/>
                <w:szCs w:val="28"/>
              </w:rPr>
              <w:t>Росвод</w:t>
            </w:r>
            <w:bookmarkStart w:id="0" w:name="_GoBack"/>
            <w:bookmarkEnd w:id="0"/>
            <w:r w:rsidRPr="00095B6C">
              <w:rPr>
                <w:color w:val="000000"/>
                <w:sz w:val="28"/>
                <w:szCs w:val="28"/>
              </w:rPr>
              <w:t>ресурсы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052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13 665,86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Роспатент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9 841,47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Минтранс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7 126,29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D3F99" w:rsidRPr="00095B6C" w:rsidRDefault="00CD3F99" w:rsidP="00034DD3">
            <w:pPr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МЧС России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D3F99" w:rsidRPr="00095B6C" w:rsidRDefault="00CD3F99" w:rsidP="00034DD3">
            <w:pPr>
              <w:jc w:val="center"/>
              <w:rPr>
                <w:color w:val="000000"/>
                <w:sz w:val="28"/>
                <w:szCs w:val="28"/>
              </w:rPr>
            </w:pPr>
            <w:r w:rsidRPr="00095B6C">
              <w:rPr>
                <w:color w:val="000000"/>
                <w:sz w:val="28"/>
                <w:szCs w:val="28"/>
              </w:rPr>
              <w:t>5 676,43</w:t>
            </w:r>
          </w:p>
        </w:tc>
      </w:tr>
      <w:tr w:rsidR="00CD3F99" w:rsidRPr="00095B6C" w:rsidTr="00034DD3">
        <w:trPr>
          <w:trHeight w:val="290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CD3F99" w:rsidRPr="00095B6C" w:rsidRDefault="00CD3F99" w:rsidP="00034DD3">
            <w:pPr>
              <w:rPr>
                <w:b/>
                <w:color w:val="000000"/>
                <w:sz w:val="28"/>
                <w:szCs w:val="28"/>
              </w:rPr>
            </w:pPr>
            <w:r w:rsidRPr="00095B6C">
              <w:rPr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CD3F99" w:rsidRPr="00095B6C" w:rsidRDefault="00CD3F99" w:rsidP="00034DD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95B6C">
              <w:rPr>
                <w:b/>
                <w:color w:val="000000"/>
                <w:sz w:val="28"/>
                <w:szCs w:val="28"/>
              </w:rPr>
              <w:t>3 090 232,21</w:t>
            </w:r>
          </w:p>
        </w:tc>
      </w:tr>
    </w:tbl>
    <w:p w:rsidR="00CD3F99" w:rsidRPr="00095B6C" w:rsidRDefault="00CD3F99" w:rsidP="00CD3F99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CD3F99" w:rsidRDefault="00CD3F99" w:rsidP="00CD3F9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95B6C">
        <w:rPr>
          <w:bCs/>
          <w:sz w:val="28"/>
          <w:szCs w:val="28"/>
        </w:rPr>
        <w:t>Общая сумма дебиторской задолженности, отраженной ГАДБ - объектами данного мероприятия в бюджетном учете, составляет 79,5% от общей суммы дебиторской задолженности федерального бюджета, отраженной в балансе исполнения федерального бюджета за 2020 год (форма 0507019).</w:t>
      </w:r>
    </w:p>
    <w:p w:rsidR="009E61EF" w:rsidRPr="009E61EF" w:rsidRDefault="009E61EF" w:rsidP="009E61E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E61EF">
        <w:rPr>
          <w:bCs/>
          <w:sz w:val="28"/>
          <w:szCs w:val="28"/>
        </w:rPr>
        <w:t>Объектами также являются:</w:t>
      </w:r>
    </w:p>
    <w:p w:rsidR="00B211AA" w:rsidRPr="009E61EF" w:rsidRDefault="009E61EF" w:rsidP="009E61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• </w:t>
      </w:r>
      <w:r w:rsidR="00B211AA" w:rsidRPr="009E61EF">
        <w:rPr>
          <w:bCs/>
          <w:sz w:val="28"/>
          <w:szCs w:val="28"/>
        </w:rPr>
        <w:t xml:space="preserve">Минфин России как федеральный орган исполнительной власти, </w:t>
      </w:r>
      <w:r w:rsidR="00B211AA" w:rsidRPr="009E61EF">
        <w:rPr>
          <w:rFonts w:eastAsiaTheme="minorHAnsi"/>
          <w:sz w:val="28"/>
          <w:szCs w:val="28"/>
          <w:lang w:eastAsia="en-US"/>
        </w:rPr>
        <w:t xml:space="preserve">осуществляющий функции по выработке государственной политики и нормативно-правовому регулированию в сфере </w:t>
      </w:r>
      <w:hyperlink r:id="rId8" w:history="1">
        <w:r w:rsidR="00B211AA" w:rsidRPr="009E61EF">
          <w:rPr>
            <w:rFonts w:eastAsiaTheme="minorHAnsi"/>
            <w:sz w:val="28"/>
            <w:szCs w:val="28"/>
            <w:lang w:eastAsia="en-US"/>
          </w:rPr>
          <w:t>бюджетной</w:t>
        </w:r>
      </w:hyperlink>
      <w:r w:rsidRPr="009E61EF">
        <w:rPr>
          <w:rFonts w:eastAsiaTheme="minorHAnsi"/>
          <w:sz w:val="28"/>
          <w:szCs w:val="28"/>
          <w:lang w:eastAsia="en-US"/>
        </w:rPr>
        <w:t xml:space="preserve"> деятельности</w:t>
      </w:r>
      <w:r w:rsidR="00B211AA" w:rsidRPr="009E61EF">
        <w:rPr>
          <w:rFonts w:eastAsiaTheme="minorHAnsi"/>
          <w:sz w:val="28"/>
          <w:szCs w:val="28"/>
          <w:lang w:eastAsia="en-US"/>
        </w:rPr>
        <w:t>, бухгалтерского учета и бухгалтерской отчетности</w:t>
      </w:r>
      <w:r w:rsidRPr="009E61EF">
        <w:rPr>
          <w:rFonts w:eastAsiaTheme="minorHAnsi"/>
          <w:sz w:val="28"/>
          <w:szCs w:val="28"/>
          <w:lang w:eastAsia="en-US"/>
        </w:rPr>
        <w:t>;</w:t>
      </w:r>
    </w:p>
    <w:p w:rsidR="00B211AA" w:rsidRPr="009E61EF" w:rsidRDefault="009E61EF" w:rsidP="009E61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• </w:t>
      </w:r>
      <w:r w:rsidRPr="009E61EF">
        <w:rPr>
          <w:rFonts w:eastAsiaTheme="minorHAnsi"/>
          <w:sz w:val="28"/>
          <w:szCs w:val="28"/>
          <w:lang w:eastAsia="en-US"/>
        </w:rPr>
        <w:t xml:space="preserve">Федеральное казначейство как федеральный орган исполнительной власти, осуществляющий правоприменительные функции по обеспечению исполнения федерального бюджета, кассовому обслуживанию исполнения бюджетов бюджетной системы Российской Федерации, функции по контролю и надзору в финансово-бюджетной сфере. </w:t>
      </w:r>
    </w:p>
    <w:p w:rsidR="00B211AA" w:rsidRPr="00095B6C" w:rsidRDefault="00B211AA" w:rsidP="00CD3F99">
      <w:pPr>
        <w:spacing w:line="360" w:lineRule="auto"/>
        <w:ind w:firstLine="709"/>
        <w:jc w:val="both"/>
        <w:rPr>
          <w:bCs/>
          <w:sz w:val="28"/>
          <w:szCs w:val="28"/>
        </w:rPr>
      </w:pPr>
    </w:p>
    <w:sectPr w:rsidR="00B211AA" w:rsidRPr="00095B6C" w:rsidSect="00CD3F9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FC" w:rsidRDefault="00113AFC" w:rsidP="00350052">
      <w:r>
        <w:separator/>
      </w:r>
    </w:p>
  </w:endnote>
  <w:endnote w:type="continuationSeparator" w:id="0">
    <w:p w:rsidR="00113AFC" w:rsidRDefault="00113AFC" w:rsidP="0035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FC" w:rsidRDefault="00113AFC" w:rsidP="00350052">
      <w:r>
        <w:separator/>
      </w:r>
    </w:p>
  </w:footnote>
  <w:footnote w:type="continuationSeparator" w:id="0">
    <w:p w:rsidR="00113AFC" w:rsidRDefault="00113AFC" w:rsidP="00350052">
      <w:r>
        <w:continuationSeparator/>
      </w:r>
    </w:p>
  </w:footnote>
  <w:footnote w:id="1">
    <w:p w:rsidR="00350052" w:rsidRPr="0044079E" w:rsidRDefault="00350052" w:rsidP="00BA5C79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4079E">
        <w:rPr>
          <w:rStyle w:val="a5"/>
          <w:rFonts w:ascii="Times New Roman" w:hAnsi="Times New Roman"/>
          <w:sz w:val="22"/>
          <w:szCs w:val="22"/>
        </w:rPr>
        <w:footnoteRef/>
      </w:r>
      <w:r w:rsidRPr="0044079E">
        <w:rPr>
          <w:rFonts w:ascii="Times New Roman" w:hAnsi="Times New Roman" w:cs="Times New Roman"/>
          <w:sz w:val="22"/>
          <w:szCs w:val="22"/>
        </w:rPr>
        <w:t xml:space="preserve"> По состоянию на апрель 2021 года</w:t>
      </w:r>
      <w:r w:rsidR="000C6D2C">
        <w:rPr>
          <w:rFonts w:ascii="Times New Roman" w:hAnsi="Times New Roman" w:cs="Times New Roman"/>
          <w:sz w:val="22"/>
          <w:szCs w:val="22"/>
        </w:rPr>
        <w:t>. И</w:t>
      </w:r>
      <w:r w:rsidRPr="0044079E">
        <w:rPr>
          <w:rFonts w:ascii="Times New Roman" w:hAnsi="Times New Roman" w:cs="Times New Roman"/>
          <w:sz w:val="22"/>
          <w:szCs w:val="22"/>
        </w:rPr>
        <w:t>спользовались данные, размещенные в П</w:t>
      </w:r>
      <w:r w:rsidR="00BA5C79">
        <w:rPr>
          <w:rFonts w:ascii="Times New Roman" w:hAnsi="Times New Roman" w:cs="Times New Roman"/>
          <w:sz w:val="22"/>
          <w:szCs w:val="22"/>
        </w:rPr>
        <w:t>П</w:t>
      </w:r>
      <w:r w:rsidRPr="0044079E">
        <w:rPr>
          <w:rFonts w:ascii="Times New Roman" w:hAnsi="Times New Roman" w:cs="Times New Roman"/>
          <w:sz w:val="22"/>
          <w:szCs w:val="22"/>
        </w:rPr>
        <w:t xml:space="preserve">К </w:t>
      </w:r>
      <w:r w:rsidR="00A7295C">
        <w:rPr>
          <w:rFonts w:ascii="Times New Roman" w:hAnsi="Times New Roman" w:cs="Times New Roman"/>
          <w:sz w:val="22"/>
          <w:szCs w:val="22"/>
        </w:rPr>
        <w:t>«</w:t>
      </w:r>
      <w:r w:rsidRPr="0044079E">
        <w:rPr>
          <w:rFonts w:ascii="Times New Roman" w:hAnsi="Times New Roman" w:cs="Times New Roman"/>
          <w:sz w:val="22"/>
          <w:szCs w:val="22"/>
        </w:rPr>
        <w:t>Полигон СП</w:t>
      </w:r>
      <w:r w:rsidR="00A7295C">
        <w:rPr>
          <w:rFonts w:ascii="Times New Roman" w:hAnsi="Times New Roman" w:cs="Times New Roman"/>
          <w:sz w:val="22"/>
          <w:szCs w:val="22"/>
        </w:rPr>
        <w:t>»</w:t>
      </w:r>
      <w:r w:rsidRPr="0044079E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E43160" w:rsidRPr="00E43160" w:rsidRDefault="00E43160" w:rsidP="00E43160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9D34C6">
        <w:rPr>
          <w:rStyle w:val="a5"/>
          <w:rFonts w:ascii="Times New Roman" w:hAnsi="Times New Roman"/>
          <w:sz w:val="22"/>
          <w:szCs w:val="22"/>
        </w:rPr>
        <w:footnoteRef/>
      </w:r>
      <w:r w:rsidRPr="009D34C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A5C79" w:rsidRPr="009D34C6">
        <w:rPr>
          <w:rFonts w:ascii="Times New Roman" w:hAnsi="Times New Roman" w:cs="Times New Roman"/>
          <w:sz w:val="22"/>
          <w:szCs w:val="22"/>
        </w:rPr>
        <w:t>П</w:t>
      </w:r>
      <w:r w:rsidRPr="009D34C6">
        <w:rPr>
          <w:rFonts w:ascii="Times New Roman" w:hAnsi="Times New Roman" w:cs="Times New Roman"/>
          <w:bCs/>
          <w:sz w:val="22"/>
          <w:szCs w:val="22"/>
        </w:rPr>
        <w:t>риведен</w:t>
      </w:r>
      <w:proofErr w:type="gramEnd"/>
      <w:r w:rsidRPr="009D34C6">
        <w:rPr>
          <w:rFonts w:ascii="Times New Roman" w:hAnsi="Times New Roman" w:cs="Times New Roman"/>
          <w:bCs/>
          <w:sz w:val="22"/>
          <w:szCs w:val="22"/>
        </w:rPr>
        <w:t xml:space="preserve"> в приложении 1.1.</w:t>
      </w:r>
    </w:p>
  </w:footnote>
  <w:footnote w:id="3">
    <w:p w:rsidR="00CD3F99" w:rsidRPr="0044079E" w:rsidRDefault="00CD3F99" w:rsidP="00CD3F99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4079E">
        <w:rPr>
          <w:rStyle w:val="a5"/>
          <w:rFonts w:ascii="Times New Roman" w:hAnsi="Times New Roman"/>
          <w:sz w:val="22"/>
          <w:szCs w:val="22"/>
        </w:rPr>
        <w:footnoteRef/>
      </w:r>
      <w:r w:rsidRPr="0044079E">
        <w:rPr>
          <w:rFonts w:ascii="Times New Roman" w:hAnsi="Times New Roman" w:cs="Times New Roman"/>
          <w:sz w:val="22"/>
          <w:szCs w:val="22"/>
        </w:rPr>
        <w:t xml:space="preserve"> В соответствии с данными формы 0503169 на первое число года, следующего за отчетным периодом (по уточненным данным Федерального казначейства, представленным в Счетную палату письмом от 17 июня 2021 г. № 07-04-04/08-14256).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85379"/>
      <w:docPartObj>
        <w:docPartGallery w:val="Page Numbers (Top of Page)"/>
        <w:docPartUnique/>
      </w:docPartObj>
    </w:sdtPr>
    <w:sdtEndPr/>
    <w:sdtContent>
      <w:p w:rsidR="00CD3F99" w:rsidRDefault="00CD3F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41">
          <w:rPr>
            <w:noProof/>
          </w:rPr>
          <w:t>2</w:t>
        </w:r>
        <w:r>
          <w:fldChar w:fldCharType="end"/>
        </w:r>
      </w:p>
    </w:sdtContent>
  </w:sdt>
  <w:p w:rsidR="00CD3F99" w:rsidRDefault="00CD3F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52"/>
    <w:rsid w:val="000867C1"/>
    <w:rsid w:val="000C6D2C"/>
    <w:rsid w:val="00113AFC"/>
    <w:rsid w:val="00234B97"/>
    <w:rsid w:val="002353DC"/>
    <w:rsid w:val="002D1B5F"/>
    <w:rsid w:val="003148CF"/>
    <w:rsid w:val="00350052"/>
    <w:rsid w:val="00361382"/>
    <w:rsid w:val="004E041D"/>
    <w:rsid w:val="00560A2F"/>
    <w:rsid w:val="005C487D"/>
    <w:rsid w:val="00645210"/>
    <w:rsid w:val="006637B2"/>
    <w:rsid w:val="007B7450"/>
    <w:rsid w:val="009D34C6"/>
    <w:rsid w:val="009E61EF"/>
    <w:rsid w:val="00A7295C"/>
    <w:rsid w:val="00AA535C"/>
    <w:rsid w:val="00B211AA"/>
    <w:rsid w:val="00BA3741"/>
    <w:rsid w:val="00BA5C79"/>
    <w:rsid w:val="00C27FDB"/>
    <w:rsid w:val="00C41BBD"/>
    <w:rsid w:val="00CD3F99"/>
    <w:rsid w:val="00D84E2B"/>
    <w:rsid w:val="00E13473"/>
    <w:rsid w:val="00E17579"/>
    <w:rsid w:val="00E315F3"/>
    <w:rsid w:val="00E43160"/>
    <w:rsid w:val="00F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350052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350052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350052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350052"/>
    <w:pPr>
      <w:spacing w:after="0" w:line="360" w:lineRule="auto"/>
    </w:pPr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D3F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3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D3F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3F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350052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350052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350052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350052"/>
    <w:pPr>
      <w:spacing w:after="0" w:line="360" w:lineRule="auto"/>
    </w:pPr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D3F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3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D3F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3F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15611D5502B1FABA0561DAFE7E53E07544E9DE1498FAAB40DEBA57FB36A4B6C90F378CC1B549D541AE38320D8CB6AD217C0E3993A214ACM4o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6659-747B-4297-8F2A-FBC86B2E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2021-08-26T06:35:00Z</dcterms:created>
  <dcterms:modified xsi:type="dcterms:W3CDTF">2021-09-20T12:28:00Z</dcterms:modified>
</cp:coreProperties>
</file>