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6E" w:rsidRPr="00B541EB" w:rsidRDefault="006F3BB8" w:rsidP="006F3BB8">
      <w:pPr>
        <w:jc w:val="right"/>
        <w:rPr>
          <w:rFonts w:ascii="Times New Roman" w:hAnsi="Times New Roman" w:cs="Times New Roman"/>
          <w:sz w:val="28"/>
          <w:szCs w:val="28"/>
        </w:rPr>
      </w:pPr>
      <w:r w:rsidRPr="00B541EB">
        <w:rPr>
          <w:rFonts w:ascii="Times New Roman" w:hAnsi="Times New Roman" w:cs="Times New Roman"/>
          <w:sz w:val="28"/>
          <w:szCs w:val="28"/>
        </w:rPr>
        <w:t>Приложение № </w:t>
      </w:r>
      <w:r w:rsidR="00061997" w:rsidRPr="00B541EB">
        <w:rPr>
          <w:rFonts w:ascii="Times New Roman" w:hAnsi="Times New Roman" w:cs="Times New Roman"/>
          <w:sz w:val="28"/>
          <w:szCs w:val="28"/>
        </w:rPr>
        <w:t>1</w:t>
      </w:r>
      <w:r w:rsidR="001060D4" w:rsidRPr="00B541EB">
        <w:rPr>
          <w:rFonts w:ascii="Times New Roman" w:hAnsi="Times New Roman" w:cs="Times New Roman"/>
          <w:sz w:val="28"/>
          <w:szCs w:val="28"/>
        </w:rPr>
        <w:t xml:space="preserve"> к отчету</w:t>
      </w:r>
    </w:p>
    <w:p w:rsidR="006F3BB8" w:rsidRPr="00B541EB" w:rsidRDefault="006F3BB8" w:rsidP="006F3BB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1EB">
        <w:rPr>
          <w:rFonts w:ascii="Times New Roman" w:hAnsi="Times New Roman" w:cs="Times New Roman"/>
          <w:b/>
          <w:sz w:val="28"/>
          <w:szCs w:val="28"/>
        </w:rPr>
        <w:t xml:space="preserve">Оценка в соответствии с </w:t>
      </w:r>
      <w:r w:rsidR="006C0DD0" w:rsidRPr="00B541EB">
        <w:rPr>
          <w:rFonts w:ascii="Times New Roman" w:hAnsi="Times New Roman" w:cs="Times New Roman"/>
          <w:b/>
          <w:sz w:val="28"/>
          <w:szCs w:val="28"/>
        </w:rPr>
        <w:t>критериями аудита эффективности и оценка соответствия деятельности объектов контрольного мероприятия</w:t>
      </w:r>
    </w:p>
    <w:p w:rsidR="0029154E" w:rsidRPr="00B541EB" w:rsidRDefault="00B541EB" w:rsidP="00B541E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1E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9154E" w:rsidRPr="00B541EB">
        <w:rPr>
          <w:rFonts w:ascii="Times New Roman" w:hAnsi="Times New Roman" w:cs="Times New Roman"/>
          <w:b/>
          <w:sz w:val="28"/>
          <w:szCs w:val="28"/>
        </w:rPr>
        <w:t>Аудит эффективности</w:t>
      </w:r>
    </w:p>
    <w:p w:rsidR="0029154E" w:rsidRPr="00B541EB" w:rsidRDefault="0029154E" w:rsidP="0029154E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Style w:val="a3"/>
        <w:tblW w:w="15021" w:type="dxa"/>
        <w:jc w:val="center"/>
        <w:tblLook w:val="04A0" w:firstRow="1" w:lastRow="0" w:firstColumn="1" w:lastColumn="0" w:noHBand="0" w:noVBand="1"/>
      </w:tblPr>
      <w:tblGrid>
        <w:gridCol w:w="3539"/>
        <w:gridCol w:w="9497"/>
        <w:gridCol w:w="1985"/>
      </w:tblGrid>
      <w:tr w:rsidR="00B541EB" w:rsidRPr="00B541EB" w:rsidTr="00F85FCA">
        <w:trPr>
          <w:trHeight w:val="546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:rsidR="0029154E" w:rsidRPr="003443A0" w:rsidRDefault="0029154E" w:rsidP="00815D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аудита эффективности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:rsidR="0029154E" w:rsidRPr="003443A0" w:rsidRDefault="0029154E" w:rsidP="00714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9154E" w:rsidRPr="003443A0" w:rsidRDefault="0029154E" w:rsidP="00714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B541EB" w:rsidRPr="00B541EB" w:rsidTr="003443A0">
        <w:trPr>
          <w:trHeight w:val="554"/>
          <w:jc w:val="center"/>
        </w:trPr>
        <w:tc>
          <w:tcPr>
            <w:tcW w:w="15021" w:type="dxa"/>
            <w:gridSpan w:val="3"/>
            <w:shd w:val="clear" w:color="auto" w:fill="DAEEF3" w:themeFill="accent5" w:themeFillTint="33"/>
            <w:vAlign w:val="center"/>
          </w:tcPr>
          <w:p w:rsidR="0029154E" w:rsidRPr="003443A0" w:rsidRDefault="0029154E" w:rsidP="003443A0">
            <w:pPr>
              <w:pStyle w:val="Default"/>
              <w:jc w:val="both"/>
              <w:rPr>
                <w:b/>
                <w:i/>
                <w:color w:val="auto"/>
              </w:rPr>
            </w:pPr>
            <w:r w:rsidRPr="003443A0">
              <w:rPr>
                <w:b/>
                <w:i/>
                <w:color w:val="auto"/>
              </w:rPr>
              <w:t xml:space="preserve">Цель </w:t>
            </w:r>
            <w:r w:rsidR="003443A0" w:rsidRPr="003443A0">
              <w:rPr>
                <w:b/>
                <w:i/>
                <w:color w:val="auto"/>
              </w:rPr>
              <w:t>1</w:t>
            </w:r>
            <w:r w:rsidRPr="003443A0">
              <w:rPr>
                <w:b/>
                <w:i/>
                <w:color w:val="auto"/>
              </w:rPr>
              <w:t xml:space="preserve">. </w:t>
            </w:r>
            <w:r w:rsidR="003443A0" w:rsidRPr="003443A0">
              <w:rPr>
                <w:b/>
                <w:i/>
                <w:color w:val="auto"/>
              </w:rPr>
              <w:t>Оценить эффективность (экономность) использования бюджетных средств на реализацию мероприятий по строительству Севастопольской больницы скорой медицинской помощи (второй этап)</w:t>
            </w:r>
            <w:r w:rsidRPr="003443A0">
              <w:rPr>
                <w:b/>
                <w:i/>
                <w:color w:val="auto"/>
              </w:rPr>
              <w:t>.</w:t>
            </w:r>
          </w:p>
        </w:tc>
      </w:tr>
      <w:tr w:rsidR="00B541EB" w:rsidRPr="00B541EB" w:rsidTr="003443A0">
        <w:trPr>
          <w:trHeight w:val="605"/>
          <w:jc w:val="center"/>
        </w:trPr>
        <w:tc>
          <w:tcPr>
            <w:tcW w:w="15021" w:type="dxa"/>
            <w:gridSpan w:val="3"/>
            <w:shd w:val="clear" w:color="auto" w:fill="DAEEF3" w:themeFill="accent5" w:themeFillTint="33"/>
            <w:vAlign w:val="center"/>
          </w:tcPr>
          <w:p w:rsidR="00303A87" w:rsidRPr="00B541EB" w:rsidRDefault="00303A87" w:rsidP="00303A87">
            <w:pPr>
              <w:pStyle w:val="Default"/>
              <w:jc w:val="both"/>
              <w:rPr>
                <w:b/>
                <w:i/>
                <w:color w:val="FF0000"/>
              </w:rPr>
            </w:pPr>
            <w:r w:rsidRPr="003443A0">
              <w:rPr>
                <w:b/>
                <w:color w:val="auto"/>
              </w:rPr>
              <w:t xml:space="preserve">Вопрос 1. </w:t>
            </w:r>
            <w:r w:rsidR="003443A0" w:rsidRPr="003443A0">
              <w:rPr>
                <w:b/>
                <w:color w:val="auto"/>
              </w:rPr>
              <w:t>Оценить достижение запланированных результатов реализации мероприятий по строительству Севастопольской больницы скорой медицинской помощи за счет использования бюджетных средств</w:t>
            </w:r>
            <w:r w:rsidR="00E641C8" w:rsidRPr="003443A0">
              <w:rPr>
                <w:b/>
                <w:color w:val="auto"/>
              </w:rPr>
              <w:t>.</w:t>
            </w:r>
          </w:p>
        </w:tc>
      </w:tr>
      <w:tr w:rsidR="00B541EB" w:rsidRPr="00B541EB" w:rsidTr="00F85FCA">
        <w:trPr>
          <w:trHeight w:val="1648"/>
          <w:jc w:val="center"/>
        </w:trPr>
        <w:tc>
          <w:tcPr>
            <w:tcW w:w="3539" w:type="dxa"/>
            <w:vAlign w:val="center"/>
          </w:tcPr>
          <w:p w:rsidR="0029154E" w:rsidRPr="00B541EB" w:rsidRDefault="003443A0" w:rsidP="007145F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43A0">
              <w:rPr>
                <w:rFonts w:ascii="Times New Roman" w:hAnsi="Times New Roman" w:cs="Times New Roman"/>
                <w:sz w:val="24"/>
                <w:szCs w:val="24"/>
              </w:rPr>
              <w:t>Запланированные строительно-монтажные работы на Объекте выполнены в соответствии с графиком.</w:t>
            </w:r>
          </w:p>
        </w:tc>
        <w:tc>
          <w:tcPr>
            <w:tcW w:w="9497" w:type="dxa"/>
            <w:vAlign w:val="center"/>
          </w:tcPr>
          <w:p w:rsidR="00294FEB" w:rsidRDefault="000B673F" w:rsidP="00300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3F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Первоначально завершить строительство Объекта планировалось в декабре 2021 года. В дальнейшем Правительством Российской Федерации срок был продлен до </w:t>
            </w:r>
            <w:r w:rsidR="00070D0F" w:rsidRPr="00070D0F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  <w:r w:rsidR="00070D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0D0F" w:rsidRPr="00070D0F">
              <w:rPr>
                <w:rFonts w:ascii="Times New Roman" w:hAnsi="Times New Roman" w:cs="Times New Roman"/>
                <w:sz w:val="24"/>
                <w:szCs w:val="24"/>
              </w:rPr>
              <w:t xml:space="preserve"> 2026 года</w:t>
            </w:r>
            <w:r w:rsidRPr="000B673F">
              <w:rPr>
                <w:rFonts w:ascii="Times New Roman" w:hAnsi="Times New Roman" w:cs="Times New Roman"/>
                <w:sz w:val="24"/>
                <w:szCs w:val="24"/>
              </w:rPr>
              <w:t>. При этом заказчик ГКУ «ЕДКС» необоснованно перенес срок окончания Госконтракта на декабрь 2027 года.</w:t>
            </w:r>
            <w:r w:rsidR="0007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FEB" w:rsidRPr="00294FEB">
              <w:rPr>
                <w:rFonts w:ascii="Times New Roman" w:hAnsi="Times New Roman" w:cs="Times New Roman"/>
                <w:sz w:val="24"/>
                <w:szCs w:val="24"/>
              </w:rPr>
              <w:t>Таким образом, первоначальный (запланированный) график строительства Объекта не соблюден.</w:t>
            </w:r>
          </w:p>
          <w:p w:rsidR="00C910AE" w:rsidRPr="00294FEB" w:rsidRDefault="00C910AE" w:rsidP="00300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AE">
              <w:rPr>
                <w:rFonts w:ascii="Times New Roman" w:hAnsi="Times New Roman" w:cs="Times New Roman"/>
                <w:sz w:val="24"/>
                <w:szCs w:val="24"/>
              </w:rPr>
              <w:t xml:space="preserve">В ноябре 2020 года начаты общестроительные работы, через год (в ноябре 2021 года) ООО «РТ-СоцСтрой» приступило к устройству инженерных систем. При этом по большинству видов работ по строительству </w:t>
            </w:r>
            <w:r w:rsidR="00394CA1" w:rsidRPr="00294FEB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Pr="00C910AE">
              <w:rPr>
                <w:rFonts w:ascii="Times New Roman" w:hAnsi="Times New Roman" w:cs="Times New Roman"/>
                <w:sz w:val="24"/>
                <w:szCs w:val="24"/>
              </w:rPr>
              <w:t>, предусмотренных графиком выполнения работ к Госконтракту, подрядчик к выполнению не приступил в установленные контрактом 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29154E" w:rsidRPr="00294FEB" w:rsidRDefault="0029154E" w:rsidP="008364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F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</w:t>
            </w:r>
            <w:r w:rsidR="00836462" w:rsidRPr="00294FEB">
              <w:rPr>
                <w:rFonts w:ascii="Times New Roman" w:hAnsi="Times New Roman" w:cs="Times New Roman"/>
                <w:i/>
                <w:sz w:val="24"/>
                <w:szCs w:val="24"/>
              </w:rPr>
              <w:t>эффективно</w:t>
            </w:r>
          </w:p>
        </w:tc>
      </w:tr>
      <w:tr w:rsidR="003443A0" w:rsidRPr="003443A0" w:rsidTr="003443A0">
        <w:trPr>
          <w:trHeight w:val="414"/>
          <w:jc w:val="center"/>
        </w:trPr>
        <w:tc>
          <w:tcPr>
            <w:tcW w:w="15021" w:type="dxa"/>
            <w:gridSpan w:val="3"/>
            <w:shd w:val="clear" w:color="auto" w:fill="DAEEF3" w:themeFill="accent5" w:themeFillTint="33"/>
            <w:vAlign w:val="center"/>
          </w:tcPr>
          <w:p w:rsidR="00723AC7" w:rsidRPr="003443A0" w:rsidRDefault="00723AC7" w:rsidP="007145FC">
            <w:pPr>
              <w:pStyle w:val="Default"/>
              <w:jc w:val="both"/>
              <w:rPr>
                <w:b/>
                <w:i/>
                <w:color w:val="auto"/>
              </w:rPr>
            </w:pPr>
            <w:r w:rsidRPr="003443A0">
              <w:rPr>
                <w:b/>
                <w:color w:val="auto"/>
              </w:rPr>
              <w:t xml:space="preserve">Вопрос 2. </w:t>
            </w:r>
            <w:r w:rsidR="003443A0" w:rsidRPr="003443A0">
              <w:rPr>
                <w:b/>
                <w:color w:val="auto"/>
              </w:rPr>
              <w:t>Оценить использование бюджетных средств, направленных на строительство Севастопольской больницы скорой медицинской помощи, включая экономность</w:t>
            </w:r>
            <w:r w:rsidRPr="003443A0">
              <w:rPr>
                <w:b/>
                <w:color w:val="auto"/>
              </w:rPr>
              <w:t>.</w:t>
            </w:r>
          </w:p>
        </w:tc>
      </w:tr>
      <w:tr w:rsidR="00B541EB" w:rsidRPr="00B541EB" w:rsidTr="00F85FCA">
        <w:trPr>
          <w:trHeight w:val="1680"/>
          <w:jc w:val="center"/>
        </w:trPr>
        <w:tc>
          <w:tcPr>
            <w:tcW w:w="3539" w:type="dxa"/>
            <w:vAlign w:val="center"/>
          </w:tcPr>
          <w:p w:rsidR="00D25FDA" w:rsidRPr="003443A0" w:rsidRDefault="003443A0" w:rsidP="0034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3A0">
              <w:rPr>
                <w:rFonts w:ascii="Times New Roman" w:hAnsi="Times New Roman" w:cs="Times New Roman"/>
                <w:sz w:val="24"/>
                <w:szCs w:val="24"/>
              </w:rPr>
              <w:t>Стоимость строительных работ и технологического оборудования не выше стоимости в утвержденной</w:t>
            </w:r>
            <w:r w:rsidR="00927180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проектно-сметной документации.</w:t>
            </w:r>
          </w:p>
        </w:tc>
        <w:tc>
          <w:tcPr>
            <w:tcW w:w="9497" w:type="dxa"/>
            <w:vAlign w:val="center"/>
          </w:tcPr>
          <w:p w:rsidR="009A0BAF" w:rsidRPr="00C300E0" w:rsidRDefault="00C300E0" w:rsidP="00927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3A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принятых по актам </w:t>
            </w:r>
            <w:r w:rsidRPr="00C300E0">
              <w:rPr>
                <w:rFonts w:ascii="Times New Roman" w:hAnsi="Times New Roman" w:cs="Times New Roman"/>
                <w:sz w:val="24"/>
                <w:szCs w:val="24"/>
              </w:rPr>
              <w:t>выполненных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форме № КС-2</w:t>
            </w:r>
            <w:r w:rsidR="00927180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дополнительных работ, непредусмотренных проектно-сметной документацией)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оплаченных </w:t>
            </w:r>
            <w:r w:rsidRPr="009011DB">
              <w:rPr>
                <w:rFonts w:ascii="Times New Roman" w:hAnsi="Times New Roman" w:cs="Times New Roman"/>
                <w:sz w:val="24"/>
                <w:szCs w:val="24"/>
              </w:rPr>
              <w:t>ГКУ «ЕДКС»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3A0">
              <w:rPr>
                <w:rFonts w:ascii="Times New Roman" w:hAnsi="Times New Roman" w:cs="Times New Roman"/>
                <w:sz w:val="24"/>
                <w:szCs w:val="24"/>
              </w:rPr>
              <w:t>строительн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о-монтажных</w:t>
            </w:r>
            <w:r w:rsidRPr="003443A0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  <w:r w:rsidR="00927180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Pr="003443A0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</w:t>
            </w:r>
            <w:r w:rsidR="00927180">
              <w:rPr>
                <w:rFonts w:ascii="Times New Roman" w:hAnsi="Times New Roman" w:cs="Times New Roman"/>
                <w:sz w:val="24"/>
                <w:szCs w:val="24"/>
              </w:rPr>
              <w:t xml:space="preserve">таких работ </w:t>
            </w:r>
            <w:r w:rsidRPr="003443A0">
              <w:rPr>
                <w:rFonts w:ascii="Times New Roman" w:hAnsi="Times New Roman" w:cs="Times New Roman"/>
                <w:sz w:val="24"/>
                <w:szCs w:val="24"/>
              </w:rPr>
              <w:t>в утвержденной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проектно-сметной документации.</w:t>
            </w:r>
          </w:p>
        </w:tc>
        <w:tc>
          <w:tcPr>
            <w:tcW w:w="1985" w:type="dxa"/>
            <w:vAlign w:val="center"/>
          </w:tcPr>
          <w:p w:rsidR="00D25FDA" w:rsidRPr="00B541EB" w:rsidRDefault="00C300E0" w:rsidP="009A13F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27180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r w:rsidR="00836462" w:rsidRPr="00927180">
              <w:rPr>
                <w:rFonts w:ascii="Times New Roman" w:hAnsi="Times New Roman" w:cs="Times New Roman"/>
                <w:i/>
                <w:sz w:val="24"/>
                <w:szCs w:val="24"/>
              </w:rPr>
              <w:t>ффективно</w:t>
            </w:r>
          </w:p>
        </w:tc>
      </w:tr>
      <w:tr w:rsidR="00B541EB" w:rsidRPr="00B541EB" w:rsidTr="00F85FCA">
        <w:trPr>
          <w:trHeight w:val="1658"/>
          <w:jc w:val="center"/>
        </w:trPr>
        <w:tc>
          <w:tcPr>
            <w:tcW w:w="3539" w:type="dxa"/>
            <w:vAlign w:val="center"/>
          </w:tcPr>
          <w:p w:rsidR="00956C22" w:rsidRPr="003443A0" w:rsidRDefault="003443A0" w:rsidP="0034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3A0">
              <w:rPr>
                <w:rFonts w:ascii="Times New Roman" w:hAnsi="Times New Roman" w:cs="Times New Roman"/>
                <w:sz w:val="24"/>
                <w:szCs w:val="24"/>
              </w:rPr>
              <w:t>Необходимость в дополнительных бюджетных средствах для достижения запланированных результатов по строительству Объекта отсутствует.</w:t>
            </w:r>
          </w:p>
        </w:tc>
        <w:tc>
          <w:tcPr>
            <w:tcW w:w="9497" w:type="dxa"/>
            <w:vAlign w:val="center"/>
          </w:tcPr>
          <w:p w:rsidR="00C910AE" w:rsidRPr="00C910AE" w:rsidRDefault="00C910AE" w:rsidP="00C91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910AE">
              <w:rPr>
                <w:rFonts w:ascii="Times New Roman" w:hAnsi="Times New Roman" w:cs="Times New Roman"/>
                <w:sz w:val="24"/>
                <w:szCs w:val="24"/>
              </w:rPr>
              <w:t>ополнительным соглашением от 9 июля 2024 г. № 21 к Контракту № 2-СМР/2020 из сметы фактически исключены работы по устройству сети связи на общую сумму 744,8 млн рублей.</w:t>
            </w:r>
          </w:p>
          <w:p w:rsidR="009011DB" w:rsidRDefault="00C910AE" w:rsidP="00C91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0AE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исключение из сметы контракта работ по устройству сети связи не позволит выполнить работы по строительству Севастопольской </w:t>
            </w:r>
            <w:r w:rsidR="00394CA1">
              <w:rPr>
                <w:rFonts w:ascii="Times New Roman" w:hAnsi="Times New Roman" w:cs="Times New Roman"/>
                <w:sz w:val="24"/>
                <w:szCs w:val="24"/>
              </w:rPr>
              <w:t>больницы</w:t>
            </w:r>
            <w:r w:rsidRPr="00C910A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проектной и рабочей документацией по цене, предусмотренной Контрактом № 2-</w:t>
            </w:r>
            <w:r w:rsidRPr="00C910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СМР/2020, и потребует дополнительных расходов за счет бюджетных средств на указанную сумму.</w:t>
            </w:r>
          </w:p>
          <w:p w:rsidR="00C910AE" w:rsidRPr="00B541EB" w:rsidRDefault="00C910AE" w:rsidP="00070D0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10AE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январе 2025 года Минстроем России проведено совещание по вопросу реализации Объекта, </w:t>
            </w:r>
            <w:r w:rsidR="000B673F" w:rsidRPr="000B673F">
              <w:rPr>
                <w:rFonts w:ascii="Times New Roman" w:hAnsi="Times New Roman" w:cs="Times New Roman"/>
                <w:sz w:val="24"/>
                <w:szCs w:val="24"/>
              </w:rPr>
              <w:t xml:space="preserve">на котором Губернатор города Севастополя выступил с предложением о необходимости увеличить сметную стоимость строительства Объекта на 7,5 млрд рублей (рост на 59,5 % от текущей стоимости Объекта), что составит </w:t>
            </w:r>
            <w:r w:rsidR="00070D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673F" w:rsidRPr="000B67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0D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73F" w:rsidRPr="000B673F">
              <w:rPr>
                <w:rFonts w:ascii="Times New Roman" w:hAnsi="Times New Roman" w:cs="Times New Roman"/>
                <w:sz w:val="24"/>
                <w:szCs w:val="24"/>
              </w:rPr>
              <w:t xml:space="preserve"> млрд рублей. В настоящее время вопрос о подтверждении увеличения сметной стоимости Объекта п</w:t>
            </w:r>
            <w:r w:rsidR="000B673F">
              <w:rPr>
                <w:rFonts w:ascii="Times New Roman" w:hAnsi="Times New Roman" w:cs="Times New Roman"/>
                <w:sz w:val="24"/>
                <w:szCs w:val="24"/>
              </w:rPr>
              <w:t>рорабатывается Минстроем России</w:t>
            </w:r>
            <w:r w:rsidRPr="00C91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956C22" w:rsidRPr="00B541EB" w:rsidRDefault="00836462" w:rsidP="001161C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011D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Не эффективно</w:t>
            </w:r>
          </w:p>
        </w:tc>
      </w:tr>
      <w:tr w:rsidR="00B541EB" w:rsidRPr="00B541EB" w:rsidTr="00F85FCA">
        <w:trPr>
          <w:trHeight w:val="1476"/>
          <w:jc w:val="center"/>
        </w:trPr>
        <w:tc>
          <w:tcPr>
            <w:tcW w:w="3539" w:type="dxa"/>
            <w:vAlign w:val="center"/>
          </w:tcPr>
          <w:p w:rsidR="00CA3AB6" w:rsidRPr="003443A0" w:rsidRDefault="003443A0" w:rsidP="0034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Отсутствовали факты увеличения стоимости строительно-монтажных работ без улучшения характеристик Объекта.</w:t>
            </w:r>
          </w:p>
        </w:tc>
        <w:tc>
          <w:tcPr>
            <w:tcW w:w="9497" w:type="dxa"/>
            <w:vAlign w:val="center"/>
          </w:tcPr>
          <w:p w:rsidR="00115E93" w:rsidRDefault="008902E6" w:rsidP="00C91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E6">
              <w:rPr>
                <w:rFonts w:ascii="Times New Roman" w:hAnsi="Times New Roman" w:cs="Times New Roman"/>
                <w:sz w:val="24"/>
                <w:szCs w:val="24"/>
              </w:rPr>
              <w:t>Дополнительным соглашением от 7 марта 2023 г. № 16 к Контракту № 2-СМР/2020 в смету Контракта № 2-СМР/2020 включены дополнительные работы по утилизации отходов (утилизация грунта, образованного при выполнении земляных работ и работ по устройству фундаментной плиты) в объеме 205 534,5 тонны (пункт 13235.5 сметы Контракта № 2-СМР/2020)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Цена составила 500,0 рублей за 1 тонну.</w:t>
            </w:r>
          </w:p>
          <w:p w:rsidR="008902E6" w:rsidRDefault="008902E6" w:rsidP="0089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E6">
              <w:rPr>
                <w:rFonts w:ascii="Times New Roman" w:hAnsi="Times New Roman" w:cs="Times New Roman"/>
                <w:sz w:val="24"/>
                <w:szCs w:val="24"/>
              </w:rPr>
              <w:t>Дополнительным соглашением от 11 сентября 2023 г. № 18 к Контракту № 2-СМР/2020 стоимость таких дополнительных работ по утилизации отходов претерпела изменение в части применения коэффициента корректировки цены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ракта и составила 808,1 рублей </w:t>
            </w:r>
            <w:r w:rsidRPr="008902E6">
              <w:rPr>
                <w:rFonts w:ascii="Times New Roman" w:hAnsi="Times New Roman" w:cs="Times New Roman"/>
                <w:sz w:val="24"/>
                <w:szCs w:val="24"/>
              </w:rPr>
              <w:t>за 1 тонну.</w:t>
            </w:r>
          </w:p>
          <w:p w:rsidR="008902E6" w:rsidRPr="00115E93" w:rsidRDefault="008902E6" w:rsidP="00890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коэффициент</w:t>
            </w:r>
            <w:r w:rsidRPr="008902E6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корректировки цены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ракта не применяется к дополнительным работам, в результате чего, произошло неправомерное </w:t>
            </w:r>
            <w:r w:rsidRPr="008902E6">
              <w:rPr>
                <w:rFonts w:ascii="Times New Roman" w:hAnsi="Times New Roman" w:cs="Times New Roman"/>
                <w:sz w:val="24"/>
                <w:szCs w:val="24"/>
              </w:rPr>
              <w:t>увеличени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02E6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строительно-монтажных работ без улучшения характеристик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CA3AB6" w:rsidRPr="00115E93" w:rsidRDefault="00836462" w:rsidP="00FD4E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5E93">
              <w:rPr>
                <w:rFonts w:ascii="Times New Roman" w:hAnsi="Times New Roman" w:cs="Times New Roman"/>
                <w:i/>
                <w:sz w:val="24"/>
                <w:szCs w:val="24"/>
              </w:rPr>
              <w:t>Не эффективно</w:t>
            </w:r>
          </w:p>
        </w:tc>
      </w:tr>
      <w:tr w:rsidR="003443A0" w:rsidRPr="00B541EB" w:rsidTr="00F85FCA">
        <w:trPr>
          <w:trHeight w:val="864"/>
          <w:jc w:val="center"/>
        </w:trPr>
        <w:tc>
          <w:tcPr>
            <w:tcW w:w="3539" w:type="dxa"/>
            <w:vAlign w:val="center"/>
          </w:tcPr>
          <w:p w:rsidR="00CA3AB6" w:rsidRPr="00E97C41" w:rsidRDefault="003443A0" w:rsidP="0034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41">
              <w:rPr>
                <w:rFonts w:ascii="Times New Roman" w:hAnsi="Times New Roman" w:cs="Times New Roman"/>
                <w:sz w:val="24"/>
                <w:szCs w:val="24"/>
              </w:rPr>
              <w:t>Средства на строительство Объекта использованы в полном объеме (за исключением экономии от проведения закупочных процедур).</w:t>
            </w:r>
          </w:p>
        </w:tc>
        <w:tc>
          <w:tcPr>
            <w:tcW w:w="9497" w:type="dxa"/>
            <w:vAlign w:val="center"/>
          </w:tcPr>
          <w:p w:rsidR="00CA3AB6" w:rsidRDefault="00E97C41" w:rsidP="00E97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41">
              <w:rPr>
                <w:rFonts w:ascii="Times New Roman" w:hAnsi="Times New Roman" w:cs="Times New Roman"/>
                <w:sz w:val="24"/>
                <w:szCs w:val="24"/>
              </w:rPr>
              <w:t>По состоянию на 12 февраля 2024 года Объект в эксплуатацию не введен, утвержденный срок завершения строительства Объекта (</w:t>
            </w:r>
            <w:r w:rsidR="00C02377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  <w:r w:rsidR="00C02377" w:rsidRPr="00C02377">
              <w:rPr>
                <w:rFonts w:ascii="Times New Roman" w:hAnsi="Times New Roman" w:cs="Times New Roman"/>
                <w:sz w:val="24"/>
                <w:szCs w:val="24"/>
              </w:rPr>
              <w:t xml:space="preserve"> 2026 года</w:t>
            </w:r>
            <w:r w:rsidRPr="00E97C41">
              <w:rPr>
                <w:rFonts w:ascii="Times New Roman" w:hAnsi="Times New Roman" w:cs="Times New Roman"/>
                <w:sz w:val="24"/>
                <w:szCs w:val="24"/>
              </w:rPr>
              <w:t>) не наступил, в связи с чем средства на строительство Объекта использованы не в полном объеме.</w:t>
            </w:r>
          </w:p>
          <w:p w:rsidR="009A3542" w:rsidRPr="00E97C41" w:rsidRDefault="009A3542" w:rsidP="009A3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отмечается, что р</w:t>
            </w:r>
            <w:r w:rsidRPr="009A3542">
              <w:rPr>
                <w:rFonts w:ascii="Times New Roman" w:hAnsi="Times New Roman" w:cs="Times New Roman"/>
                <w:sz w:val="24"/>
                <w:szCs w:val="24"/>
              </w:rPr>
              <w:t>азмер неотработанного аванса ООО «РТ-СоцСтрой», полученного от ГКУ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«ЕДКС», составляет 3 505,8 млн</w:t>
            </w:r>
            <w:r w:rsidRPr="009A354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985" w:type="dxa"/>
            <w:vAlign w:val="center"/>
          </w:tcPr>
          <w:p w:rsidR="00CA3AB6" w:rsidRPr="00E97C41" w:rsidRDefault="00836462" w:rsidP="00E97C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7C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</w:t>
            </w:r>
            <w:r w:rsidR="00E97C41" w:rsidRPr="00E97C41">
              <w:rPr>
                <w:rFonts w:ascii="Times New Roman" w:hAnsi="Times New Roman" w:cs="Times New Roman"/>
                <w:i/>
                <w:sz w:val="24"/>
                <w:szCs w:val="24"/>
              </w:rPr>
              <w:t>оценивалось</w:t>
            </w:r>
          </w:p>
        </w:tc>
      </w:tr>
      <w:tr w:rsidR="003443A0" w:rsidRPr="00B541EB" w:rsidTr="00F85FCA">
        <w:trPr>
          <w:trHeight w:val="1414"/>
          <w:jc w:val="center"/>
        </w:trPr>
        <w:tc>
          <w:tcPr>
            <w:tcW w:w="3539" w:type="dxa"/>
            <w:vAlign w:val="center"/>
          </w:tcPr>
          <w:p w:rsidR="003443A0" w:rsidRPr="003443A0" w:rsidRDefault="003443A0" w:rsidP="00CA3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3A0">
              <w:rPr>
                <w:rFonts w:ascii="Times New Roman" w:hAnsi="Times New Roman" w:cs="Times New Roman"/>
                <w:sz w:val="24"/>
                <w:szCs w:val="24"/>
              </w:rPr>
              <w:t>Стоимость товаров, работ, услуг, закупленных в целях создания Объекта, не превышает среднерыночные цены (в сопоставимых условиях).</w:t>
            </w:r>
          </w:p>
        </w:tc>
        <w:tc>
          <w:tcPr>
            <w:tcW w:w="9497" w:type="dxa"/>
            <w:vAlign w:val="center"/>
          </w:tcPr>
          <w:p w:rsidR="00AF0DF7" w:rsidRPr="00AF0DF7" w:rsidRDefault="00836462" w:rsidP="00AF0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F7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показал завышение стоимости включенного в проектно-сметную документацию оборудования по </w:t>
            </w:r>
            <w:r w:rsidR="00AF0DF7" w:rsidRPr="00AF0DF7">
              <w:rPr>
                <w:rFonts w:ascii="Times New Roman" w:hAnsi="Times New Roman" w:cs="Times New Roman"/>
                <w:sz w:val="24"/>
                <w:szCs w:val="24"/>
              </w:rPr>
              <w:t xml:space="preserve">шести позициям (общей стоимостью 55 301,5 тыс. рублей) по сравнению со стоимостью, определенной конъюнктурным анализом. </w:t>
            </w:r>
          </w:p>
          <w:p w:rsidR="00AF0DF7" w:rsidRPr="00AF0DF7" w:rsidRDefault="00AF0DF7" w:rsidP="00AF0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DF7">
              <w:rPr>
                <w:rFonts w:ascii="Times New Roman" w:hAnsi="Times New Roman" w:cs="Times New Roman"/>
                <w:sz w:val="24"/>
                <w:szCs w:val="24"/>
              </w:rPr>
              <w:t>Завышение стоимости включенного в проектно-сметную документацию оборудования по вышеуказанным позициям составило 12 130,3 тыс. рублей, или 21,9 % от общей его стоимости (55 301,5 тыс. рублей).</w:t>
            </w:r>
          </w:p>
          <w:p w:rsidR="003443A0" w:rsidRPr="00B541EB" w:rsidRDefault="00AF0DF7" w:rsidP="00C0237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закупка указанного оборудования не производилась, в связи с чем оценка по данному критерию не проводилась.</w:t>
            </w:r>
          </w:p>
        </w:tc>
        <w:tc>
          <w:tcPr>
            <w:tcW w:w="1985" w:type="dxa"/>
            <w:vAlign w:val="center"/>
          </w:tcPr>
          <w:p w:rsidR="003443A0" w:rsidRPr="00B541EB" w:rsidRDefault="00AF0DF7" w:rsidP="0083646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97C41">
              <w:rPr>
                <w:rFonts w:ascii="Times New Roman" w:hAnsi="Times New Roman" w:cs="Times New Roman"/>
                <w:i/>
                <w:sz w:val="24"/>
                <w:szCs w:val="24"/>
              </w:rPr>
              <w:t>Не оценивалось</w:t>
            </w:r>
          </w:p>
        </w:tc>
      </w:tr>
    </w:tbl>
    <w:p w:rsidR="0029154E" w:rsidRPr="00B541EB" w:rsidRDefault="0029154E" w:rsidP="0029154E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29154E" w:rsidRPr="00C02377" w:rsidRDefault="0029154E" w:rsidP="00291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377">
        <w:rPr>
          <w:rFonts w:ascii="Times New Roman" w:hAnsi="Times New Roman" w:cs="Times New Roman"/>
          <w:sz w:val="28"/>
          <w:szCs w:val="28"/>
        </w:rPr>
        <w:t xml:space="preserve">Таким образом, из </w:t>
      </w:r>
      <w:r w:rsidR="00F85FCA" w:rsidRPr="00C02377">
        <w:rPr>
          <w:rFonts w:ascii="Times New Roman" w:hAnsi="Times New Roman" w:cs="Times New Roman"/>
          <w:sz w:val="28"/>
          <w:szCs w:val="28"/>
        </w:rPr>
        <w:t>6</w:t>
      </w:r>
      <w:r w:rsidRPr="00C02377">
        <w:rPr>
          <w:rFonts w:ascii="Times New Roman" w:hAnsi="Times New Roman" w:cs="Times New Roman"/>
          <w:sz w:val="28"/>
          <w:szCs w:val="28"/>
        </w:rPr>
        <w:t xml:space="preserve"> установленных критериев эффективности:</w:t>
      </w:r>
    </w:p>
    <w:p w:rsidR="006A0E83" w:rsidRPr="00C02377" w:rsidRDefault="006A0E83" w:rsidP="006A0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377">
        <w:rPr>
          <w:rFonts w:ascii="Times New Roman" w:hAnsi="Times New Roman" w:cs="Times New Roman"/>
          <w:sz w:val="28"/>
          <w:szCs w:val="28"/>
        </w:rPr>
        <w:t xml:space="preserve">по </w:t>
      </w:r>
      <w:r w:rsidR="00F85FCA" w:rsidRPr="00C02377">
        <w:rPr>
          <w:rFonts w:ascii="Times New Roman" w:hAnsi="Times New Roman" w:cs="Times New Roman"/>
          <w:sz w:val="28"/>
          <w:szCs w:val="28"/>
        </w:rPr>
        <w:t>3</w:t>
      </w:r>
      <w:r w:rsidRPr="00C02377">
        <w:rPr>
          <w:rFonts w:ascii="Times New Roman" w:hAnsi="Times New Roman" w:cs="Times New Roman"/>
          <w:sz w:val="28"/>
          <w:szCs w:val="28"/>
        </w:rPr>
        <w:t xml:space="preserve"> критериям (</w:t>
      </w:r>
      <w:r w:rsidR="00F85FCA" w:rsidRPr="00C02377">
        <w:rPr>
          <w:rFonts w:ascii="Times New Roman" w:hAnsi="Times New Roman" w:cs="Times New Roman"/>
          <w:sz w:val="28"/>
          <w:szCs w:val="28"/>
        </w:rPr>
        <w:t>50</w:t>
      </w:r>
      <w:r w:rsidRPr="00C02377">
        <w:rPr>
          <w:rFonts w:ascii="Times New Roman" w:hAnsi="Times New Roman" w:cs="Times New Roman"/>
          <w:sz w:val="28"/>
          <w:szCs w:val="28"/>
        </w:rPr>
        <w:t xml:space="preserve"> %) – оценка «</w:t>
      </w:r>
      <w:r w:rsidR="00F85FCA" w:rsidRPr="00C02377">
        <w:rPr>
          <w:rFonts w:ascii="Times New Roman" w:hAnsi="Times New Roman" w:cs="Times New Roman"/>
          <w:sz w:val="28"/>
          <w:szCs w:val="28"/>
        </w:rPr>
        <w:t>Не эффективно</w:t>
      </w:r>
      <w:r w:rsidRPr="00C02377">
        <w:rPr>
          <w:rFonts w:ascii="Times New Roman" w:hAnsi="Times New Roman" w:cs="Times New Roman"/>
          <w:sz w:val="28"/>
          <w:szCs w:val="28"/>
        </w:rPr>
        <w:t>»;</w:t>
      </w:r>
    </w:p>
    <w:p w:rsidR="0029154E" w:rsidRPr="00C02377" w:rsidRDefault="0029154E" w:rsidP="00291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377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F85FCA" w:rsidRPr="00C02377">
        <w:rPr>
          <w:rFonts w:ascii="Times New Roman" w:hAnsi="Times New Roman" w:cs="Times New Roman"/>
          <w:sz w:val="28"/>
          <w:szCs w:val="28"/>
        </w:rPr>
        <w:t>1</w:t>
      </w:r>
      <w:r w:rsidRPr="00C02377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F85FCA" w:rsidRPr="00C02377">
        <w:rPr>
          <w:rFonts w:ascii="Times New Roman" w:hAnsi="Times New Roman" w:cs="Times New Roman"/>
          <w:sz w:val="28"/>
          <w:szCs w:val="28"/>
        </w:rPr>
        <w:t>ю</w:t>
      </w:r>
      <w:r w:rsidRPr="00C02377">
        <w:rPr>
          <w:rFonts w:ascii="Times New Roman" w:hAnsi="Times New Roman" w:cs="Times New Roman"/>
          <w:sz w:val="28"/>
          <w:szCs w:val="28"/>
        </w:rPr>
        <w:t xml:space="preserve"> (</w:t>
      </w:r>
      <w:r w:rsidR="00F85FCA" w:rsidRPr="00C02377">
        <w:rPr>
          <w:rFonts w:ascii="Times New Roman" w:hAnsi="Times New Roman" w:cs="Times New Roman"/>
          <w:sz w:val="28"/>
          <w:szCs w:val="28"/>
        </w:rPr>
        <w:t>16,7 %) – оценка «Эффективно</w:t>
      </w:r>
      <w:r w:rsidRPr="00C02377">
        <w:rPr>
          <w:rFonts w:ascii="Times New Roman" w:hAnsi="Times New Roman" w:cs="Times New Roman"/>
          <w:sz w:val="28"/>
          <w:szCs w:val="28"/>
        </w:rPr>
        <w:t>»;</w:t>
      </w:r>
    </w:p>
    <w:p w:rsidR="0029154E" w:rsidRPr="00C02377" w:rsidRDefault="0029154E" w:rsidP="002915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377">
        <w:rPr>
          <w:rFonts w:ascii="Times New Roman" w:hAnsi="Times New Roman" w:cs="Times New Roman"/>
          <w:sz w:val="28"/>
          <w:szCs w:val="28"/>
        </w:rPr>
        <w:t xml:space="preserve">по </w:t>
      </w:r>
      <w:r w:rsidR="00F85FCA" w:rsidRPr="00C02377">
        <w:rPr>
          <w:rFonts w:ascii="Times New Roman" w:hAnsi="Times New Roman" w:cs="Times New Roman"/>
          <w:sz w:val="28"/>
          <w:szCs w:val="28"/>
        </w:rPr>
        <w:t>2</w:t>
      </w:r>
      <w:r w:rsidRPr="00C02377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F85FCA" w:rsidRPr="00C02377">
        <w:rPr>
          <w:rFonts w:ascii="Times New Roman" w:hAnsi="Times New Roman" w:cs="Times New Roman"/>
          <w:sz w:val="28"/>
          <w:szCs w:val="28"/>
        </w:rPr>
        <w:t>ям</w:t>
      </w:r>
      <w:r w:rsidRPr="00C02377">
        <w:rPr>
          <w:rFonts w:ascii="Times New Roman" w:hAnsi="Times New Roman" w:cs="Times New Roman"/>
          <w:sz w:val="28"/>
          <w:szCs w:val="28"/>
        </w:rPr>
        <w:t xml:space="preserve"> (</w:t>
      </w:r>
      <w:r w:rsidR="00F85FCA" w:rsidRPr="00C02377">
        <w:rPr>
          <w:rFonts w:ascii="Times New Roman" w:hAnsi="Times New Roman" w:cs="Times New Roman"/>
          <w:sz w:val="28"/>
          <w:szCs w:val="28"/>
        </w:rPr>
        <w:t>33</w:t>
      </w:r>
      <w:r w:rsidR="00FD4E97" w:rsidRPr="00C02377">
        <w:rPr>
          <w:rFonts w:ascii="Times New Roman" w:hAnsi="Times New Roman" w:cs="Times New Roman"/>
          <w:sz w:val="28"/>
          <w:szCs w:val="28"/>
        </w:rPr>
        <w:t>,</w:t>
      </w:r>
      <w:r w:rsidR="00F85FCA" w:rsidRPr="00C02377">
        <w:rPr>
          <w:rFonts w:ascii="Times New Roman" w:hAnsi="Times New Roman" w:cs="Times New Roman"/>
          <w:sz w:val="28"/>
          <w:szCs w:val="28"/>
        </w:rPr>
        <w:t>3</w:t>
      </w:r>
      <w:r w:rsidRPr="00C02377">
        <w:rPr>
          <w:rFonts w:ascii="Times New Roman" w:hAnsi="Times New Roman" w:cs="Times New Roman"/>
          <w:sz w:val="28"/>
          <w:szCs w:val="28"/>
        </w:rPr>
        <w:t> %) – оценка не проводилась.</w:t>
      </w:r>
    </w:p>
    <w:p w:rsidR="0029154E" w:rsidRPr="00C02377" w:rsidRDefault="0029154E" w:rsidP="00C02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377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 w:rsidR="005402B5" w:rsidRPr="00C02377">
        <w:rPr>
          <w:rFonts w:ascii="Times New Roman" w:hAnsi="Times New Roman" w:cs="Times New Roman"/>
          <w:sz w:val="28"/>
          <w:szCs w:val="28"/>
        </w:rPr>
        <w:t>по половине критериев дана оценка «</w:t>
      </w:r>
      <w:r w:rsidR="00F85FCA" w:rsidRPr="00C02377">
        <w:rPr>
          <w:rFonts w:ascii="Times New Roman" w:hAnsi="Times New Roman" w:cs="Times New Roman"/>
          <w:sz w:val="28"/>
          <w:szCs w:val="28"/>
        </w:rPr>
        <w:t>Не эффективно</w:t>
      </w:r>
      <w:r w:rsidR="005402B5" w:rsidRPr="00C02377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4E0311" w:rsidRPr="00C02377">
        <w:rPr>
          <w:rFonts w:ascii="Times New Roman" w:hAnsi="Times New Roman" w:cs="Times New Roman"/>
          <w:sz w:val="28"/>
          <w:szCs w:val="28"/>
        </w:rPr>
        <w:t xml:space="preserve">принимая во внимание то, что </w:t>
      </w:r>
      <w:r w:rsidR="005402B5" w:rsidRPr="00C02377">
        <w:rPr>
          <w:rFonts w:ascii="Times New Roman" w:hAnsi="Times New Roman" w:cs="Times New Roman"/>
          <w:sz w:val="28"/>
          <w:szCs w:val="28"/>
        </w:rPr>
        <w:t>сроки строительств</w:t>
      </w:r>
      <w:r w:rsidR="004E0311" w:rsidRPr="00C02377">
        <w:rPr>
          <w:rFonts w:ascii="Times New Roman" w:hAnsi="Times New Roman" w:cs="Times New Roman"/>
          <w:sz w:val="28"/>
          <w:szCs w:val="28"/>
        </w:rPr>
        <w:t>а</w:t>
      </w:r>
      <w:r w:rsidR="005402B5" w:rsidRPr="00C0237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394CA1" w:rsidRPr="00C02377">
        <w:rPr>
          <w:rFonts w:ascii="Times New Roman" w:hAnsi="Times New Roman" w:cs="Times New Roman"/>
          <w:sz w:val="28"/>
          <w:szCs w:val="28"/>
        </w:rPr>
        <w:t>а</w:t>
      </w:r>
      <w:r w:rsidR="005402B5" w:rsidRPr="00C02377">
        <w:rPr>
          <w:rFonts w:ascii="Times New Roman" w:hAnsi="Times New Roman" w:cs="Times New Roman"/>
          <w:sz w:val="28"/>
          <w:szCs w:val="28"/>
        </w:rPr>
        <w:t xml:space="preserve"> неоднократно изменялись, увеличилась </w:t>
      </w:r>
      <w:r w:rsidR="004E0311" w:rsidRPr="00C02377">
        <w:rPr>
          <w:rFonts w:ascii="Times New Roman" w:hAnsi="Times New Roman" w:cs="Times New Roman"/>
          <w:sz w:val="28"/>
          <w:szCs w:val="28"/>
        </w:rPr>
        <w:t xml:space="preserve">его </w:t>
      </w:r>
      <w:r w:rsidR="005402B5" w:rsidRPr="00C02377">
        <w:rPr>
          <w:rFonts w:ascii="Times New Roman" w:hAnsi="Times New Roman" w:cs="Times New Roman"/>
          <w:sz w:val="28"/>
          <w:szCs w:val="28"/>
        </w:rPr>
        <w:t>стоимость</w:t>
      </w:r>
      <w:r w:rsidR="004E0311" w:rsidRPr="00C02377">
        <w:rPr>
          <w:rFonts w:ascii="Times New Roman" w:hAnsi="Times New Roman" w:cs="Times New Roman"/>
          <w:sz w:val="28"/>
          <w:szCs w:val="28"/>
        </w:rPr>
        <w:t xml:space="preserve"> </w:t>
      </w:r>
      <w:r w:rsidR="005402B5" w:rsidRPr="00C02377">
        <w:rPr>
          <w:rFonts w:ascii="Times New Roman" w:hAnsi="Times New Roman" w:cs="Times New Roman"/>
          <w:sz w:val="28"/>
          <w:szCs w:val="28"/>
        </w:rPr>
        <w:t>в 1,</w:t>
      </w:r>
      <w:r w:rsidR="00F85FCA" w:rsidRPr="00C02377">
        <w:rPr>
          <w:rFonts w:ascii="Times New Roman" w:hAnsi="Times New Roman" w:cs="Times New Roman"/>
          <w:sz w:val="28"/>
          <w:szCs w:val="28"/>
        </w:rPr>
        <w:t>7</w:t>
      </w:r>
      <w:r w:rsidR="005402B5" w:rsidRPr="00C02377">
        <w:rPr>
          <w:rFonts w:ascii="Times New Roman" w:hAnsi="Times New Roman" w:cs="Times New Roman"/>
          <w:sz w:val="28"/>
          <w:szCs w:val="28"/>
        </w:rPr>
        <w:t xml:space="preserve"> раза, </w:t>
      </w:r>
      <w:r w:rsidR="00F85FCA" w:rsidRPr="00C02377">
        <w:rPr>
          <w:rFonts w:ascii="Times New Roman" w:hAnsi="Times New Roman" w:cs="Times New Roman"/>
          <w:sz w:val="28"/>
          <w:szCs w:val="28"/>
        </w:rPr>
        <w:t xml:space="preserve">ГКУ «ЕДКС» </w:t>
      </w:r>
      <w:r w:rsidR="004E0311" w:rsidRPr="00C02377">
        <w:rPr>
          <w:rFonts w:ascii="Times New Roman" w:hAnsi="Times New Roman" w:cs="Times New Roman"/>
          <w:sz w:val="28"/>
          <w:szCs w:val="28"/>
        </w:rPr>
        <w:t xml:space="preserve">осуществлялась приемка и оплата </w:t>
      </w:r>
      <w:r w:rsidR="00F85FCA" w:rsidRPr="00C02377">
        <w:rPr>
          <w:rFonts w:ascii="Times New Roman" w:hAnsi="Times New Roman" w:cs="Times New Roman"/>
          <w:sz w:val="28"/>
          <w:szCs w:val="28"/>
        </w:rPr>
        <w:t>работ по завышенной стоимости</w:t>
      </w:r>
      <w:r w:rsidR="004E0311" w:rsidRPr="00C02377">
        <w:rPr>
          <w:rFonts w:ascii="Times New Roman" w:hAnsi="Times New Roman" w:cs="Times New Roman"/>
          <w:sz w:val="28"/>
          <w:szCs w:val="28"/>
        </w:rPr>
        <w:t>,</w:t>
      </w:r>
      <w:r w:rsidR="005402B5" w:rsidRPr="00C02377">
        <w:rPr>
          <w:rFonts w:ascii="Times New Roman" w:hAnsi="Times New Roman" w:cs="Times New Roman"/>
          <w:sz w:val="28"/>
          <w:szCs w:val="28"/>
        </w:rPr>
        <w:t xml:space="preserve"> </w:t>
      </w:r>
      <w:r w:rsidRPr="00C02377">
        <w:rPr>
          <w:rFonts w:ascii="Times New Roman" w:hAnsi="Times New Roman" w:cs="Times New Roman"/>
          <w:sz w:val="28"/>
          <w:szCs w:val="28"/>
        </w:rPr>
        <w:t xml:space="preserve">общая оценка эффективности </w:t>
      </w:r>
      <w:r w:rsidR="00F85FCA" w:rsidRPr="00C02377">
        <w:rPr>
          <w:rFonts w:ascii="Times New Roman" w:hAnsi="Times New Roman" w:cs="Times New Roman"/>
          <w:sz w:val="28"/>
          <w:szCs w:val="28"/>
        </w:rPr>
        <w:t>строительства Объекта</w:t>
      </w:r>
      <w:r w:rsidRPr="00C02377">
        <w:rPr>
          <w:rFonts w:ascii="Times New Roman" w:hAnsi="Times New Roman" w:cs="Times New Roman"/>
          <w:sz w:val="28"/>
          <w:szCs w:val="28"/>
        </w:rPr>
        <w:t xml:space="preserve"> – «</w:t>
      </w:r>
      <w:r w:rsidR="000200AA" w:rsidRPr="00C02377">
        <w:rPr>
          <w:rFonts w:ascii="Times New Roman" w:hAnsi="Times New Roman" w:cs="Times New Roman"/>
          <w:sz w:val="28"/>
          <w:szCs w:val="28"/>
        </w:rPr>
        <w:t>н</w:t>
      </w:r>
      <w:r w:rsidR="00F2621D" w:rsidRPr="00C02377">
        <w:rPr>
          <w:rFonts w:ascii="Times New Roman" w:hAnsi="Times New Roman" w:cs="Times New Roman"/>
          <w:sz w:val="28"/>
          <w:szCs w:val="28"/>
        </w:rPr>
        <w:t>изкая</w:t>
      </w:r>
      <w:r w:rsidRPr="00C02377">
        <w:rPr>
          <w:rFonts w:ascii="Times New Roman" w:hAnsi="Times New Roman" w:cs="Times New Roman"/>
          <w:sz w:val="28"/>
          <w:szCs w:val="28"/>
        </w:rPr>
        <w:t>».</w:t>
      </w:r>
    </w:p>
    <w:p w:rsidR="00B541EB" w:rsidRDefault="00B541EB" w:rsidP="00B541EB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</w:rPr>
      </w:pPr>
    </w:p>
    <w:p w:rsidR="00B541EB" w:rsidRPr="00B541EB" w:rsidRDefault="00B541EB" w:rsidP="00B541E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1EB">
        <w:rPr>
          <w:rFonts w:ascii="Times New Roman" w:hAnsi="Times New Roman" w:cs="Times New Roman"/>
          <w:b/>
          <w:sz w:val="28"/>
          <w:szCs w:val="28"/>
        </w:rPr>
        <w:t>2. Аудит соответствия</w:t>
      </w:r>
    </w:p>
    <w:tbl>
      <w:tblPr>
        <w:tblStyle w:val="a3"/>
        <w:tblW w:w="14622" w:type="dxa"/>
        <w:tblInd w:w="-5" w:type="dxa"/>
        <w:tblLook w:val="04A0" w:firstRow="1" w:lastRow="0" w:firstColumn="1" w:lastColumn="0" w:noHBand="0" w:noVBand="1"/>
      </w:tblPr>
      <w:tblGrid>
        <w:gridCol w:w="6403"/>
        <w:gridCol w:w="6257"/>
        <w:gridCol w:w="1944"/>
        <w:gridCol w:w="18"/>
      </w:tblGrid>
      <w:tr w:rsidR="00B541EB" w:rsidRPr="00B541EB" w:rsidTr="00836462">
        <w:trPr>
          <w:gridAfter w:val="1"/>
          <w:wAfter w:w="18" w:type="dxa"/>
          <w:trHeight w:val="485"/>
        </w:trPr>
        <w:tc>
          <w:tcPr>
            <w:tcW w:w="6430" w:type="dxa"/>
            <w:shd w:val="clear" w:color="auto" w:fill="FFFFFF" w:themeFill="background1"/>
            <w:vAlign w:val="center"/>
          </w:tcPr>
          <w:p w:rsidR="00B541EB" w:rsidRPr="003443A0" w:rsidRDefault="003443A0" w:rsidP="00095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контрольного мероприятия по аудиту соответствия</w:t>
            </w:r>
          </w:p>
        </w:tc>
        <w:tc>
          <w:tcPr>
            <w:tcW w:w="6283" w:type="dxa"/>
            <w:shd w:val="clear" w:color="auto" w:fill="FFFFFF" w:themeFill="background1"/>
            <w:vAlign w:val="center"/>
          </w:tcPr>
          <w:p w:rsidR="00B541EB" w:rsidRPr="003443A0" w:rsidRDefault="00B541EB" w:rsidP="00095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проверки 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B541EB" w:rsidRPr="003443A0" w:rsidRDefault="00B541EB" w:rsidP="00095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B541EB" w:rsidRPr="00B541EB" w:rsidTr="000954E4">
        <w:trPr>
          <w:trHeight w:val="1400"/>
        </w:trPr>
        <w:tc>
          <w:tcPr>
            <w:tcW w:w="14622" w:type="dxa"/>
            <w:gridSpan w:val="4"/>
            <w:shd w:val="clear" w:color="auto" w:fill="DAEEF3" w:themeFill="accent5" w:themeFillTint="33"/>
            <w:vAlign w:val="center"/>
          </w:tcPr>
          <w:p w:rsidR="00B541EB" w:rsidRPr="00B541EB" w:rsidRDefault="00B541EB" w:rsidP="003443A0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44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 </w:t>
            </w:r>
            <w:r w:rsidR="003443A0" w:rsidRPr="00344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Pr="00344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="003443A0" w:rsidRPr="00344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Оценить соответствие деятельности государственного казенного учреждения города Севастополя «Единая дирекция капитального строительства» и общества с ограниченной ответственностью «РТ-СоцСтрой», направленной на строительство Севастопольской больницы скорой помощи (второй этап), в том числе на осуществление закупок работ, нормативным правовым актам и иным документам в сфере строительства и закупок, а также поручениям Президента Российской Федерации по строительству Объекта</w:t>
            </w:r>
            <w:r w:rsidRPr="00344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B541EB" w:rsidRPr="00B541EB" w:rsidTr="00AA6484">
        <w:trPr>
          <w:gridAfter w:val="1"/>
          <w:wAfter w:w="18" w:type="dxa"/>
          <w:trHeight w:val="2287"/>
        </w:trPr>
        <w:tc>
          <w:tcPr>
            <w:tcW w:w="6430" w:type="dxa"/>
            <w:vAlign w:val="center"/>
          </w:tcPr>
          <w:p w:rsidR="00B541EB" w:rsidRPr="00F85FCA" w:rsidRDefault="003443A0" w:rsidP="00344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Проанализировать соответствие правоустанавливающих документов на земельные участки для строительства Объекта требованиям земельного и градостроительного законодательства</w:t>
            </w:r>
          </w:p>
        </w:tc>
        <w:tc>
          <w:tcPr>
            <w:tcW w:w="6283" w:type="dxa"/>
            <w:vAlign w:val="center"/>
          </w:tcPr>
          <w:p w:rsidR="005869A8" w:rsidRPr="005869A8" w:rsidRDefault="00F85FCA" w:rsidP="00F85F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 на земельные участки для строительства Объекта оформлены в соответствии с требованиями Градостроительного кодекса Российской Федерации (частями 1, 2, 4 и 5 статьи 51), Земельного кодекса Российской Федерации (статьями 26, 39.9, 39.10, 78), что позволяет завершить строительство, а также использовать в дальнейшем построенный Объект по назначению.</w:t>
            </w:r>
          </w:p>
        </w:tc>
        <w:tc>
          <w:tcPr>
            <w:tcW w:w="1891" w:type="dxa"/>
            <w:vAlign w:val="center"/>
          </w:tcPr>
          <w:p w:rsidR="00B541EB" w:rsidRPr="00F85FCA" w:rsidRDefault="00F85FCA" w:rsidP="008364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FCA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836462" w:rsidRPr="00F85FCA">
              <w:rPr>
                <w:rFonts w:ascii="Times New Roman" w:hAnsi="Times New Roman" w:cs="Times New Roman"/>
                <w:i/>
                <w:sz w:val="24"/>
                <w:szCs w:val="24"/>
              </w:rPr>
              <w:t>оответствует</w:t>
            </w:r>
          </w:p>
        </w:tc>
      </w:tr>
      <w:tr w:rsidR="00B541EB" w:rsidRPr="00B541EB" w:rsidTr="005869A8">
        <w:trPr>
          <w:gridAfter w:val="1"/>
          <w:wAfter w:w="18" w:type="dxa"/>
          <w:trHeight w:val="833"/>
        </w:trPr>
        <w:tc>
          <w:tcPr>
            <w:tcW w:w="6430" w:type="dxa"/>
            <w:vAlign w:val="center"/>
          </w:tcPr>
          <w:p w:rsidR="00B541EB" w:rsidRPr="00B541EB" w:rsidRDefault="003443A0" w:rsidP="000954E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43A0">
              <w:rPr>
                <w:rFonts w:ascii="Times New Roman" w:hAnsi="Times New Roman" w:cs="Times New Roman"/>
                <w:sz w:val="24"/>
                <w:szCs w:val="24"/>
              </w:rPr>
              <w:t>2. Проанализировать соблюдение требований Градостроительного кодекса Российской Федерации при строительстве Объекта</w:t>
            </w:r>
            <w:r w:rsidR="00B541EB" w:rsidRPr="00344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3" w:type="dxa"/>
            <w:vAlign w:val="center"/>
          </w:tcPr>
          <w:p w:rsidR="000B673F" w:rsidRPr="000B673F" w:rsidRDefault="000B673F" w:rsidP="000B6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673F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 части 7 статьи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673F">
              <w:rPr>
                <w:rFonts w:ascii="Times New Roman" w:hAnsi="Times New Roman" w:cs="Times New Roman"/>
                <w:sz w:val="24"/>
                <w:szCs w:val="24"/>
              </w:rPr>
              <w:t>2 Градостроительного кодекса Российской Федерации и подпункта «б» пункта 44 Положения об организации и проведении государственной экспертизы проектной документации и результатов инженерных изысканий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</w:t>
            </w:r>
            <w:r w:rsidRPr="000B673F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Российской Федерации от 5 марта 2007 г. № 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673F">
              <w:rPr>
                <w:rFonts w:ascii="Times New Roman" w:hAnsi="Times New Roman" w:cs="Times New Roman"/>
                <w:sz w:val="24"/>
                <w:szCs w:val="24"/>
              </w:rPr>
              <w:t xml:space="preserve"> ГКУ «ЕДКС» не направлена в ФАУ «</w:t>
            </w:r>
            <w:proofErr w:type="spellStart"/>
            <w:r w:rsidRPr="000B673F">
              <w:rPr>
                <w:rFonts w:ascii="Times New Roman" w:hAnsi="Times New Roman" w:cs="Times New Roman"/>
                <w:sz w:val="24"/>
                <w:szCs w:val="24"/>
              </w:rPr>
              <w:t>Главгосэкспертиза</w:t>
            </w:r>
            <w:proofErr w:type="spellEnd"/>
            <w:r w:rsidRPr="000B673F">
              <w:rPr>
                <w:rFonts w:ascii="Times New Roman" w:hAnsi="Times New Roman" w:cs="Times New Roman"/>
                <w:sz w:val="24"/>
                <w:szCs w:val="24"/>
              </w:rPr>
              <w:t xml:space="preserve"> России» на повторную государственную экспертизу проектная документация по строительству Объекта в связи с внесением в проектную документацию изменений, затрагивающих несущие </w:t>
            </w:r>
            <w:r w:rsidRPr="000B6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строительные конструкции объекта капитального строительства, то есть изменений, не предусмотренных пунктом 1 части 3.8 статьи 49 Градостроительного кодекса Российской Федерации и требующих экспертизы проектной документации. </w:t>
            </w:r>
          </w:p>
          <w:p w:rsidR="000B673F" w:rsidRPr="000B673F" w:rsidRDefault="000B673F" w:rsidP="000B6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3F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ГКУ «ЕДКС» заключено дополнительное соглашение от 9 июля 2024 г. № 21 к Госконтракту, которым указанные изменения включены в смету контракта. </w:t>
            </w:r>
          </w:p>
          <w:p w:rsidR="00AA6484" w:rsidRPr="00AA6484" w:rsidRDefault="000B673F" w:rsidP="000B67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</w:t>
            </w:r>
            <w:r w:rsidRPr="000B673F">
              <w:rPr>
                <w:rFonts w:ascii="Times New Roman" w:hAnsi="Times New Roman" w:cs="Times New Roman"/>
                <w:sz w:val="24"/>
                <w:szCs w:val="24"/>
              </w:rPr>
              <w:t>ГКУ «ЕДКС» осуществило расчет средств на непредвиденные затраты в размере 4,5 % от сметной стоимости строительно-монтажных работ, что превышает предусмотренный Контрактом № 2-СМР/2020 размер резерва средств на непредвиденные работы и затраты на 406,2 млн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  <w:vAlign w:val="center"/>
          </w:tcPr>
          <w:p w:rsidR="00B541EB" w:rsidRPr="00AA6484" w:rsidRDefault="00836462" w:rsidP="000954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648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Не соответствует</w:t>
            </w:r>
          </w:p>
        </w:tc>
      </w:tr>
      <w:tr w:rsidR="00B541EB" w:rsidRPr="00B541EB" w:rsidTr="00836462">
        <w:trPr>
          <w:gridAfter w:val="1"/>
          <w:wAfter w:w="18" w:type="dxa"/>
          <w:trHeight w:val="722"/>
        </w:trPr>
        <w:tc>
          <w:tcPr>
            <w:tcW w:w="6430" w:type="dxa"/>
            <w:vAlign w:val="center"/>
          </w:tcPr>
          <w:p w:rsidR="00B541EB" w:rsidRPr="00B541EB" w:rsidRDefault="003443A0" w:rsidP="000954E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43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Проверить соблюдение требований законодательства о контрактной системе в сфере закупок товаров, работ, услуг при организации закупок по строительству Объекта</w:t>
            </w:r>
            <w:r w:rsidR="00B541EB" w:rsidRPr="00344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3" w:type="dxa"/>
            <w:vAlign w:val="center"/>
          </w:tcPr>
          <w:p w:rsidR="005869A8" w:rsidRPr="005869A8" w:rsidRDefault="005869A8" w:rsidP="005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9A8">
              <w:rPr>
                <w:rFonts w:ascii="Times New Roman" w:hAnsi="Times New Roman" w:cs="Times New Roman"/>
                <w:sz w:val="24"/>
                <w:szCs w:val="24"/>
              </w:rPr>
              <w:t>ГКУ «ЕДКС» при строительстве Объекта допускались нарушения требований законодательства о контрактной системе в сфере закупок товаров, работ, услуг при осуществлении закупок в части:</w:t>
            </w:r>
          </w:p>
          <w:p w:rsidR="005869A8" w:rsidRPr="005869A8" w:rsidRDefault="005869A8" w:rsidP="005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9A8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установления сроков выполнения работ по строительству Объекта, несоответствующих срокам, определенным Правительством Российской Федерации; </w:t>
            </w:r>
          </w:p>
          <w:p w:rsidR="005869A8" w:rsidRPr="005869A8" w:rsidRDefault="005869A8" w:rsidP="005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9A8"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несоблюдения сроков оплаты работ по контракту на выполнение работ по строительству Объекта; </w:t>
            </w:r>
          </w:p>
          <w:p w:rsidR="00B541EB" w:rsidRPr="005869A8" w:rsidRDefault="005869A8" w:rsidP="005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9A8">
              <w:rPr>
                <w:rFonts w:ascii="Times New Roman" w:hAnsi="Times New Roman" w:cs="Times New Roman"/>
                <w:sz w:val="24"/>
                <w:szCs w:val="24"/>
              </w:rPr>
              <w:t>- не проведения претензионной работы за несоблюдение условий контракта на выполнение работ по строительству Объекта.</w:t>
            </w:r>
          </w:p>
        </w:tc>
        <w:tc>
          <w:tcPr>
            <w:tcW w:w="1891" w:type="dxa"/>
            <w:vAlign w:val="center"/>
          </w:tcPr>
          <w:p w:rsidR="00B541EB" w:rsidRPr="005869A8" w:rsidRDefault="00836462" w:rsidP="000954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69A8">
              <w:rPr>
                <w:rFonts w:ascii="Times New Roman" w:hAnsi="Times New Roman" w:cs="Times New Roman"/>
                <w:i/>
                <w:sz w:val="24"/>
                <w:szCs w:val="24"/>
              </w:rPr>
              <w:t>Не соответствует</w:t>
            </w:r>
          </w:p>
        </w:tc>
      </w:tr>
    </w:tbl>
    <w:p w:rsidR="00B541EB" w:rsidRPr="00B541EB" w:rsidRDefault="00B541EB" w:rsidP="00B541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541EB" w:rsidRPr="00AA6484" w:rsidRDefault="00B541EB" w:rsidP="00B541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484">
        <w:rPr>
          <w:rFonts w:ascii="Times New Roman" w:hAnsi="Times New Roman" w:cs="Times New Roman"/>
          <w:sz w:val="28"/>
          <w:szCs w:val="28"/>
        </w:rPr>
        <w:t>С учетом результатов проверки сделан вывод, что деятельность объектов контрольного мероприятия</w:t>
      </w:r>
      <w:r w:rsidR="00AA6484" w:rsidRPr="00AA6484">
        <w:rPr>
          <w:rFonts w:ascii="Times New Roman" w:hAnsi="Times New Roman" w:cs="Times New Roman"/>
          <w:sz w:val="28"/>
          <w:szCs w:val="28"/>
        </w:rPr>
        <w:t xml:space="preserve"> (ГКУ «ЕДКС» и ООО «РТ</w:t>
      </w:r>
      <w:bookmarkStart w:id="0" w:name="_GoBack"/>
      <w:bookmarkEnd w:id="0"/>
      <w:r w:rsidR="00AA6484" w:rsidRPr="00AA6484">
        <w:rPr>
          <w:rFonts w:ascii="Times New Roman" w:hAnsi="Times New Roman" w:cs="Times New Roman"/>
          <w:sz w:val="28"/>
          <w:szCs w:val="28"/>
        </w:rPr>
        <w:t>-СоцСтрой»)</w:t>
      </w:r>
      <w:r w:rsidRPr="00AA6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направленная на </w:t>
      </w:r>
      <w:r w:rsidR="00AA6484" w:rsidRPr="00AA6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Севастопольской больницы скорой медицинской помощи, </w:t>
      </w:r>
      <w:r w:rsidR="00394CA1" w:rsidRPr="00394C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соответствует нормативным правовым актам, поручениям Президента Российской Федерации по строительству объекта, при этом не в полной мере соблюдены требования законодательства в сфере закупок, градостроительного законодательства и законодательства о бухгалтерском учете</w:t>
      </w:r>
      <w:r w:rsidRPr="00AA6484">
        <w:rPr>
          <w:rFonts w:ascii="Times New Roman" w:hAnsi="Times New Roman" w:cs="Times New Roman"/>
          <w:sz w:val="28"/>
          <w:szCs w:val="28"/>
        </w:rPr>
        <w:t>.</w:t>
      </w:r>
      <w:r w:rsidRPr="00AA6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541EB" w:rsidRPr="00AA6484" w:rsidSect="00C02377">
      <w:headerReference w:type="default" r:id="rId7"/>
      <w:pgSz w:w="16838" w:h="11906" w:orient="landscape"/>
      <w:pgMar w:top="850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092" w:rsidRDefault="008D0092" w:rsidP="009F2463">
      <w:pPr>
        <w:spacing w:after="0" w:line="240" w:lineRule="auto"/>
      </w:pPr>
      <w:r>
        <w:separator/>
      </w:r>
    </w:p>
  </w:endnote>
  <w:endnote w:type="continuationSeparator" w:id="0">
    <w:p w:rsidR="008D0092" w:rsidRDefault="008D0092" w:rsidP="009F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092" w:rsidRDefault="008D0092" w:rsidP="009F2463">
      <w:pPr>
        <w:spacing w:after="0" w:line="240" w:lineRule="auto"/>
      </w:pPr>
      <w:r>
        <w:separator/>
      </w:r>
    </w:p>
  </w:footnote>
  <w:footnote w:type="continuationSeparator" w:id="0">
    <w:p w:rsidR="008D0092" w:rsidRDefault="008D0092" w:rsidP="009F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304684"/>
      <w:docPartObj>
        <w:docPartGallery w:val="Page Numbers (Top of Page)"/>
        <w:docPartUnique/>
      </w:docPartObj>
    </w:sdtPr>
    <w:sdtEndPr/>
    <w:sdtContent>
      <w:p w:rsidR="009F2463" w:rsidRDefault="009F24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377">
          <w:rPr>
            <w:noProof/>
          </w:rPr>
          <w:t>4</w:t>
        </w:r>
        <w:r>
          <w:fldChar w:fldCharType="end"/>
        </w:r>
      </w:p>
    </w:sdtContent>
  </w:sdt>
  <w:p w:rsidR="009F2463" w:rsidRDefault="009F24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1AD0"/>
    <w:multiLevelType w:val="hybridMultilevel"/>
    <w:tmpl w:val="279C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9402E"/>
    <w:multiLevelType w:val="hybridMultilevel"/>
    <w:tmpl w:val="F370C742"/>
    <w:lvl w:ilvl="0" w:tplc="806044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2918FE"/>
    <w:multiLevelType w:val="hybridMultilevel"/>
    <w:tmpl w:val="CA46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82E01"/>
    <w:multiLevelType w:val="hybridMultilevel"/>
    <w:tmpl w:val="279C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E5"/>
    <w:rsid w:val="000008E8"/>
    <w:rsid w:val="000024D3"/>
    <w:rsid w:val="00005F7C"/>
    <w:rsid w:val="000200AA"/>
    <w:rsid w:val="00022F06"/>
    <w:rsid w:val="00060A35"/>
    <w:rsid w:val="00061997"/>
    <w:rsid w:val="00070D0F"/>
    <w:rsid w:val="00071359"/>
    <w:rsid w:val="000738A3"/>
    <w:rsid w:val="0007625B"/>
    <w:rsid w:val="00076A76"/>
    <w:rsid w:val="00087EB4"/>
    <w:rsid w:val="0009796E"/>
    <w:rsid w:val="000B1892"/>
    <w:rsid w:val="000B673F"/>
    <w:rsid w:val="000D290A"/>
    <w:rsid w:val="001009D9"/>
    <w:rsid w:val="001058FF"/>
    <w:rsid w:val="001060D4"/>
    <w:rsid w:val="00115E93"/>
    <w:rsid w:val="001161C3"/>
    <w:rsid w:val="00140D11"/>
    <w:rsid w:val="0015198A"/>
    <w:rsid w:val="001719C0"/>
    <w:rsid w:val="00177E82"/>
    <w:rsid w:val="00185295"/>
    <w:rsid w:val="001D144B"/>
    <w:rsid w:val="001E6900"/>
    <w:rsid w:val="001F5A94"/>
    <w:rsid w:val="00204942"/>
    <w:rsid w:val="00251B77"/>
    <w:rsid w:val="002656C7"/>
    <w:rsid w:val="00285EF1"/>
    <w:rsid w:val="0029154E"/>
    <w:rsid w:val="00294FEB"/>
    <w:rsid w:val="002A2C7E"/>
    <w:rsid w:val="002A2D5E"/>
    <w:rsid w:val="002B5630"/>
    <w:rsid w:val="002C7842"/>
    <w:rsid w:val="002D2072"/>
    <w:rsid w:val="002D2C24"/>
    <w:rsid w:val="002E27AC"/>
    <w:rsid w:val="002E5F4C"/>
    <w:rsid w:val="002F385E"/>
    <w:rsid w:val="002F4A7F"/>
    <w:rsid w:val="002F670B"/>
    <w:rsid w:val="00300A5B"/>
    <w:rsid w:val="00303A87"/>
    <w:rsid w:val="00326CE0"/>
    <w:rsid w:val="00341B6A"/>
    <w:rsid w:val="00342C1A"/>
    <w:rsid w:val="003443A0"/>
    <w:rsid w:val="003470E0"/>
    <w:rsid w:val="00357A56"/>
    <w:rsid w:val="00362975"/>
    <w:rsid w:val="00394CA1"/>
    <w:rsid w:val="00396079"/>
    <w:rsid w:val="00397C56"/>
    <w:rsid w:val="003A2968"/>
    <w:rsid w:val="003B14B1"/>
    <w:rsid w:val="003C22F0"/>
    <w:rsid w:val="003C4AC6"/>
    <w:rsid w:val="003C7A12"/>
    <w:rsid w:val="003D130B"/>
    <w:rsid w:val="003F716C"/>
    <w:rsid w:val="004036A6"/>
    <w:rsid w:val="004052C9"/>
    <w:rsid w:val="004104F6"/>
    <w:rsid w:val="004124C1"/>
    <w:rsid w:val="00437CE0"/>
    <w:rsid w:val="00457F2F"/>
    <w:rsid w:val="00463D56"/>
    <w:rsid w:val="00493156"/>
    <w:rsid w:val="004B0B29"/>
    <w:rsid w:val="004C32A8"/>
    <w:rsid w:val="004C6AC4"/>
    <w:rsid w:val="004E0311"/>
    <w:rsid w:val="004E1F18"/>
    <w:rsid w:val="004F6AF2"/>
    <w:rsid w:val="00504738"/>
    <w:rsid w:val="0051743D"/>
    <w:rsid w:val="00521C00"/>
    <w:rsid w:val="005402B5"/>
    <w:rsid w:val="0056284D"/>
    <w:rsid w:val="005869A8"/>
    <w:rsid w:val="005939B7"/>
    <w:rsid w:val="005973AE"/>
    <w:rsid w:val="005B12A7"/>
    <w:rsid w:val="005B1E41"/>
    <w:rsid w:val="005D5079"/>
    <w:rsid w:val="005E40F7"/>
    <w:rsid w:val="00606479"/>
    <w:rsid w:val="00614FB6"/>
    <w:rsid w:val="00624A12"/>
    <w:rsid w:val="0063129F"/>
    <w:rsid w:val="006366AE"/>
    <w:rsid w:val="006566FE"/>
    <w:rsid w:val="00676155"/>
    <w:rsid w:val="0069041D"/>
    <w:rsid w:val="00692758"/>
    <w:rsid w:val="006A0E83"/>
    <w:rsid w:val="006C0DD0"/>
    <w:rsid w:val="006D1C65"/>
    <w:rsid w:val="006F3BB8"/>
    <w:rsid w:val="00701C0F"/>
    <w:rsid w:val="007023EA"/>
    <w:rsid w:val="0070514E"/>
    <w:rsid w:val="0071516E"/>
    <w:rsid w:val="00723AC7"/>
    <w:rsid w:val="0072686B"/>
    <w:rsid w:val="007343B7"/>
    <w:rsid w:val="007830E5"/>
    <w:rsid w:val="00787634"/>
    <w:rsid w:val="007A5A72"/>
    <w:rsid w:val="007B5816"/>
    <w:rsid w:val="007C68DD"/>
    <w:rsid w:val="007F17EC"/>
    <w:rsid w:val="008001B6"/>
    <w:rsid w:val="00815D85"/>
    <w:rsid w:val="00823A94"/>
    <w:rsid w:val="00836462"/>
    <w:rsid w:val="00847844"/>
    <w:rsid w:val="008902E6"/>
    <w:rsid w:val="00896825"/>
    <w:rsid w:val="008A20CD"/>
    <w:rsid w:val="008A416A"/>
    <w:rsid w:val="008D0092"/>
    <w:rsid w:val="008D2B16"/>
    <w:rsid w:val="008F0D9B"/>
    <w:rsid w:val="008F7C7B"/>
    <w:rsid w:val="009011DB"/>
    <w:rsid w:val="00902711"/>
    <w:rsid w:val="00905918"/>
    <w:rsid w:val="00916061"/>
    <w:rsid w:val="00927180"/>
    <w:rsid w:val="00945BAA"/>
    <w:rsid w:val="00956C22"/>
    <w:rsid w:val="00965359"/>
    <w:rsid w:val="00993535"/>
    <w:rsid w:val="00995B3F"/>
    <w:rsid w:val="009A0BAF"/>
    <w:rsid w:val="009A13FB"/>
    <w:rsid w:val="009A1972"/>
    <w:rsid w:val="009A3542"/>
    <w:rsid w:val="009F04D1"/>
    <w:rsid w:val="009F08AA"/>
    <w:rsid w:val="009F2463"/>
    <w:rsid w:val="00A2613D"/>
    <w:rsid w:val="00A76BE8"/>
    <w:rsid w:val="00A91479"/>
    <w:rsid w:val="00AA1B27"/>
    <w:rsid w:val="00AA6484"/>
    <w:rsid w:val="00AC182B"/>
    <w:rsid w:val="00AD4D66"/>
    <w:rsid w:val="00AD711B"/>
    <w:rsid w:val="00AF0DF7"/>
    <w:rsid w:val="00B377C8"/>
    <w:rsid w:val="00B44F6C"/>
    <w:rsid w:val="00B541EB"/>
    <w:rsid w:val="00B702F9"/>
    <w:rsid w:val="00B76FF9"/>
    <w:rsid w:val="00B84E87"/>
    <w:rsid w:val="00BA1C24"/>
    <w:rsid w:val="00BA5131"/>
    <w:rsid w:val="00BF157A"/>
    <w:rsid w:val="00BF3C6B"/>
    <w:rsid w:val="00C00183"/>
    <w:rsid w:val="00C0158D"/>
    <w:rsid w:val="00C02377"/>
    <w:rsid w:val="00C05D87"/>
    <w:rsid w:val="00C14951"/>
    <w:rsid w:val="00C300E0"/>
    <w:rsid w:val="00C910AE"/>
    <w:rsid w:val="00CA3AB6"/>
    <w:rsid w:val="00CA5B80"/>
    <w:rsid w:val="00D02C91"/>
    <w:rsid w:val="00D03514"/>
    <w:rsid w:val="00D10ACE"/>
    <w:rsid w:val="00D159D4"/>
    <w:rsid w:val="00D16938"/>
    <w:rsid w:val="00D25FDA"/>
    <w:rsid w:val="00D35A01"/>
    <w:rsid w:val="00D420A6"/>
    <w:rsid w:val="00DC48FC"/>
    <w:rsid w:val="00DE1358"/>
    <w:rsid w:val="00DF3405"/>
    <w:rsid w:val="00DF3B58"/>
    <w:rsid w:val="00E303D6"/>
    <w:rsid w:val="00E51D5D"/>
    <w:rsid w:val="00E52E56"/>
    <w:rsid w:val="00E57348"/>
    <w:rsid w:val="00E641C8"/>
    <w:rsid w:val="00E90A3B"/>
    <w:rsid w:val="00E97C41"/>
    <w:rsid w:val="00EB7720"/>
    <w:rsid w:val="00EE5EF1"/>
    <w:rsid w:val="00EE7686"/>
    <w:rsid w:val="00F00929"/>
    <w:rsid w:val="00F2621D"/>
    <w:rsid w:val="00F37921"/>
    <w:rsid w:val="00F402FF"/>
    <w:rsid w:val="00F5769F"/>
    <w:rsid w:val="00F853F0"/>
    <w:rsid w:val="00F85FCA"/>
    <w:rsid w:val="00F942E5"/>
    <w:rsid w:val="00FB0D43"/>
    <w:rsid w:val="00FC4E5D"/>
    <w:rsid w:val="00FD4E97"/>
    <w:rsid w:val="00FD5560"/>
    <w:rsid w:val="00FF3CB6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9AEF"/>
  <w15:docId w15:val="{329DA325-9CAB-4822-9FD2-58AAE7AA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3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F2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2463"/>
  </w:style>
  <w:style w:type="paragraph" w:styleId="a6">
    <w:name w:val="footer"/>
    <w:basedOn w:val="a"/>
    <w:link w:val="a7"/>
    <w:uiPriority w:val="99"/>
    <w:unhideWhenUsed/>
    <w:rsid w:val="009F2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2463"/>
  </w:style>
  <w:style w:type="paragraph" w:styleId="a8">
    <w:name w:val="Balloon Text"/>
    <w:basedOn w:val="a"/>
    <w:link w:val="a9"/>
    <w:uiPriority w:val="99"/>
    <w:semiHidden/>
    <w:unhideWhenUsed/>
    <w:rsid w:val="0040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6A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C0DD0"/>
    <w:pPr>
      <w:ind w:left="720"/>
      <w:contextualSpacing/>
    </w:pPr>
  </w:style>
  <w:style w:type="paragraph" w:styleId="ab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Знак,F1"/>
    <w:basedOn w:val="a"/>
    <w:link w:val="ac"/>
    <w:uiPriority w:val="99"/>
    <w:unhideWhenUsed/>
    <w:qFormat/>
    <w:rsid w:val="00956C2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Знак Знак"/>
    <w:basedOn w:val="a0"/>
    <w:link w:val="ab"/>
    <w:uiPriority w:val="99"/>
    <w:qFormat/>
    <w:rsid w:val="00956C22"/>
    <w:rPr>
      <w:sz w:val="20"/>
      <w:szCs w:val="20"/>
    </w:rPr>
  </w:style>
  <w:style w:type="character" w:styleId="ad">
    <w:name w:val="footnote reference"/>
    <w:aliases w:val="Знак сноски-FN,Ciae niinee-FN,Знак сноски 1,fr,Used by Word for Help footnote symbols,Referencia nota al pie,SUPERS,Ciae niinee 1,Ссылка на сноску 45,Appel note de bas de page,анкета сноска,Odwołanie przypisu,Odwo³anie przypisu,сноска,Ref,FZ"/>
    <w:basedOn w:val="a0"/>
    <w:link w:val="1"/>
    <w:uiPriority w:val="99"/>
    <w:unhideWhenUsed/>
    <w:qFormat/>
    <w:rsid w:val="00956C22"/>
    <w:rPr>
      <w:vertAlign w:val="superscript"/>
    </w:rPr>
  </w:style>
  <w:style w:type="paragraph" w:customStyle="1" w:styleId="1">
    <w:name w:val="Знак сноски1"/>
    <w:link w:val="ad"/>
    <w:uiPriority w:val="99"/>
    <w:qFormat/>
    <w:rsid w:val="001E6900"/>
    <w:pPr>
      <w:spacing w:after="0" w:line="360" w:lineRule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4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Т.В.</dc:creator>
  <cp:lastModifiedBy>Бородин Вячеслав Григорьевич</cp:lastModifiedBy>
  <cp:revision>111</cp:revision>
  <cp:lastPrinted>2023-06-19T16:36:00Z</cp:lastPrinted>
  <dcterms:created xsi:type="dcterms:W3CDTF">2023-09-29T06:00:00Z</dcterms:created>
  <dcterms:modified xsi:type="dcterms:W3CDTF">2025-04-02T08:12:00Z</dcterms:modified>
</cp:coreProperties>
</file>