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09" w:rsidRPr="009A1409" w:rsidRDefault="009C40BB" w:rsidP="009A1409">
      <w:pPr>
        <w:widowControl w:val="0"/>
        <w:spacing w:line="240" w:lineRule="auto"/>
        <w:ind w:left="5954" w:firstLine="0"/>
        <w:contextualSpacing/>
        <w:jc w:val="center"/>
        <w:rPr>
          <w:rFonts w:ascii="Times New Roman" w:hAnsi="Times New Roman"/>
          <w:bCs/>
          <w:color w:val="auto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bCs/>
          <w:color w:val="auto"/>
          <w:kern w:val="0"/>
          <w:sz w:val="28"/>
          <w:szCs w:val="28"/>
          <w14:ligatures w14:val="none"/>
        </w:rPr>
        <w:t>Продолжение к п</w:t>
      </w:r>
      <w:r w:rsidR="009A1409" w:rsidRPr="009A1409">
        <w:rPr>
          <w:rFonts w:ascii="Times New Roman" w:hAnsi="Times New Roman"/>
          <w:bCs/>
          <w:color w:val="auto"/>
          <w:kern w:val="0"/>
          <w:sz w:val="28"/>
          <w:szCs w:val="28"/>
          <w14:ligatures w14:val="none"/>
        </w:rPr>
        <w:t>риложени</w:t>
      </w:r>
      <w:r>
        <w:rPr>
          <w:rFonts w:ascii="Times New Roman" w:hAnsi="Times New Roman"/>
          <w:bCs/>
          <w:color w:val="auto"/>
          <w:kern w:val="0"/>
          <w:sz w:val="28"/>
          <w:szCs w:val="28"/>
          <w14:ligatures w14:val="none"/>
        </w:rPr>
        <w:t>ю</w:t>
      </w:r>
      <w:r w:rsidR="009A1409" w:rsidRPr="009A1409">
        <w:rPr>
          <w:rFonts w:ascii="Times New Roman" w:hAnsi="Times New Roman"/>
          <w:bCs/>
          <w:color w:val="auto"/>
          <w:kern w:val="0"/>
          <w:sz w:val="28"/>
          <w:szCs w:val="28"/>
          <w14:ligatures w14:val="none"/>
        </w:rPr>
        <w:t xml:space="preserve"> № </w:t>
      </w:r>
      <w:r w:rsidR="001757CC">
        <w:rPr>
          <w:rFonts w:ascii="Times New Roman" w:hAnsi="Times New Roman"/>
          <w:bCs/>
          <w:color w:val="auto"/>
          <w:kern w:val="0"/>
          <w:sz w:val="28"/>
          <w:szCs w:val="28"/>
          <w14:ligatures w14:val="none"/>
        </w:rPr>
        <w:t>2</w:t>
      </w:r>
    </w:p>
    <w:p w:rsidR="009C40BB" w:rsidRDefault="009C40BB" w:rsidP="0082425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DD4" w:rsidRPr="00CC5460" w:rsidRDefault="002135B4" w:rsidP="0082425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5460">
        <w:rPr>
          <w:rFonts w:ascii="Times New Roman" w:hAnsi="Times New Roman" w:cs="Times New Roman"/>
          <w:b/>
          <w:sz w:val="28"/>
          <w:szCs w:val="28"/>
        </w:rPr>
        <w:t xml:space="preserve">Информация об анализируемых </w:t>
      </w:r>
      <w:r w:rsidR="007441AC" w:rsidRPr="00CC5460">
        <w:rPr>
          <w:rFonts w:ascii="Times New Roman" w:hAnsi="Times New Roman" w:cs="Times New Roman"/>
          <w:b/>
          <w:sz w:val="28"/>
          <w:szCs w:val="28"/>
        </w:rPr>
        <w:t xml:space="preserve">в рамках ЭАМ </w:t>
      </w:r>
      <w:r w:rsidRPr="00CC5460">
        <w:rPr>
          <w:rFonts w:ascii="Times New Roman" w:hAnsi="Times New Roman" w:cs="Times New Roman"/>
          <w:b/>
          <w:sz w:val="28"/>
          <w:szCs w:val="28"/>
        </w:rPr>
        <w:t>концессионных соглашениях</w:t>
      </w:r>
    </w:p>
    <w:p w:rsidR="00B46710" w:rsidRPr="00CC5460" w:rsidRDefault="005E4BA1" w:rsidP="005E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32A42">
        <w:rPr>
          <w:rFonts w:ascii="Times New Roman" w:hAnsi="Times New Roman" w:cs="Times New Roman"/>
          <w:sz w:val="28"/>
          <w:szCs w:val="28"/>
        </w:rPr>
        <w:t xml:space="preserve">аибольшее число концессионных </w:t>
      </w:r>
      <w:r w:rsidR="00632A42" w:rsidRPr="00FA7E07">
        <w:rPr>
          <w:rFonts w:ascii="Times New Roman" w:hAnsi="Times New Roman" w:cs="Times New Roman"/>
          <w:sz w:val="28"/>
          <w:szCs w:val="28"/>
        </w:rPr>
        <w:t xml:space="preserve">соглашений </w:t>
      </w:r>
      <w:r w:rsidRPr="00FA7E07">
        <w:rPr>
          <w:rFonts w:ascii="Times New Roman" w:hAnsi="Times New Roman" w:cs="Times New Roman"/>
          <w:sz w:val="28"/>
          <w:szCs w:val="28"/>
        </w:rPr>
        <w:t>(</w:t>
      </w:r>
      <w:r w:rsidR="001757CC" w:rsidRPr="00FA7E07">
        <w:rPr>
          <w:rFonts w:ascii="Times New Roman" w:hAnsi="Times New Roman" w:cs="Times New Roman"/>
          <w:sz w:val="28"/>
          <w:szCs w:val="28"/>
        </w:rPr>
        <w:t>р</w:t>
      </w:r>
      <w:r w:rsidRPr="00FA7E07">
        <w:rPr>
          <w:rFonts w:ascii="Times New Roman" w:hAnsi="Times New Roman" w:cs="Times New Roman"/>
          <w:sz w:val="28"/>
          <w:szCs w:val="28"/>
        </w:rPr>
        <w:t>исунок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A42">
        <w:rPr>
          <w:rFonts w:ascii="Times New Roman" w:hAnsi="Times New Roman" w:cs="Times New Roman"/>
          <w:sz w:val="28"/>
          <w:szCs w:val="28"/>
        </w:rPr>
        <w:t xml:space="preserve">заключено в таких субъектах Российской Федерации как </w:t>
      </w:r>
      <w:r w:rsidR="0064013A">
        <w:rPr>
          <w:rFonts w:ascii="Times New Roman" w:hAnsi="Times New Roman" w:cs="Times New Roman"/>
          <w:sz w:val="28"/>
          <w:szCs w:val="28"/>
        </w:rPr>
        <w:t xml:space="preserve">Амурская область (194 ед.), </w:t>
      </w:r>
      <w:r>
        <w:rPr>
          <w:rFonts w:ascii="Times New Roman" w:hAnsi="Times New Roman" w:cs="Times New Roman"/>
          <w:sz w:val="28"/>
          <w:szCs w:val="28"/>
        </w:rPr>
        <w:t xml:space="preserve">Челябинская область (147), Красноярский край (107), Вологодская область (73), Забайкальский край (64), </w:t>
      </w:r>
      <w:r w:rsidR="00632A42">
        <w:rPr>
          <w:rFonts w:ascii="Times New Roman" w:hAnsi="Times New Roman" w:cs="Times New Roman"/>
          <w:sz w:val="28"/>
          <w:szCs w:val="28"/>
        </w:rPr>
        <w:t>Тамбовская область</w:t>
      </w:r>
      <w:r w:rsidR="0064013A">
        <w:rPr>
          <w:rFonts w:ascii="Times New Roman" w:hAnsi="Times New Roman" w:cs="Times New Roman"/>
          <w:sz w:val="28"/>
          <w:szCs w:val="28"/>
        </w:rPr>
        <w:t xml:space="preserve"> (63)</w:t>
      </w:r>
      <w:r w:rsidR="00632A42">
        <w:rPr>
          <w:rFonts w:ascii="Times New Roman" w:hAnsi="Times New Roman" w:cs="Times New Roman"/>
          <w:sz w:val="28"/>
          <w:szCs w:val="28"/>
        </w:rPr>
        <w:t xml:space="preserve">, </w:t>
      </w:r>
      <w:r w:rsidR="001757CC">
        <w:rPr>
          <w:rFonts w:ascii="Times New Roman" w:hAnsi="Times New Roman" w:cs="Times New Roman"/>
          <w:sz w:val="28"/>
          <w:szCs w:val="28"/>
        </w:rPr>
        <w:t>Пермский край (57) и </w:t>
      </w:r>
      <w:r w:rsidR="00632A42">
        <w:rPr>
          <w:rFonts w:ascii="Times New Roman" w:hAnsi="Times New Roman" w:cs="Times New Roman"/>
          <w:sz w:val="28"/>
          <w:szCs w:val="28"/>
        </w:rPr>
        <w:t>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(51).</w:t>
      </w:r>
    </w:p>
    <w:p w:rsidR="00A931AB" w:rsidRPr="0082425E" w:rsidRDefault="0082425E" w:rsidP="0082425E">
      <w:pPr>
        <w:spacing w:line="240" w:lineRule="auto"/>
        <w:ind w:firstLine="0"/>
        <w:rPr>
          <w:rFonts w:ascii="Times New Roman" w:hAnsi="Times New Roman" w:cs="Times New Roman"/>
        </w:rPr>
      </w:pPr>
      <w:r w:rsidRPr="0082425E">
        <w:rPr>
          <w:rFonts w:ascii="Times New Roman" w:hAnsi="Times New Roman" w:cs="Times New Roman"/>
        </w:rPr>
        <w:t xml:space="preserve">Рисунок 1. </w:t>
      </w:r>
      <w:r>
        <w:rPr>
          <w:rFonts w:ascii="Times New Roman" w:hAnsi="Times New Roman" w:cs="Times New Roman"/>
        </w:rPr>
        <w:t>Количество концессионных соглашений в разрезе субъектов Российской Федерации</w:t>
      </w:r>
    </w:p>
    <w:p w:rsidR="00923443" w:rsidRDefault="00923443" w:rsidP="0082425E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5460">
        <w:rPr>
          <w:rFonts w:ascii="Times New Roman" w:eastAsia="Times New Roman" w:hAnsi="Times New Roman" w:cs="Times New Roman"/>
          <w:noProof/>
          <w:snapToGrid w:val="0"/>
          <w:color w:val="auto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B0235AC" wp14:editId="0B1F7FB4">
            <wp:extent cx="5781675" cy="3682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3747" cy="36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25E" w:rsidRDefault="0082425E" w:rsidP="005E4BA1">
      <w:pPr>
        <w:spacing w:line="240" w:lineRule="auto"/>
        <w:ind w:firstLine="0"/>
        <w:rPr>
          <w:rFonts w:ascii="Times New Roman" w:hAnsi="Times New Roman" w:cs="Times New Roman"/>
        </w:rPr>
      </w:pPr>
      <w:r w:rsidRPr="0082425E">
        <w:rPr>
          <w:rFonts w:ascii="Times New Roman" w:hAnsi="Times New Roman" w:cs="Times New Roman"/>
        </w:rPr>
        <w:t>Источник</w:t>
      </w:r>
      <w:r w:rsidRPr="001757CC">
        <w:rPr>
          <w:rFonts w:ascii="Times New Roman" w:hAnsi="Times New Roman" w:cs="Times New Roman"/>
        </w:rPr>
        <w:t xml:space="preserve">: </w:t>
      </w:r>
      <w:r w:rsidRPr="0082425E">
        <w:rPr>
          <w:rFonts w:ascii="Times New Roman" w:hAnsi="Times New Roman" w:cs="Times New Roman"/>
        </w:rPr>
        <w:t>данные субъектов Российской Федерации</w:t>
      </w:r>
    </w:p>
    <w:p w:rsidR="005E4BA1" w:rsidRPr="005E4BA1" w:rsidRDefault="005E4BA1" w:rsidP="005E4BA1">
      <w:pPr>
        <w:spacing w:line="240" w:lineRule="auto"/>
        <w:ind w:firstLine="0"/>
        <w:rPr>
          <w:rFonts w:ascii="Times New Roman" w:hAnsi="Times New Roman" w:cs="Times New Roman"/>
        </w:rPr>
      </w:pPr>
    </w:p>
    <w:p w:rsidR="00923443" w:rsidRPr="00CC5460" w:rsidRDefault="005E4BA1" w:rsidP="005E4BA1">
      <w:pPr>
        <w:rPr>
          <w:rFonts w:ascii="Times New Roman" w:hAnsi="Times New Roman" w:cs="Times New Roman"/>
          <w:sz w:val="28"/>
          <w:szCs w:val="28"/>
        </w:rPr>
      </w:pPr>
      <w:r w:rsidRPr="005E4BA1">
        <w:rPr>
          <w:rFonts w:ascii="Times New Roman" w:hAnsi="Times New Roman" w:cs="Times New Roman"/>
          <w:sz w:val="28"/>
          <w:szCs w:val="28"/>
        </w:rPr>
        <w:t>Лидерами по доле переданных в концессию объектов являются Кировская и Самарская области, где в концессию передано бол</w:t>
      </w:r>
      <w:r>
        <w:rPr>
          <w:rFonts w:ascii="Times New Roman" w:hAnsi="Times New Roman" w:cs="Times New Roman"/>
          <w:sz w:val="28"/>
          <w:szCs w:val="28"/>
        </w:rPr>
        <w:t>ее 80</w:t>
      </w:r>
      <w:r w:rsidR="001757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% объектов ЖКХ, а также Владимирская </w:t>
      </w:r>
      <w:r w:rsidRPr="00FA7E07">
        <w:rPr>
          <w:rFonts w:ascii="Times New Roman" w:hAnsi="Times New Roman" w:cs="Times New Roman"/>
          <w:sz w:val="28"/>
          <w:szCs w:val="28"/>
        </w:rPr>
        <w:t>область (</w:t>
      </w:r>
      <w:r w:rsidR="001757CC" w:rsidRPr="00FA7E07">
        <w:rPr>
          <w:rFonts w:ascii="Times New Roman" w:hAnsi="Times New Roman" w:cs="Times New Roman"/>
          <w:sz w:val="28"/>
          <w:szCs w:val="28"/>
        </w:rPr>
        <w:t>р</w:t>
      </w:r>
      <w:r w:rsidRPr="00FA7E07">
        <w:rPr>
          <w:rFonts w:ascii="Times New Roman" w:hAnsi="Times New Roman" w:cs="Times New Roman"/>
          <w:sz w:val="28"/>
          <w:szCs w:val="28"/>
        </w:rPr>
        <w:t>исунок 2).</w:t>
      </w:r>
    </w:p>
    <w:p w:rsidR="005E4BA1" w:rsidRPr="00EA1FB9" w:rsidRDefault="005E4BA1" w:rsidP="007E00B3">
      <w:pPr>
        <w:spacing w:line="240" w:lineRule="auto"/>
        <w:ind w:firstLine="0"/>
        <w:rPr>
          <w:rFonts w:ascii="Times New Roman" w:hAnsi="Times New Roman" w:cs="Times New Roman"/>
          <w:color w:val="auto"/>
        </w:rPr>
      </w:pPr>
      <w:r w:rsidRPr="00783E5A">
        <w:rPr>
          <w:rFonts w:ascii="Times New Roman" w:hAnsi="Times New Roman" w:cs="Times New Roman"/>
          <w:color w:val="auto"/>
        </w:rPr>
        <w:t>Рисунок 2. Доля объектов ЖКХ, переданных в концессию, в разрезе субъектов Российской Федерации</w:t>
      </w:r>
    </w:p>
    <w:p w:rsidR="007E00B3" w:rsidRDefault="00923443" w:rsidP="007E00B3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CC54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7AF083" wp14:editId="0100190B">
            <wp:extent cx="5641038" cy="348472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4945" cy="348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BA1" w:rsidRPr="005E4BA1" w:rsidRDefault="005E4BA1" w:rsidP="007E00B3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83E5A">
        <w:rPr>
          <w:rFonts w:ascii="Times New Roman" w:hAnsi="Times New Roman" w:cs="Times New Roman"/>
        </w:rPr>
        <w:t>Источник: данные Минстроя России</w:t>
      </w:r>
    </w:p>
    <w:p w:rsidR="005E4BA1" w:rsidRPr="005E4BA1" w:rsidRDefault="005E4BA1" w:rsidP="005E4BA1">
      <w:pPr>
        <w:spacing w:line="240" w:lineRule="auto"/>
        <w:ind w:firstLine="0"/>
        <w:rPr>
          <w:rFonts w:ascii="Times New Roman" w:hAnsi="Times New Roman" w:cs="Times New Roman"/>
        </w:rPr>
      </w:pPr>
    </w:p>
    <w:p w:rsidR="007E00B3" w:rsidRDefault="007E00B3" w:rsidP="007E0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выборке Счетной палаты большую часть соглашений составляют концессии, заключенные в отношении объектов теплоснабжения (52,3</w:t>
      </w:r>
      <w:r w:rsidR="00757EF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757EF2">
        <w:rPr>
          <w:rFonts w:ascii="Times New Roman" w:hAnsi="Times New Roman" w:cs="Times New Roman"/>
          <w:sz w:val="28"/>
          <w:szCs w:val="28"/>
        </w:rPr>
        <w:t xml:space="preserve">на сектор </w:t>
      </w:r>
      <w:r>
        <w:rPr>
          <w:rFonts w:ascii="Times New Roman" w:hAnsi="Times New Roman" w:cs="Times New Roman"/>
          <w:sz w:val="28"/>
          <w:szCs w:val="28"/>
        </w:rPr>
        <w:t xml:space="preserve">водоснабжения и водоотведения </w:t>
      </w:r>
      <w:r w:rsidR="00757EF2">
        <w:rPr>
          <w:rFonts w:ascii="Times New Roman" w:hAnsi="Times New Roman" w:cs="Times New Roman"/>
          <w:sz w:val="28"/>
          <w:szCs w:val="28"/>
        </w:rPr>
        <w:t xml:space="preserve">приходится 25,1 %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57EF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исунок 3).</w:t>
      </w:r>
    </w:p>
    <w:p w:rsidR="007E00B3" w:rsidRPr="0082425E" w:rsidRDefault="007E00B3" w:rsidP="007E00B3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3</w:t>
      </w:r>
      <w:r w:rsidRPr="0082425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Доля концессионных соглашений в разрезе систем коммунальной инфраструктуры (секторов)</w:t>
      </w:r>
    </w:p>
    <w:p w:rsidR="007E00B3" w:rsidRDefault="00923443" w:rsidP="007E00B3">
      <w:pPr>
        <w:spacing w:line="240" w:lineRule="auto"/>
        <w:ind w:firstLine="0"/>
        <w:rPr>
          <w:rFonts w:ascii="Times New Roman" w:hAnsi="Times New Roman" w:cs="Times New Roman"/>
        </w:rPr>
      </w:pPr>
      <w:r w:rsidRPr="00CC54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9A5396" wp14:editId="023B7745">
            <wp:extent cx="6027420" cy="253746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E00B3" w:rsidRPr="0082425E">
        <w:rPr>
          <w:rFonts w:ascii="Times New Roman" w:hAnsi="Times New Roman" w:cs="Times New Roman"/>
        </w:rPr>
        <w:t>Источник</w:t>
      </w:r>
      <w:r w:rsidR="007E00B3" w:rsidRPr="007E00B3">
        <w:rPr>
          <w:rFonts w:ascii="Times New Roman" w:hAnsi="Times New Roman" w:cs="Times New Roman"/>
        </w:rPr>
        <w:t xml:space="preserve">: </w:t>
      </w:r>
      <w:r w:rsidR="007E00B3" w:rsidRPr="0082425E">
        <w:rPr>
          <w:rFonts w:ascii="Times New Roman" w:hAnsi="Times New Roman" w:cs="Times New Roman"/>
        </w:rPr>
        <w:t>данные субъектов Российской Федерации</w:t>
      </w:r>
    </w:p>
    <w:p w:rsidR="007E00B3" w:rsidRPr="007E00B3" w:rsidRDefault="007E00B3" w:rsidP="007E00B3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E00B3" w:rsidRDefault="00200448" w:rsidP="007E0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по объему инвестиционных обязательств по анализируемым концессионным соглашениям представлены в таблице </w:t>
      </w:r>
      <w:r w:rsidR="008D16A2">
        <w:rPr>
          <w:rFonts w:ascii="Times New Roman" w:hAnsi="Times New Roman" w:cs="Times New Roman"/>
          <w:sz w:val="28"/>
          <w:szCs w:val="28"/>
        </w:rPr>
        <w:t>1.</w:t>
      </w:r>
    </w:p>
    <w:p w:rsidR="00200448" w:rsidRDefault="00200448" w:rsidP="00022DD3">
      <w:pPr>
        <w:ind w:firstLine="0"/>
        <w:jc w:val="right"/>
        <w:rPr>
          <w:rFonts w:ascii="Times New Roman" w:hAnsi="Times New Roman" w:cs="Times New Roman"/>
        </w:rPr>
      </w:pPr>
    </w:p>
    <w:p w:rsidR="00923443" w:rsidRDefault="00022DD3" w:rsidP="00022DD3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p w:rsidR="00022DD3" w:rsidRPr="00CC5460" w:rsidRDefault="00022DD3" w:rsidP="00022DD3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Сопоставление концессионных соглашений по секторам и объему инвестиций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37"/>
        <w:gridCol w:w="1688"/>
        <w:gridCol w:w="1800"/>
        <w:gridCol w:w="1546"/>
        <w:gridCol w:w="1327"/>
        <w:gridCol w:w="1447"/>
      </w:tblGrid>
      <w:tr w:rsidR="00923443" w:rsidRPr="00CC5460" w:rsidTr="00F63CDD">
        <w:tc>
          <w:tcPr>
            <w:tcW w:w="1553" w:type="dxa"/>
          </w:tcPr>
          <w:p w:rsidR="00923443" w:rsidRPr="00022DD3" w:rsidRDefault="0092344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D3">
              <w:rPr>
                <w:rFonts w:ascii="Times New Roman" w:hAnsi="Times New Roman" w:cs="Times New Roman"/>
                <w:b/>
                <w:sz w:val="20"/>
                <w:szCs w:val="20"/>
              </w:rPr>
              <w:t>Группы по инвестициям</w:t>
            </w:r>
          </w:p>
        </w:tc>
        <w:tc>
          <w:tcPr>
            <w:tcW w:w="1688" w:type="dxa"/>
          </w:tcPr>
          <w:p w:rsidR="00923443" w:rsidRPr="00022DD3" w:rsidRDefault="0092344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D3">
              <w:rPr>
                <w:rFonts w:ascii="Times New Roman" w:hAnsi="Times New Roman" w:cs="Times New Roman"/>
                <w:b/>
                <w:sz w:val="20"/>
                <w:szCs w:val="20"/>
              </w:rPr>
              <w:t>теплоснабжение</w:t>
            </w:r>
          </w:p>
        </w:tc>
        <w:tc>
          <w:tcPr>
            <w:tcW w:w="1829" w:type="dxa"/>
          </w:tcPr>
          <w:p w:rsidR="00923443" w:rsidRPr="00022DD3" w:rsidRDefault="0092344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водоснабжение </w:t>
            </w:r>
            <w:r w:rsidR="00F63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22DD3">
              <w:rPr>
                <w:rFonts w:ascii="Times New Roman" w:hAnsi="Times New Roman" w:cs="Times New Roman"/>
                <w:b/>
                <w:sz w:val="20"/>
                <w:szCs w:val="20"/>
              </w:rPr>
              <w:t>и водоотведение</w:t>
            </w:r>
          </w:p>
        </w:tc>
        <w:tc>
          <w:tcPr>
            <w:tcW w:w="1559" w:type="dxa"/>
          </w:tcPr>
          <w:p w:rsidR="00923443" w:rsidRPr="00022DD3" w:rsidRDefault="0092344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D3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комплексные соглашения</w:t>
            </w:r>
          </w:p>
        </w:tc>
        <w:tc>
          <w:tcPr>
            <w:tcW w:w="1417" w:type="dxa"/>
          </w:tcPr>
          <w:p w:rsidR="00923443" w:rsidRPr="00022DD3" w:rsidRDefault="0092344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D3">
              <w:rPr>
                <w:rFonts w:ascii="Times New Roman" w:hAnsi="Times New Roman" w:cs="Times New Roman"/>
                <w:b/>
                <w:sz w:val="20"/>
                <w:szCs w:val="20"/>
              </w:rPr>
              <w:t>ТКО</w:t>
            </w:r>
          </w:p>
        </w:tc>
        <w:tc>
          <w:tcPr>
            <w:tcW w:w="1525" w:type="dxa"/>
          </w:tcPr>
          <w:p w:rsidR="00923443" w:rsidRPr="00022DD3" w:rsidRDefault="0092344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D3">
              <w:rPr>
                <w:rFonts w:ascii="Times New Roman" w:hAnsi="Times New Roman" w:cs="Times New Roman"/>
                <w:b/>
                <w:sz w:val="20"/>
                <w:szCs w:val="20"/>
              </w:rPr>
              <w:t>прочие</w:t>
            </w:r>
          </w:p>
        </w:tc>
      </w:tr>
      <w:tr w:rsidR="008C3981" w:rsidRPr="00CC5460" w:rsidTr="00F63CDD">
        <w:tc>
          <w:tcPr>
            <w:tcW w:w="1553" w:type="dxa"/>
          </w:tcPr>
          <w:p w:rsidR="008C3981" w:rsidRPr="00CC5460" w:rsidRDefault="008C3981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88" w:type="dxa"/>
          </w:tcPr>
          <w:p w:rsidR="008C3981" w:rsidRPr="00CC5460" w:rsidRDefault="007D507E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829" w:type="dxa"/>
          </w:tcPr>
          <w:p w:rsidR="008C3981" w:rsidRPr="00CC5460" w:rsidRDefault="007D507E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559" w:type="dxa"/>
          </w:tcPr>
          <w:p w:rsidR="008C3981" w:rsidRPr="00CC5460" w:rsidRDefault="007D507E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417" w:type="dxa"/>
          </w:tcPr>
          <w:p w:rsidR="008C3981" w:rsidRPr="00CC5460" w:rsidRDefault="007D507E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25" w:type="dxa"/>
          </w:tcPr>
          <w:p w:rsidR="008C3981" w:rsidRPr="00CC5460" w:rsidRDefault="007D507E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8C3981" w:rsidRPr="00CC5460" w:rsidTr="00F63CDD">
        <w:tc>
          <w:tcPr>
            <w:tcW w:w="1553" w:type="dxa"/>
          </w:tcPr>
          <w:p w:rsidR="008C3981" w:rsidRPr="00CC5460" w:rsidRDefault="003E653C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C3981"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ез инвестиций </w:t>
            </w:r>
          </w:p>
        </w:tc>
        <w:tc>
          <w:tcPr>
            <w:tcW w:w="1688" w:type="dxa"/>
          </w:tcPr>
          <w:p w:rsidR="008C3981" w:rsidRPr="00F63CDD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C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9" w:type="dxa"/>
          </w:tcPr>
          <w:p w:rsidR="008C3981" w:rsidRPr="00F63CDD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C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C3981" w:rsidRPr="00F63CDD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C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C3981" w:rsidRPr="00F63CDD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C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8C3981" w:rsidRPr="00F63CDD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C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EC3" w:rsidRPr="00CC5460" w:rsidTr="00F63CDD">
        <w:tc>
          <w:tcPr>
            <w:tcW w:w="1553" w:type="dxa"/>
          </w:tcPr>
          <w:p w:rsidR="00BA6EC3" w:rsidRPr="00CC5460" w:rsidRDefault="003E653C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A6EC3" w:rsidRPr="00CC5460">
              <w:rPr>
                <w:rFonts w:ascii="Times New Roman" w:hAnsi="Times New Roman" w:cs="Times New Roman"/>
                <w:sz w:val="20"/>
                <w:szCs w:val="20"/>
              </w:rPr>
              <w:t>енее 1 млн рублей</w:t>
            </w:r>
          </w:p>
        </w:tc>
        <w:tc>
          <w:tcPr>
            <w:tcW w:w="1688" w:type="dxa"/>
          </w:tcPr>
          <w:p w:rsidR="00BA6EC3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(24,5 %)</w:t>
            </w:r>
          </w:p>
        </w:tc>
        <w:tc>
          <w:tcPr>
            <w:tcW w:w="1829" w:type="dxa"/>
          </w:tcPr>
          <w:p w:rsidR="00BA6EC3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(46,9 %)</w:t>
            </w:r>
          </w:p>
        </w:tc>
        <w:tc>
          <w:tcPr>
            <w:tcW w:w="1559" w:type="dxa"/>
          </w:tcPr>
          <w:p w:rsidR="00BA6EC3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(13,0 %)</w:t>
            </w:r>
          </w:p>
        </w:tc>
        <w:tc>
          <w:tcPr>
            <w:tcW w:w="1417" w:type="dxa"/>
          </w:tcPr>
          <w:p w:rsidR="00BA6EC3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(5,7 %)</w:t>
            </w:r>
          </w:p>
        </w:tc>
        <w:tc>
          <w:tcPr>
            <w:tcW w:w="1525" w:type="dxa"/>
          </w:tcPr>
          <w:p w:rsidR="00BA6EC3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(17,0 %)</w:t>
            </w:r>
          </w:p>
        </w:tc>
      </w:tr>
      <w:tr w:rsidR="008C3981" w:rsidRPr="00CC5460" w:rsidTr="00F63CDD">
        <w:tc>
          <w:tcPr>
            <w:tcW w:w="1553" w:type="dxa"/>
          </w:tcPr>
          <w:p w:rsidR="008C3981" w:rsidRPr="00CC5460" w:rsidRDefault="003E653C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A6EC3" w:rsidRPr="00CC5460">
              <w:rPr>
                <w:rFonts w:ascii="Times New Roman" w:hAnsi="Times New Roman" w:cs="Times New Roman"/>
                <w:sz w:val="20"/>
                <w:szCs w:val="20"/>
              </w:rPr>
              <w:t>т 1 до</w:t>
            </w:r>
            <w:r w:rsidR="008C3981"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 10 млн рублей </w:t>
            </w:r>
          </w:p>
        </w:tc>
        <w:tc>
          <w:tcPr>
            <w:tcW w:w="1688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(39,2 %)</w:t>
            </w:r>
          </w:p>
        </w:tc>
        <w:tc>
          <w:tcPr>
            <w:tcW w:w="1829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(34,4 %)</w:t>
            </w:r>
          </w:p>
        </w:tc>
        <w:tc>
          <w:tcPr>
            <w:tcW w:w="1559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(22,8 %)</w:t>
            </w:r>
          </w:p>
        </w:tc>
        <w:tc>
          <w:tcPr>
            <w:tcW w:w="1417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(5,7 %)</w:t>
            </w:r>
          </w:p>
        </w:tc>
        <w:tc>
          <w:tcPr>
            <w:tcW w:w="1525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(13,2 %)</w:t>
            </w:r>
          </w:p>
        </w:tc>
      </w:tr>
      <w:tr w:rsidR="008C3981" w:rsidRPr="00CC5460" w:rsidTr="00F63CDD">
        <w:tc>
          <w:tcPr>
            <w:tcW w:w="1553" w:type="dxa"/>
          </w:tcPr>
          <w:p w:rsidR="008C3981" w:rsidRPr="00CC5460" w:rsidRDefault="003E653C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3981"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т 10 до 20 млн рублей </w:t>
            </w:r>
          </w:p>
        </w:tc>
        <w:tc>
          <w:tcPr>
            <w:tcW w:w="1688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(8,4 %)</w:t>
            </w:r>
          </w:p>
        </w:tc>
        <w:tc>
          <w:tcPr>
            <w:tcW w:w="1829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(5,2 %)</w:t>
            </w:r>
          </w:p>
        </w:tc>
        <w:tc>
          <w:tcPr>
            <w:tcW w:w="1559" w:type="dxa"/>
          </w:tcPr>
          <w:p w:rsidR="008C3981" w:rsidRPr="00CC5460" w:rsidRDefault="00F63CDD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(9,1 %)</w:t>
            </w:r>
          </w:p>
        </w:tc>
        <w:tc>
          <w:tcPr>
            <w:tcW w:w="1417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(9,4 %)</w:t>
            </w:r>
          </w:p>
        </w:tc>
        <w:tc>
          <w:tcPr>
            <w:tcW w:w="1525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(3,8 %)</w:t>
            </w:r>
          </w:p>
        </w:tc>
      </w:tr>
      <w:tr w:rsidR="008C3981" w:rsidRPr="00CC5460" w:rsidTr="00F63CDD">
        <w:tc>
          <w:tcPr>
            <w:tcW w:w="1553" w:type="dxa"/>
          </w:tcPr>
          <w:p w:rsidR="008C3981" w:rsidRPr="00CC5460" w:rsidRDefault="003E653C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3981" w:rsidRPr="00CC5460">
              <w:rPr>
                <w:rFonts w:ascii="Times New Roman" w:hAnsi="Times New Roman" w:cs="Times New Roman"/>
                <w:sz w:val="20"/>
                <w:szCs w:val="20"/>
              </w:rPr>
              <w:t>т 20 до 50 млн рублей</w:t>
            </w:r>
          </w:p>
        </w:tc>
        <w:tc>
          <w:tcPr>
            <w:tcW w:w="1688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(10,0 %)</w:t>
            </w:r>
          </w:p>
        </w:tc>
        <w:tc>
          <w:tcPr>
            <w:tcW w:w="1829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(4,7 %)</w:t>
            </w:r>
          </w:p>
        </w:tc>
        <w:tc>
          <w:tcPr>
            <w:tcW w:w="1559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(11,8 %)</w:t>
            </w:r>
          </w:p>
        </w:tc>
        <w:tc>
          <w:tcPr>
            <w:tcW w:w="1417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(5,7 %)</w:t>
            </w:r>
          </w:p>
        </w:tc>
        <w:tc>
          <w:tcPr>
            <w:tcW w:w="1525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(15,1 %)</w:t>
            </w:r>
          </w:p>
        </w:tc>
      </w:tr>
      <w:tr w:rsidR="008C3981" w:rsidRPr="00CC5460" w:rsidTr="00F63CDD">
        <w:tc>
          <w:tcPr>
            <w:tcW w:w="1553" w:type="dxa"/>
          </w:tcPr>
          <w:p w:rsidR="008C3981" w:rsidRPr="00CC5460" w:rsidRDefault="003E653C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3981"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т 50 до 150 млн рублей </w:t>
            </w:r>
          </w:p>
        </w:tc>
        <w:tc>
          <w:tcPr>
            <w:tcW w:w="1688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(8,0 %)</w:t>
            </w:r>
          </w:p>
        </w:tc>
        <w:tc>
          <w:tcPr>
            <w:tcW w:w="1829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(3,0 %)</w:t>
            </w:r>
          </w:p>
        </w:tc>
        <w:tc>
          <w:tcPr>
            <w:tcW w:w="1559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(7,5 %)</w:t>
            </w:r>
          </w:p>
        </w:tc>
        <w:tc>
          <w:tcPr>
            <w:tcW w:w="1417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(5,7 %)</w:t>
            </w:r>
          </w:p>
        </w:tc>
        <w:tc>
          <w:tcPr>
            <w:tcW w:w="1525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(11,3 %)</w:t>
            </w:r>
          </w:p>
        </w:tc>
      </w:tr>
      <w:tr w:rsidR="008C3981" w:rsidRPr="00CC5460" w:rsidTr="00F63CDD">
        <w:tc>
          <w:tcPr>
            <w:tcW w:w="1553" w:type="dxa"/>
          </w:tcPr>
          <w:p w:rsidR="008C3981" w:rsidRPr="00CC5460" w:rsidRDefault="003E653C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3981"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т 150 до 500 млн рублей </w:t>
            </w:r>
          </w:p>
        </w:tc>
        <w:tc>
          <w:tcPr>
            <w:tcW w:w="1688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(6,5 %)</w:t>
            </w:r>
          </w:p>
        </w:tc>
        <w:tc>
          <w:tcPr>
            <w:tcW w:w="1829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(3,7 %)</w:t>
            </w:r>
          </w:p>
        </w:tc>
        <w:tc>
          <w:tcPr>
            <w:tcW w:w="1559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 (13,4 %)</w:t>
            </w:r>
          </w:p>
        </w:tc>
        <w:tc>
          <w:tcPr>
            <w:tcW w:w="1417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(22,6 %)</w:t>
            </w:r>
          </w:p>
        </w:tc>
        <w:tc>
          <w:tcPr>
            <w:tcW w:w="1525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(18,9 %)</w:t>
            </w:r>
          </w:p>
        </w:tc>
      </w:tr>
      <w:tr w:rsidR="008C3981" w:rsidRPr="00CC5460" w:rsidTr="00F63CDD">
        <w:tc>
          <w:tcPr>
            <w:tcW w:w="1553" w:type="dxa"/>
          </w:tcPr>
          <w:p w:rsidR="008C3981" w:rsidRPr="00CC5460" w:rsidRDefault="003E653C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2425E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8C3981"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500 млн рублей </w:t>
            </w:r>
            <w:r w:rsidR="0082425E">
              <w:rPr>
                <w:rFonts w:ascii="Times New Roman" w:hAnsi="Times New Roman" w:cs="Times New Roman"/>
                <w:sz w:val="20"/>
                <w:szCs w:val="20"/>
              </w:rPr>
              <w:t>и более</w:t>
            </w:r>
          </w:p>
        </w:tc>
        <w:tc>
          <w:tcPr>
            <w:tcW w:w="1688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(3,5 %)</w:t>
            </w:r>
          </w:p>
        </w:tc>
        <w:tc>
          <w:tcPr>
            <w:tcW w:w="1829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9707E">
              <w:rPr>
                <w:rFonts w:ascii="Times New Roman" w:hAnsi="Times New Roman" w:cs="Times New Roman"/>
                <w:sz w:val="20"/>
                <w:szCs w:val="20"/>
              </w:rPr>
              <w:t xml:space="preserve"> (2,0 %)</w:t>
            </w:r>
          </w:p>
        </w:tc>
        <w:tc>
          <w:tcPr>
            <w:tcW w:w="1559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(22,4 %)</w:t>
            </w:r>
          </w:p>
        </w:tc>
        <w:tc>
          <w:tcPr>
            <w:tcW w:w="1417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(45,3 %)</w:t>
            </w:r>
          </w:p>
        </w:tc>
        <w:tc>
          <w:tcPr>
            <w:tcW w:w="1525" w:type="dxa"/>
          </w:tcPr>
          <w:p w:rsidR="008C3981" w:rsidRPr="00CC5460" w:rsidRDefault="00BA6EC3" w:rsidP="00022DD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63CDD">
              <w:rPr>
                <w:rFonts w:ascii="Times New Roman" w:hAnsi="Times New Roman" w:cs="Times New Roman"/>
                <w:sz w:val="20"/>
                <w:szCs w:val="20"/>
              </w:rPr>
              <w:t xml:space="preserve"> (20,8 %)</w:t>
            </w:r>
          </w:p>
        </w:tc>
      </w:tr>
    </w:tbl>
    <w:p w:rsidR="00923443" w:rsidRPr="00CC5460" w:rsidRDefault="00022DD3" w:rsidP="00923443">
      <w:pPr>
        <w:ind w:firstLine="0"/>
        <w:rPr>
          <w:rFonts w:ascii="Times New Roman" w:hAnsi="Times New Roman" w:cs="Times New Roman"/>
        </w:rPr>
      </w:pPr>
      <w:r w:rsidRPr="0082425E">
        <w:rPr>
          <w:rFonts w:ascii="Times New Roman" w:hAnsi="Times New Roman" w:cs="Times New Roman"/>
        </w:rPr>
        <w:t>Источник</w:t>
      </w:r>
      <w:r w:rsidRPr="007E00B3">
        <w:rPr>
          <w:rFonts w:ascii="Times New Roman" w:hAnsi="Times New Roman" w:cs="Times New Roman"/>
        </w:rPr>
        <w:t xml:space="preserve">: </w:t>
      </w:r>
      <w:r w:rsidRPr="0082425E">
        <w:rPr>
          <w:rFonts w:ascii="Times New Roman" w:hAnsi="Times New Roman" w:cs="Times New Roman"/>
        </w:rPr>
        <w:t>данные субъектов Российской Федерации</w:t>
      </w:r>
    </w:p>
    <w:p w:rsidR="00A65E8B" w:rsidRDefault="007E61E0" w:rsidP="00A61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концессионных соглашений с объемом инвестиций до 10 млн рублей составляет </w:t>
      </w:r>
      <w:r w:rsidR="00A65E8B">
        <w:rPr>
          <w:rFonts w:ascii="Times New Roman" w:hAnsi="Times New Roman" w:cs="Times New Roman"/>
          <w:sz w:val="28"/>
          <w:szCs w:val="28"/>
        </w:rPr>
        <w:t>60,8 %, или 970 соглашений, из них 437 соглашений (27,4 %) – с объемом инвестиций менее</w:t>
      </w:r>
      <w:r>
        <w:rPr>
          <w:rFonts w:ascii="Times New Roman" w:hAnsi="Times New Roman" w:cs="Times New Roman"/>
          <w:sz w:val="28"/>
          <w:szCs w:val="28"/>
        </w:rPr>
        <w:t>1 млн рублей</w:t>
      </w:r>
      <w:r w:rsidR="00A65E8B">
        <w:rPr>
          <w:rFonts w:ascii="Times New Roman" w:hAnsi="Times New Roman" w:cs="Times New Roman"/>
          <w:sz w:val="28"/>
          <w:szCs w:val="28"/>
        </w:rPr>
        <w:t>, 533 соглашения (33,4 %) – </w:t>
      </w:r>
      <w:r>
        <w:rPr>
          <w:rFonts w:ascii="Times New Roman" w:hAnsi="Times New Roman" w:cs="Times New Roman"/>
          <w:sz w:val="28"/>
          <w:szCs w:val="28"/>
        </w:rPr>
        <w:t>от 1 до 10 млн</w:t>
      </w:r>
      <w:r w:rsidR="00A65E8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94B8C" w:rsidRDefault="00A65E8B" w:rsidP="00A61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инвестиционных обязательств по соглашениям в разрезе секторов ЖКХ показал, что наибольш</w:t>
      </w:r>
      <w:r w:rsidR="00A94B8C">
        <w:rPr>
          <w:rFonts w:ascii="Times New Roman" w:hAnsi="Times New Roman" w:cs="Times New Roman"/>
          <w:sz w:val="28"/>
          <w:szCs w:val="28"/>
        </w:rPr>
        <w:t>ая доля соглашений с объемом инвестиций менее 1 млн рублей приходится на соглашения, заключенные в сфере водоснабжения и водоотведения – 46,9 %, или 188 соглашений. При этом доля соглашений с объемом инвестиций более 500 млн рублей в данной сфере составляет всего 2 %.</w:t>
      </w:r>
    </w:p>
    <w:p w:rsidR="00A94B8C" w:rsidRDefault="00A94B8C" w:rsidP="00A61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Комплексные соглашения и соглашения в сфере ТКО отличаются большей капиталоемкостью</w:t>
      </w:r>
      <w:r w:rsidR="009A68F1">
        <w:rPr>
          <w:rFonts w:ascii="Times New Roman" w:hAnsi="Times New Roman" w:cs="Times New Roman"/>
          <w:sz w:val="28"/>
          <w:szCs w:val="28"/>
        </w:rPr>
        <w:t>, на долю соглашений с объемом инвестиций более 500 млн. рублей в указанных сферах приходится 22,4 % (57 соглашений) и 45,3 % (24 соглашения) соответственно.</w:t>
      </w:r>
    </w:p>
    <w:p w:rsidR="00022DD3" w:rsidRDefault="00A05806" w:rsidP="00A61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</w:t>
      </w:r>
      <w:r w:rsidR="00A61F01">
        <w:rPr>
          <w:rFonts w:ascii="Times New Roman" w:hAnsi="Times New Roman" w:cs="Times New Roman"/>
          <w:sz w:val="28"/>
          <w:szCs w:val="28"/>
        </w:rPr>
        <w:t>концессионных соглашений заключен</w:t>
      </w:r>
      <w:r w:rsidR="005A58E5">
        <w:rPr>
          <w:rFonts w:ascii="Times New Roman" w:hAnsi="Times New Roman" w:cs="Times New Roman"/>
          <w:sz w:val="28"/>
          <w:szCs w:val="28"/>
        </w:rPr>
        <w:t>а</w:t>
      </w:r>
      <w:r w:rsidR="00A61F01">
        <w:rPr>
          <w:rFonts w:ascii="Times New Roman" w:hAnsi="Times New Roman" w:cs="Times New Roman"/>
          <w:sz w:val="28"/>
          <w:szCs w:val="28"/>
        </w:rPr>
        <w:t xml:space="preserve"> в населенных пунктах с населением до 50 тыс. чел. (</w:t>
      </w:r>
      <w:r w:rsidR="005C0EBB">
        <w:rPr>
          <w:rFonts w:ascii="Times New Roman" w:hAnsi="Times New Roman" w:cs="Times New Roman"/>
          <w:sz w:val="28"/>
          <w:szCs w:val="28"/>
        </w:rPr>
        <w:t>р</w:t>
      </w:r>
      <w:r w:rsidR="00A61F01">
        <w:rPr>
          <w:rFonts w:ascii="Times New Roman" w:hAnsi="Times New Roman" w:cs="Times New Roman"/>
          <w:sz w:val="28"/>
          <w:szCs w:val="28"/>
        </w:rPr>
        <w:t>исунок 4).</w:t>
      </w:r>
      <w:r w:rsidR="005E3699">
        <w:rPr>
          <w:rFonts w:ascii="Times New Roman" w:hAnsi="Times New Roman" w:cs="Times New Roman"/>
          <w:sz w:val="28"/>
          <w:szCs w:val="28"/>
        </w:rPr>
        <w:t xml:space="preserve"> Причем отмечаются случаи заключения концессионных соглашений для реализации сразу в нескольких населенных пунктах.</w:t>
      </w:r>
    </w:p>
    <w:p w:rsidR="00A05806" w:rsidRPr="0082425E" w:rsidRDefault="00A61F01" w:rsidP="00A05806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4</w:t>
      </w:r>
      <w:r w:rsidR="00A05806" w:rsidRPr="0082425E">
        <w:rPr>
          <w:rFonts w:ascii="Times New Roman" w:hAnsi="Times New Roman" w:cs="Times New Roman"/>
        </w:rPr>
        <w:t xml:space="preserve">. </w:t>
      </w:r>
      <w:r w:rsidR="00A05806">
        <w:rPr>
          <w:rFonts w:ascii="Times New Roman" w:hAnsi="Times New Roman" w:cs="Times New Roman"/>
        </w:rPr>
        <w:t>Доля концессионных соглашений в разрезе населенных пунктов (в тыс. чел. населения)</w:t>
      </w:r>
    </w:p>
    <w:p w:rsidR="008C3981" w:rsidRDefault="008356E5" w:rsidP="00A0580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A62EE9" wp14:editId="5423EC8B">
            <wp:extent cx="3962400" cy="28860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5806" w:rsidRDefault="00A05806" w:rsidP="00A61F01">
      <w:pPr>
        <w:spacing w:line="240" w:lineRule="auto"/>
        <w:ind w:firstLine="0"/>
        <w:rPr>
          <w:rFonts w:ascii="Times New Roman" w:hAnsi="Times New Roman" w:cs="Times New Roman"/>
        </w:rPr>
      </w:pPr>
      <w:r w:rsidRPr="0082425E">
        <w:rPr>
          <w:rFonts w:ascii="Times New Roman" w:hAnsi="Times New Roman" w:cs="Times New Roman"/>
        </w:rPr>
        <w:t>Источник</w:t>
      </w:r>
      <w:r w:rsidRPr="007E00B3">
        <w:rPr>
          <w:rFonts w:ascii="Times New Roman" w:hAnsi="Times New Roman" w:cs="Times New Roman"/>
        </w:rPr>
        <w:t xml:space="preserve">: </w:t>
      </w:r>
      <w:r w:rsidRPr="0082425E">
        <w:rPr>
          <w:rFonts w:ascii="Times New Roman" w:hAnsi="Times New Roman" w:cs="Times New Roman"/>
        </w:rPr>
        <w:t>данные субъектов Российской Федерации</w:t>
      </w:r>
    </w:p>
    <w:p w:rsidR="00A61F01" w:rsidRPr="00A61F01" w:rsidRDefault="00A61F01" w:rsidP="00A61F01">
      <w:pPr>
        <w:spacing w:line="240" w:lineRule="auto"/>
        <w:ind w:firstLine="0"/>
        <w:rPr>
          <w:rFonts w:ascii="Times New Roman" w:hAnsi="Times New Roman" w:cs="Times New Roman"/>
        </w:rPr>
      </w:pPr>
    </w:p>
    <w:p w:rsidR="00A61F01" w:rsidRDefault="004577E2" w:rsidP="00A61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подробная структура концессионных соглашений в разрезе населенных пунктов и секторов представлена в таблице 2 ниже.</w:t>
      </w:r>
    </w:p>
    <w:p w:rsidR="00A61F01" w:rsidRDefault="00A61F01" w:rsidP="00A61F01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</w:t>
      </w:r>
    </w:p>
    <w:p w:rsidR="00A61F01" w:rsidRPr="00CC5460" w:rsidRDefault="00A61F01" w:rsidP="00A61F01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Сопоставление концессионных соглашений по секторам и численности населения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12"/>
        <w:gridCol w:w="1898"/>
        <w:gridCol w:w="1838"/>
        <w:gridCol w:w="1704"/>
        <w:gridCol w:w="1220"/>
        <w:gridCol w:w="1173"/>
      </w:tblGrid>
      <w:tr w:rsidR="00C2031F" w:rsidRPr="00CC5460" w:rsidTr="008016FD">
        <w:tc>
          <w:tcPr>
            <w:tcW w:w="1553" w:type="dxa"/>
          </w:tcPr>
          <w:p w:rsidR="00C2031F" w:rsidRPr="00C2031F" w:rsidRDefault="00A931AB" w:rsidP="00C203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31F"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Группы по </w:t>
            </w:r>
            <w:r w:rsidR="00C2031F">
              <w:rPr>
                <w:rFonts w:ascii="Times New Roman" w:hAnsi="Times New Roman" w:cs="Times New Roman"/>
                <w:sz w:val="20"/>
                <w:szCs w:val="20"/>
              </w:rPr>
              <w:t>н/п</w:t>
            </w:r>
          </w:p>
        </w:tc>
        <w:tc>
          <w:tcPr>
            <w:tcW w:w="1926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1868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водоснабжение и водоотведение</w:t>
            </w:r>
          </w:p>
        </w:tc>
        <w:tc>
          <w:tcPr>
            <w:tcW w:w="1738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комплексные соглашения</w:t>
            </w:r>
          </w:p>
        </w:tc>
        <w:tc>
          <w:tcPr>
            <w:tcW w:w="1278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ТКО</w:t>
            </w:r>
          </w:p>
        </w:tc>
        <w:tc>
          <w:tcPr>
            <w:tcW w:w="1208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</w:tr>
      <w:tr w:rsidR="00C2031F" w:rsidRPr="00CC5460" w:rsidTr="008016FD">
        <w:tc>
          <w:tcPr>
            <w:tcW w:w="1553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26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868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738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278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08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C2031F" w:rsidRPr="00CC5460" w:rsidTr="008016FD">
        <w:tc>
          <w:tcPr>
            <w:tcW w:w="1553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50</w:t>
            </w:r>
          </w:p>
        </w:tc>
        <w:tc>
          <w:tcPr>
            <w:tcW w:w="1926" w:type="dxa"/>
          </w:tcPr>
          <w:p w:rsidR="00C2031F" w:rsidRPr="007E649F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(85,9 %)</w:t>
            </w:r>
          </w:p>
        </w:tc>
        <w:tc>
          <w:tcPr>
            <w:tcW w:w="1868" w:type="dxa"/>
          </w:tcPr>
          <w:p w:rsidR="00C2031F" w:rsidRPr="007E649F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(95,3 %)</w:t>
            </w:r>
          </w:p>
        </w:tc>
        <w:tc>
          <w:tcPr>
            <w:tcW w:w="1738" w:type="dxa"/>
          </w:tcPr>
          <w:p w:rsidR="00C2031F" w:rsidRPr="007E649F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(70,1 %)</w:t>
            </w:r>
          </w:p>
        </w:tc>
        <w:tc>
          <w:tcPr>
            <w:tcW w:w="1278" w:type="dxa"/>
          </w:tcPr>
          <w:p w:rsidR="00C2031F" w:rsidRPr="003D480D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210AE">
              <w:rPr>
                <w:rFonts w:ascii="Times New Roman" w:hAnsi="Times New Roman" w:cs="Times New Roman"/>
                <w:sz w:val="20"/>
                <w:szCs w:val="20"/>
              </w:rPr>
              <w:t xml:space="preserve"> (52,8 %)</w:t>
            </w:r>
          </w:p>
        </w:tc>
        <w:tc>
          <w:tcPr>
            <w:tcW w:w="1208" w:type="dxa"/>
          </w:tcPr>
          <w:p w:rsidR="00C2031F" w:rsidRPr="003D480D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5E3699">
              <w:rPr>
                <w:rFonts w:ascii="Times New Roman" w:hAnsi="Times New Roman" w:cs="Times New Roman"/>
                <w:sz w:val="20"/>
                <w:szCs w:val="20"/>
              </w:rPr>
              <w:t xml:space="preserve"> (58,5 %)</w:t>
            </w:r>
          </w:p>
        </w:tc>
      </w:tr>
      <w:tr w:rsidR="00C2031F" w:rsidRPr="00CC5460" w:rsidTr="008016FD">
        <w:tc>
          <w:tcPr>
            <w:tcW w:w="1553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50 до 100</w:t>
            </w:r>
          </w:p>
        </w:tc>
        <w:tc>
          <w:tcPr>
            <w:tcW w:w="1926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(7,4 %)</w:t>
            </w:r>
          </w:p>
        </w:tc>
        <w:tc>
          <w:tcPr>
            <w:tcW w:w="186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(2,5 %)</w:t>
            </w:r>
          </w:p>
        </w:tc>
        <w:tc>
          <w:tcPr>
            <w:tcW w:w="173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(11,8 %)</w:t>
            </w:r>
          </w:p>
        </w:tc>
        <w:tc>
          <w:tcPr>
            <w:tcW w:w="127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210AE">
              <w:rPr>
                <w:rFonts w:ascii="Times New Roman" w:hAnsi="Times New Roman" w:cs="Times New Roman"/>
                <w:sz w:val="20"/>
                <w:szCs w:val="20"/>
              </w:rPr>
              <w:t xml:space="preserve"> (17,0 %)</w:t>
            </w:r>
          </w:p>
        </w:tc>
        <w:tc>
          <w:tcPr>
            <w:tcW w:w="120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E3699">
              <w:rPr>
                <w:rFonts w:ascii="Times New Roman" w:hAnsi="Times New Roman" w:cs="Times New Roman"/>
                <w:sz w:val="20"/>
                <w:szCs w:val="20"/>
              </w:rPr>
              <w:t xml:space="preserve"> (13,2 %)</w:t>
            </w:r>
          </w:p>
        </w:tc>
      </w:tr>
      <w:tr w:rsidR="00C2031F" w:rsidRPr="00CC5460" w:rsidTr="008016FD">
        <w:tc>
          <w:tcPr>
            <w:tcW w:w="1553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100 до 250</w:t>
            </w:r>
          </w:p>
        </w:tc>
        <w:tc>
          <w:tcPr>
            <w:tcW w:w="1926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(3,5 %)</w:t>
            </w:r>
          </w:p>
        </w:tc>
        <w:tc>
          <w:tcPr>
            <w:tcW w:w="186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(1,7 %)</w:t>
            </w:r>
          </w:p>
        </w:tc>
        <w:tc>
          <w:tcPr>
            <w:tcW w:w="173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(11,4 %)</w:t>
            </w:r>
          </w:p>
        </w:tc>
        <w:tc>
          <w:tcPr>
            <w:tcW w:w="127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210AE">
              <w:rPr>
                <w:rFonts w:ascii="Times New Roman" w:hAnsi="Times New Roman" w:cs="Times New Roman"/>
                <w:sz w:val="20"/>
                <w:szCs w:val="20"/>
              </w:rPr>
              <w:t xml:space="preserve"> (13,2 %)</w:t>
            </w:r>
          </w:p>
        </w:tc>
        <w:tc>
          <w:tcPr>
            <w:tcW w:w="120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E3699">
              <w:rPr>
                <w:rFonts w:ascii="Times New Roman" w:hAnsi="Times New Roman" w:cs="Times New Roman"/>
                <w:sz w:val="20"/>
                <w:szCs w:val="20"/>
              </w:rPr>
              <w:t xml:space="preserve"> (17,0 %)</w:t>
            </w:r>
          </w:p>
        </w:tc>
      </w:tr>
      <w:tr w:rsidR="00C2031F" w:rsidRPr="00CC5460" w:rsidTr="008016FD">
        <w:tc>
          <w:tcPr>
            <w:tcW w:w="1553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250 до 500</w:t>
            </w:r>
          </w:p>
        </w:tc>
        <w:tc>
          <w:tcPr>
            <w:tcW w:w="1926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(1,8 %)</w:t>
            </w:r>
          </w:p>
        </w:tc>
        <w:tc>
          <w:tcPr>
            <w:tcW w:w="186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(0,2 %)</w:t>
            </w:r>
          </w:p>
        </w:tc>
        <w:tc>
          <w:tcPr>
            <w:tcW w:w="173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(2,0 %)</w:t>
            </w:r>
          </w:p>
        </w:tc>
        <w:tc>
          <w:tcPr>
            <w:tcW w:w="127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210AE">
              <w:rPr>
                <w:rFonts w:ascii="Times New Roman" w:hAnsi="Times New Roman" w:cs="Times New Roman"/>
                <w:sz w:val="20"/>
                <w:szCs w:val="20"/>
              </w:rPr>
              <w:t xml:space="preserve"> (9,4 %)</w:t>
            </w:r>
          </w:p>
        </w:tc>
        <w:tc>
          <w:tcPr>
            <w:tcW w:w="120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E3699">
              <w:rPr>
                <w:rFonts w:ascii="Times New Roman" w:hAnsi="Times New Roman" w:cs="Times New Roman"/>
                <w:sz w:val="20"/>
                <w:szCs w:val="20"/>
              </w:rPr>
              <w:t xml:space="preserve"> (5,7 %)</w:t>
            </w:r>
          </w:p>
        </w:tc>
      </w:tr>
      <w:tr w:rsidR="00C2031F" w:rsidRPr="00CC5460" w:rsidTr="008016FD">
        <w:tc>
          <w:tcPr>
            <w:tcW w:w="1553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500 до 1 000</w:t>
            </w:r>
          </w:p>
        </w:tc>
        <w:tc>
          <w:tcPr>
            <w:tcW w:w="1926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(0,6 %)</w:t>
            </w:r>
          </w:p>
        </w:tc>
        <w:tc>
          <w:tcPr>
            <w:tcW w:w="186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(0,2 %)</w:t>
            </w:r>
          </w:p>
        </w:tc>
        <w:tc>
          <w:tcPr>
            <w:tcW w:w="173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(1,6 %)</w:t>
            </w:r>
          </w:p>
        </w:tc>
        <w:tc>
          <w:tcPr>
            <w:tcW w:w="127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10AE">
              <w:rPr>
                <w:rFonts w:ascii="Times New Roman" w:hAnsi="Times New Roman" w:cs="Times New Roman"/>
                <w:sz w:val="20"/>
                <w:szCs w:val="20"/>
              </w:rPr>
              <w:t xml:space="preserve"> (1,9 %)</w:t>
            </w:r>
          </w:p>
        </w:tc>
        <w:tc>
          <w:tcPr>
            <w:tcW w:w="120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3699">
              <w:rPr>
                <w:rFonts w:ascii="Times New Roman" w:hAnsi="Times New Roman" w:cs="Times New Roman"/>
                <w:sz w:val="20"/>
                <w:szCs w:val="20"/>
              </w:rPr>
              <w:t xml:space="preserve"> (1,9 %)</w:t>
            </w:r>
          </w:p>
        </w:tc>
      </w:tr>
      <w:tr w:rsidR="00C2031F" w:rsidRPr="00CC5460" w:rsidTr="008016FD">
        <w:tc>
          <w:tcPr>
            <w:tcW w:w="1553" w:type="dxa"/>
          </w:tcPr>
          <w:p w:rsidR="00C2031F" w:rsidRPr="00CC5460" w:rsidRDefault="0082425E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2031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2031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более</w:t>
            </w:r>
          </w:p>
        </w:tc>
        <w:tc>
          <w:tcPr>
            <w:tcW w:w="1926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(0,6 %)</w:t>
            </w:r>
          </w:p>
        </w:tc>
        <w:tc>
          <w:tcPr>
            <w:tcW w:w="186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(2,4 %)</w:t>
            </w:r>
          </w:p>
        </w:tc>
        <w:tc>
          <w:tcPr>
            <w:tcW w:w="127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10AE">
              <w:rPr>
                <w:rFonts w:ascii="Times New Roman" w:hAnsi="Times New Roman" w:cs="Times New Roman"/>
                <w:sz w:val="20"/>
                <w:szCs w:val="20"/>
              </w:rPr>
              <w:t xml:space="preserve"> (1,9 %)</w:t>
            </w:r>
          </w:p>
        </w:tc>
        <w:tc>
          <w:tcPr>
            <w:tcW w:w="120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3699">
              <w:rPr>
                <w:rFonts w:ascii="Times New Roman" w:hAnsi="Times New Roman" w:cs="Times New Roman"/>
                <w:sz w:val="20"/>
                <w:szCs w:val="20"/>
              </w:rPr>
              <w:t xml:space="preserve"> (3,8 %)</w:t>
            </w:r>
          </w:p>
        </w:tc>
      </w:tr>
      <w:tr w:rsidR="00C2031F" w:rsidRPr="00CC5460" w:rsidTr="00515FA0">
        <w:trPr>
          <w:trHeight w:val="70"/>
        </w:trPr>
        <w:tc>
          <w:tcPr>
            <w:tcW w:w="1553" w:type="dxa"/>
          </w:tcPr>
          <w:p w:rsidR="00C2031F" w:rsidRPr="00CC5460" w:rsidRDefault="00C2031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несколько н/п</w:t>
            </w: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6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(0,2 %)</w:t>
            </w:r>
          </w:p>
        </w:tc>
        <w:tc>
          <w:tcPr>
            <w:tcW w:w="186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:rsidR="00C2031F" w:rsidRPr="00CC5460" w:rsidRDefault="007E649F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1F01">
              <w:rPr>
                <w:rFonts w:ascii="Times New Roman" w:hAnsi="Times New Roman" w:cs="Times New Roman"/>
                <w:sz w:val="20"/>
                <w:szCs w:val="20"/>
              </w:rPr>
              <w:t xml:space="preserve"> (0,8 %)</w:t>
            </w:r>
          </w:p>
        </w:tc>
        <w:tc>
          <w:tcPr>
            <w:tcW w:w="127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10AE">
              <w:rPr>
                <w:rFonts w:ascii="Times New Roman" w:hAnsi="Times New Roman" w:cs="Times New Roman"/>
                <w:sz w:val="20"/>
                <w:szCs w:val="20"/>
              </w:rPr>
              <w:t xml:space="preserve"> (3,8 %)</w:t>
            </w:r>
          </w:p>
        </w:tc>
        <w:tc>
          <w:tcPr>
            <w:tcW w:w="1208" w:type="dxa"/>
          </w:tcPr>
          <w:p w:rsidR="00C2031F" w:rsidRPr="00CC5460" w:rsidRDefault="003D480D" w:rsidP="00801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577E2" w:rsidRPr="00CC5460" w:rsidRDefault="004577E2" w:rsidP="004577E2">
      <w:pPr>
        <w:ind w:firstLine="0"/>
        <w:rPr>
          <w:rFonts w:ascii="Times New Roman" w:hAnsi="Times New Roman" w:cs="Times New Roman"/>
        </w:rPr>
      </w:pPr>
      <w:r w:rsidRPr="0082425E">
        <w:rPr>
          <w:rFonts w:ascii="Times New Roman" w:hAnsi="Times New Roman" w:cs="Times New Roman"/>
        </w:rPr>
        <w:t>Источник</w:t>
      </w:r>
      <w:r w:rsidRPr="007E00B3">
        <w:rPr>
          <w:rFonts w:ascii="Times New Roman" w:hAnsi="Times New Roman" w:cs="Times New Roman"/>
        </w:rPr>
        <w:t xml:space="preserve">: </w:t>
      </w:r>
      <w:r w:rsidRPr="0082425E">
        <w:rPr>
          <w:rFonts w:ascii="Times New Roman" w:hAnsi="Times New Roman" w:cs="Times New Roman"/>
        </w:rPr>
        <w:t>данные субъектов Российской Федерации</w:t>
      </w:r>
    </w:p>
    <w:p w:rsidR="0041608A" w:rsidRPr="0041608A" w:rsidRDefault="0041608A" w:rsidP="0041608A">
      <w:pPr>
        <w:rPr>
          <w:rFonts w:ascii="Times New Roman" w:hAnsi="Times New Roman" w:cs="Times New Roman"/>
          <w:sz w:val="28"/>
          <w:szCs w:val="28"/>
        </w:rPr>
      </w:pPr>
      <w:r w:rsidRPr="0041608A">
        <w:rPr>
          <w:rFonts w:ascii="Times New Roman" w:hAnsi="Times New Roman" w:cs="Times New Roman"/>
          <w:sz w:val="28"/>
          <w:szCs w:val="28"/>
        </w:rPr>
        <w:t>В населенных пунктах с численностью до 50 тыс. человек заключено наибольшее количество соглашений – 1 335, или 83,7 % общего числа выборки, их них 900 соглашений с объемом инвестиций менее 10 млн рублей.</w:t>
      </w:r>
    </w:p>
    <w:p w:rsidR="0041608A" w:rsidRDefault="0041608A" w:rsidP="0041608A">
      <w:pPr>
        <w:rPr>
          <w:rFonts w:ascii="Times New Roman" w:hAnsi="Times New Roman" w:cs="Times New Roman"/>
          <w:sz w:val="28"/>
          <w:szCs w:val="28"/>
        </w:rPr>
      </w:pPr>
      <w:r w:rsidRPr="0041608A">
        <w:rPr>
          <w:rFonts w:ascii="Times New Roman" w:hAnsi="Times New Roman" w:cs="Times New Roman"/>
          <w:sz w:val="28"/>
          <w:szCs w:val="28"/>
        </w:rPr>
        <w:t xml:space="preserve">Преобладающая доля соглашений с объемом обязательств в размере более 500 млн рублей </w:t>
      </w:r>
      <w:r w:rsidR="005C0EBB">
        <w:rPr>
          <w:rFonts w:ascii="Times New Roman" w:hAnsi="Times New Roman" w:cs="Times New Roman"/>
          <w:sz w:val="28"/>
          <w:szCs w:val="28"/>
        </w:rPr>
        <w:t>относится к городам</w:t>
      </w:r>
      <w:r w:rsidRPr="0041608A">
        <w:rPr>
          <w:rFonts w:ascii="Times New Roman" w:hAnsi="Times New Roman" w:cs="Times New Roman"/>
          <w:sz w:val="28"/>
          <w:szCs w:val="28"/>
        </w:rPr>
        <w:t xml:space="preserve"> с численностью от 250 тыс. человек.</w:t>
      </w:r>
    </w:p>
    <w:p w:rsidR="001625D9" w:rsidRDefault="001625D9" w:rsidP="002F15F9">
      <w:pPr>
        <w:ind w:firstLine="0"/>
        <w:jc w:val="right"/>
        <w:rPr>
          <w:rFonts w:ascii="Times New Roman" w:hAnsi="Times New Roman" w:cs="Times New Roman"/>
        </w:rPr>
      </w:pPr>
    </w:p>
    <w:p w:rsidR="002F15F9" w:rsidRDefault="002F15F9" w:rsidP="002F15F9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</w:p>
    <w:p w:rsidR="002F15F9" w:rsidRPr="002F15F9" w:rsidRDefault="002F15F9" w:rsidP="002F15F9">
      <w:pPr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2F15F9">
        <w:rPr>
          <w:rFonts w:ascii="Times New Roman" w:hAnsi="Times New Roman" w:cs="Times New Roman"/>
          <w:b/>
        </w:rPr>
        <w:t>Сопоставление концессионных соглашений по численности населения и объемам инвестиций</w:t>
      </w:r>
    </w:p>
    <w:tbl>
      <w:tblPr>
        <w:tblStyle w:val="af1"/>
        <w:tblW w:w="10173" w:type="dxa"/>
        <w:tblInd w:w="-459" w:type="dxa"/>
        <w:tblLook w:val="04A0" w:firstRow="1" w:lastRow="0" w:firstColumn="1" w:lastColumn="0" w:noHBand="0" w:noVBand="1"/>
      </w:tblPr>
      <w:tblGrid>
        <w:gridCol w:w="1660"/>
        <w:gridCol w:w="1283"/>
        <w:gridCol w:w="1276"/>
        <w:gridCol w:w="1276"/>
        <w:gridCol w:w="1276"/>
        <w:gridCol w:w="1134"/>
        <w:gridCol w:w="1134"/>
        <w:gridCol w:w="1134"/>
      </w:tblGrid>
      <w:tr w:rsidR="004807D7" w:rsidRPr="00CC5460" w:rsidTr="004807D7">
        <w:tc>
          <w:tcPr>
            <w:tcW w:w="1660" w:type="dxa"/>
          </w:tcPr>
          <w:p w:rsidR="008A680A" w:rsidRPr="00CC5460" w:rsidRDefault="008A680A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Группы </w:t>
            </w:r>
            <w:r w:rsidR="00301DC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по инвестициям</w:t>
            </w:r>
          </w:p>
        </w:tc>
        <w:tc>
          <w:tcPr>
            <w:tcW w:w="1283" w:type="dxa"/>
          </w:tcPr>
          <w:p w:rsidR="008A680A" w:rsidRPr="00CC5460" w:rsidRDefault="008A680A" w:rsidP="002F15F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50</w:t>
            </w:r>
          </w:p>
        </w:tc>
        <w:tc>
          <w:tcPr>
            <w:tcW w:w="1276" w:type="dxa"/>
          </w:tcPr>
          <w:p w:rsidR="008A680A" w:rsidRPr="00CC5460" w:rsidRDefault="00301DCA" w:rsidP="002F15F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A680A">
              <w:rPr>
                <w:rFonts w:ascii="Times New Roman" w:hAnsi="Times New Roman" w:cs="Times New Roman"/>
                <w:sz w:val="20"/>
                <w:szCs w:val="20"/>
              </w:rPr>
              <w:t>т 50 до 100</w:t>
            </w:r>
          </w:p>
        </w:tc>
        <w:tc>
          <w:tcPr>
            <w:tcW w:w="1276" w:type="dxa"/>
          </w:tcPr>
          <w:p w:rsidR="008A680A" w:rsidRPr="00CC5460" w:rsidRDefault="008A680A" w:rsidP="002F15F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100 </w:t>
            </w:r>
            <w:r w:rsidR="002F15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250</w:t>
            </w:r>
          </w:p>
        </w:tc>
        <w:tc>
          <w:tcPr>
            <w:tcW w:w="1276" w:type="dxa"/>
          </w:tcPr>
          <w:p w:rsidR="008A680A" w:rsidRPr="00CC5460" w:rsidRDefault="008A680A" w:rsidP="002F15F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250 до 500</w:t>
            </w:r>
          </w:p>
        </w:tc>
        <w:tc>
          <w:tcPr>
            <w:tcW w:w="1134" w:type="dxa"/>
          </w:tcPr>
          <w:p w:rsidR="008A680A" w:rsidRPr="00CC5460" w:rsidRDefault="008A680A" w:rsidP="002F15F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500 </w:t>
            </w:r>
            <w:r w:rsidR="002F15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1 000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A6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680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5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более</w:t>
            </w:r>
          </w:p>
        </w:tc>
        <w:tc>
          <w:tcPr>
            <w:tcW w:w="1134" w:type="dxa"/>
          </w:tcPr>
          <w:p w:rsidR="008A680A" w:rsidRDefault="008A680A" w:rsidP="002F15F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>еск</w:t>
            </w:r>
            <w:proofErr w:type="spellEnd"/>
            <w:r w:rsidR="004807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н/п</w:t>
            </w:r>
          </w:p>
        </w:tc>
      </w:tr>
      <w:tr w:rsidR="004807D7" w:rsidRPr="00CC5460" w:rsidTr="004807D7">
        <w:tc>
          <w:tcPr>
            <w:tcW w:w="1660" w:type="dxa"/>
          </w:tcPr>
          <w:p w:rsidR="008A680A" w:rsidRPr="00CC5460" w:rsidRDefault="008A680A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3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1 335</w:t>
            </w:r>
          </w:p>
        </w:tc>
        <w:tc>
          <w:tcPr>
            <w:tcW w:w="1276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07D7" w:rsidRPr="00CC5460" w:rsidTr="004807D7">
        <w:tc>
          <w:tcPr>
            <w:tcW w:w="1660" w:type="dxa"/>
          </w:tcPr>
          <w:p w:rsidR="008A680A" w:rsidRPr="00CC5460" w:rsidRDefault="008A680A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Менее 1 млн рублей</w:t>
            </w:r>
          </w:p>
        </w:tc>
        <w:tc>
          <w:tcPr>
            <w:tcW w:w="1283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(31,3 %)</w:t>
            </w:r>
          </w:p>
        </w:tc>
        <w:tc>
          <w:tcPr>
            <w:tcW w:w="1276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(12,7 %)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(3,7 %)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(7,1 %)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07D7" w:rsidRPr="00CC5460" w:rsidTr="004807D7">
        <w:tc>
          <w:tcPr>
            <w:tcW w:w="1660" w:type="dxa"/>
          </w:tcPr>
          <w:p w:rsidR="008A680A" w:rsidRPr="00CC5460" w:rsidRDefault="008A680A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От 1 до 10 млн рублей </w:t>
            </w:r>
          </w:p>
        </w:tc>
        <w:tc>
          <w:tcPr>
            <w:tcW w:w="1283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(36,1 %)</w:t>
            </w:r>
          </w:p>
        </w:tc>
        <w:tc>
          <w:tcPr>
            <w:tcW w:w="1276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(27,1 %)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(16,0 %)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(17,2 %)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(8,3 %)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07D7" w:rsidRPr="00CC5460" w:rsidTr="004807D7">
        <w:tc>
          <w:tcPr>
            <w:tcW w:w="1660" w:type="dxa"/>
          </w:tcPr>
          <w:p w:rsidR="008A680A" w:rsidRPr="00CC5460" w:rsidRDefault="008A680A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От 10 до 20 млн рублей </w:t>
            </w:r>
          </w:p>
        </w:tc>
        <w:tc>
          <w:tcPr>
            <w:tcW w:w="1283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(7,8 %)</w:t>
            </w:r>
          </w:p>
        </w:tc>
        <w:tc>
          <w:tcPr>
            <w:tcW w:w="1276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(5,1 %)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(8,6 %)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(13,8 %)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07D7" w:rsidRPr="00CC5460" w:rsidTr="004807D7">
        <w:tc>
          <w:tcPr>
            <w:tcW w:w="1660" w:type="dxa"/>
          </w:tcPr>
          <w:p w:rsidR="008A680A" w:rsidRPr="00CC5460" w:rsidRDefault="008A680A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>От 20 до 50 млн рублей</w:t>
            </w:r>
          </w:p>
        </w:tc>
        <w:tc>
          <w:tcPr>
            <w:tcW w:w="1283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(8,8 %)</w:t>
            </w:r>
          </w:p>
        </w:tc>
        <w:tc>
          <w:tcPr>
            <w:tcW w:w="1276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(13,6 %)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(9,9 %)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(3,4 %)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(8,3 %)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07D7" w:rsidRPr="00CC5460" w:rsidTr="004807D7">
        <w:tc>
          <w:tcPr>
            <w:tcW w:w="1660" w:type="dxa"/>
          </w:tcPr>
          <w:p w:rsidR="008A680A" w:rsidRPr="00CC5460" w:rsidRDefault="008A680A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От 50 до 150 млн рублей </w:t>
            </w:r>
          </w:p>
        </w:tc>
        <w:tc>
          <w:tcPr>
            <w:tcW w:w="1283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(6,4 %)</w:t>
            </w:r>
          </w:p>
        </w:tc>
        <w:tc>
          <w:tcPr>
            <w:tcW w:w="1276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(11,9 %)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(6,2 %)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(6,9 %)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07D7" w:rsidRPr="00CC5460" w:rsidTr="004807D7">
        <w:tc>
          <w:tcPr>
            <w:tcW w:w="1660" w:type="dxa"/>
          </w:tcPr>
          <w:p w:rsidR="008A680A" w:rsidRPr="00CC5460" w:rsidRDefault="008A680A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От 150 до 500 млн рублей </w:t>
            </w:r>
          </w:p>
        </w:tc>
        <w:tc>
          <w:tcPr>
            <w:tcW w:w="1283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(5,8 %)</w:t>
            </w:r>
          </w:p>
        </w:tc>
        <w:tc>
          <w:tcPr>
            <w:tcW w:w="1276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(16,1 %)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(22,2 %)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(6,9 %)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(16,7 %)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(28,6 %)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(50 %)</w:t>
            </w:r>
          </w:p>
        </w:tc>
      </w:tr>
      <w:tr w:rsidR="004807D7" w:rsidRPr="00CC5460" w:rsidTr="004807D7">
        <w:tc>
          <w:tcPr>
            <w:tcW w:w="1660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CC5460">
              <w:rPr>
                <w:rFonts w:ascii="Times New Roman" w:hAnsi="Times New Roman" w:cs="Times New Roman"/>
                <w:sz w:val="20"/>
                <w:szCs w:val="20"/>
              </w:rPr>
              <w:t xml:space="preserve">500 млн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более</w:t>
            </w:r>
          </w:p>
        </w:tc>
        <w:tc>
          <w:tcPr>
            <w:tcW w:w="1283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(3,1 %)</w:t>
            </w:r>
          </w:p>
        </w:tc>
        <w:tc>
          <w:tcPr>
            <w:tcW w:w="1276" w:type="dxa"/>
          </w:tcPr>
          <w:p w:rsidR="008A680A" w:rsidRPr="00CC5460" w:rsidRDefault="00034CEC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(13,6 %)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15FA0">
              <w:rPr>
                <w:rFonts w:ascii="Times New Roman" w:hAnsi="Times New Roman" w:cs="Times New Roman"/>
                <w:sz w:val="20"/>
                <w:szCs w:val="20"/>
              </w:rPr>
              <w:t xml:space="preserve"> (33,3 %)</w:t>
            </w:r>
          </w:p>
        </w:tc>
        <w:tc>
          <w:tcPr>
            <w:tcW w:w="1276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(51,7 %)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(66,7 %)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(64,3 %)</w:t>
            </w:r>
          </w:p>
        </w:tc>
        <w:tc>
          <w:tcPr>
            <w:tcW w:w="1134" w:type="dxa"/>
          </w:tcPr>
          <w:p w:rsidR="008A680A" w:rsidRPr="00CC5460" w:rsidRDefault="0082425E" w:rsidP="002F15F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7D7">
              <w:rPr>
                <w:rFonts w:ascii="Times New Roman" w:hAnsi="Times New Roman" w:cs="Times New Roman"/>
                <w:sz w:val="20"/>
                <w:szCs w:val="20"/>
              </w:rPr>
              <w:t xml:space="preserve"> (50 %)</w:t>
            </w:r>
          </w:p>
        </w:tc>
      </w:tr>
    </w:tbl>
    <w:p w:rsidR="008A680A" w:rsidRPr="00CC5460" w:rsidRDefault="004807D7" w:rsidP="004807D7">
      <w:pPr>
        <w:ind w:hanging="567"/>
        <w:rPr>
          <w:rFonts w:ascii="Times New Roman" w:hAnsi="Times New Roman" w:cs="Times New Roman"/>
          <w:sz w:val="28"/>
          <w:szCs w:val="28"/>
        </w:rPr>
      </w:pPr>
      <w:r w:rsidRPr="0082425E">
        <w:rPr>
          <w:rFonts w:ascii="Times New Roman" w:hAnsi="Times New Roman" w:cs="Times New Roman"/>
        </w:rPr>
        <w:t>Источник</w:t>
      </w:r>
      <w:r w:rsidRPr="007E00B3">
        <w:rPr>
          <w:rFonts w:ascii="Times New Roman" w:hAnsi="Times New Roman" w:cs="Times New Roman"/>
        </w:rPr>
        <w:t xml:space="preserve">: </w:t>
      </w:r>
      <w:r w:rsidRPr="0082425E">
        <w:rPr>
          <w:rFonts w:ascii="Times New Roman" w:hAnsi="Times New Roman" w:cs="Times New Roman"/>
        </w:rPr>
        <w:t>данные субъектов Российской Федерации</w:t>
      </w:r>
    </w:p>
    <w:p w:rsidR="004807D7" w:rsidRDefault="004807D7" w:rsidP="004807D7">
      <w:pPr>
        <w:spacing w:line="240" w:lineRule="auto"/>
        <w:ind w:firstLine="0"/>
        <w:rPr>
          <w:rFonts w:ascii="Times New Roman" w:hAnsi="Times New Roman" w:cs="Times New Roman"/>
        </w:rPr>
      </w:pPr>
    </w:p>
    <w:p w:rsidR="00F40BC3" w:rsidRPr="00F40BC3" w:rsidRDefault="00F40BC3" w:rsidP="00F40BC3">
      <w:pPr>
        <w:spacing w:line="348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</w:pPr>
      <w:r w:rsidRPr="00F40BC3"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  <w:t xml:space="preserve">Анализ срока реализации, на который заключались концессионные соглашения, показал, что большая часть соглашений заключалась на срок </w:t>
      </w:r>
      <w:r w:rsidRPr="00F40BC3"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  <w:br/>
        <w:t>от 10 до 1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  <w:t>5</w:t>
      </w:r>
      <w:r w:rsidRPr="00F40BC3"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  <w:t xml:space="preserve"> лет – 3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  <w:t>5,1</w:t>
      </w:r>
      <w:r w:rsidRPr="00F40BC3"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  <w:t xml:space="preserve"> % </w:t>
      </w:r>
      <w:r w:rsidR="002B5AA0"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  <w:t xml:space="preserve">(560 ед.) </w:t>
      </w:r>
      <w:r w:rsidRPr="00F40BC3"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  <w:t>общего числа заключенных соглашений.</w:t>
      </w:r>
    </w:p>
    <w:p w:rsidR="00F40BC3" w:rsidRPr="00F40BC3" w:rsidRDefault="00F40BC3" w:rsidP="00F40BC3">
      <w:pPr>
        <w:spacing w:line="348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</w:pPr>
      <w:r w:rsidRPr="00F40BC3"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  <w:t xml:space="preserve">На срок до 10 лет заключались 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  <w:t>28,1 %</w:t>
      </w:r>
      <w:r w:rsidR="002B5AA0">
        <w:rPr>
          <w:rFonts w:ascii="Times New Roman" w:eastAsia="Calibri" w:hAnsi="Times New Roman" w:cs="Times New Roman"/>
          <w:color w:val="auto"/>
          <w:kern w:val="0"/>
          <w:sz w:val="28"/>
          <w:szCs w:val="28"/>
          <w14:ligatures w14:val="none"/>
        </w:rPr>
        <w:t>, или 448 соглашений.</w:t>
      </w:r>
    </w:p>
    <w:p w:rsidR="00F40BC3" w:rsidRDefault="00F40BC3" w:rsidP="004807D7">
      <w:pPr>
        <w:spacing w:line="240" w:lineRule="auto"/>
        <w:ind w:firstLine="0"/>
        <w:rPr>
          <w:rFonts w:ascii="Times New Roman" w:hAnsi="Times New Roman" w:cs="Times New Roman"/>
        </w:rPr>
      </w:pPr>
    </w:p>
    <w:p w:rsidR="004807D7" w:rsidRPr="00CC5460" w:rsidRDefault="004807D7" w:rsidP="004807D7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Рисунок 5</w:t>
      </w:r>
      <w:r w:rsidRPr="0082425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Доля концессионных соглашений по срока</w:t>
      </w:r>
      <w:r w:rsidR="001757C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реализации, лет</w:t>
      </w:r>
    </w:p>
    <w:p w:rsidR="008C3981" w:rsidRPr="00CC5460" w:rsidRDefault="008C3981" w:rsidP="008C39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C54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6CC327" wp14:editId="6A5D1D71">
            <wp:extent cx="5940425" cy="2796540"/>
            <wp:effectExtent l="0" t="0" r="3175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07D7" w:rsidRPr="00CC5460" w:rsidRDefault="004807D7" w:rsidP="004807D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2425E">
        <w:rPr>
          <w:rFonts w:ascii="Times New Roman" w:hAnsi="Times New Roman" w:cs="Times New Roman"/>
        </w:rPr>
        <w:t>Источник</w:t>
      </w:r>
      <w:r w:rsidRPr="007E00B3">
        <w:rPr>
          <w:rFonts w:ascii="Times New Roman" w:hAnsi="Times New Roman" w:cs="Times New Roman"/>
        </w:rPr>
        <w:t xml:space="preserve">: </w:t>
      </w:r>
      <w:r w:rsidRPr="0082425E">
        <w:rPr>
          <w:rFonts w:ascii="Times New Roman" w:hAnsi="Times New Roman" w:cs="Times New Roman"/>
        </w:rPr>
        <w:t>данные субъектов Российской Федерации</w:t>
      </w:r>
    </w:p>
    <w:p w:rsidR="001722F2" w:rsidRDefault="001722F2" w:rsidP="00777B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:rsidR="001722F2" w:rsidRDefault="001722F2" w:rsidP="00777B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:rsidR="001722F2" w:rsidRDefault="001722F2" w:rsidP="00777B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:rsidR="00777B22" w:rsidRPr="00777B22" w:rsidRDefault="00777B22" w:rsidP="00777B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В рамках экспертно-аналитического мероприятия проведен анализ сведений о 91 КС с финансовым участием концедента</w:t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vertAlign w:val="superscript"/>
          <w:lang w:eastAsia="ru-RU"/>
          <w14:ligatures w14:val="none"/>
        </w:rPr>
        <w:footnoteReference w:id="1"/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16,4</w:t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% от заключенных КС</w:t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vertAlign w:val="superscript"/>
          <w:lang w:eastAsia="ru-RU"/>
          <w14:ligatures w14:val="none"/>
        </w:rPr>
        <w:footnoteReference w:id="2"/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в 2021 – 2024 годы), размещенных в ГАС «Управление»</w:t>
      </w:r>
      <w:r w:rsidRPr="00777B22">
        <w:rPr>
          <w:rFonts w:ascii="Times New Roman" w:eastAsia="Calibri" w:hAnsi="Times New Roman" w:cs="Times New Roman"/>
          <w:color w:val="auto"/>
          <w:kern w:val="0"/>
          <w:sz w:val="28"/>
          <w:szCs w:val="22"/>
          <w14:ligatures w14:val="none"/>
        </w:rPr>
        <w:t xml:space="preserve">, из них в 76 КС предусмотрена плата концедента, в 13 КС – капитальный грант, в 2 КС – плата концедента и капитальный грант.  </w:t>
      </w:r>
    </w:p>
    <w:p w:rsidR="00777B22" w:rsidRPr="00777B22" w:rsidRDefault="00777B22" w:rsidP="00777B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Общий объем финансирования данных КС за счет средств консолидированных бюджетов Российской Федерации и муниципальных образований (капитальный грант и плата концедента) составляет 38 307,0 млн рублей (35,5 %</w:t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vertAlign w:val="superscript"/>
          <w:lang w:eastAsia="ru-RU"/>
          <w14:ligatures w14:val="none"/>
        </w:rPr>
        <w:footnoteReference w:id="3"/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общего объема инвестиций по КС), в том числе за счет платы концедента – 30 597,8 млн. рублей (28,4 %), за счет капитального гранта – 7 709,2 млн. рублей (7,1 %). Указанные КС заключены в 31 субъекте Российской Федерации</w:t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vertAlign w:val="superscript"/>
          <w:lang w:eastAsia="ru-RU"/>
          <w14:ligatures w14:val="none"/>
        </w:rPr>
        <w:footnoteReference w:id="4"/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. </w:t>
      </w:r>
    </w:p>
    <w:p w:rsidR="00777B22" w:rsidRPr="00777B22" w:rsidRDefault="00777B22" w:rsidP="00777B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Данные о расходах концедентов в рамках реализации КС представлены в таблице 4.</w:t>
      </w:r>
    </w:p>
    <w:p w:rsidR="00777B22" w:rsidRPr="00777B22" w:rsidRDefault="00777B22" w:rsidP="00777B22">
      <w:pPr>
        <w:keepNext/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</w:pPr>
      <w:r w:rsidRPr="00777B22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>Таблица 4</w:t>
      </w:r>
    </w:p>
    <w:tbl>
      <w:tblPr>
        <w:tblStyle w:val="12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711"/>
        <w:gridCol w:w="1691"/>
        <w:gridCol w:w="1559"/>
      </w:tblGrid>
      <w:tr w:rsidR="00777B22" w:rsidRPr="00777B22" w:rsidTr="0039270F">
        <w:trPr>
          <w:trHeight w:val="460"/>
        </w:trPr>
        <w:tc>
          <w:tcPr>
            <w:tcW w:w="3397" w:type="dxa"/>
            <w:shd w:val="clear" w:color="auto" w:fill="auto"/>
            <w:noWrap/>
            <w:tcMar>
              <w:left w:w="0" w:type="dxa"/>
            </w:tcMar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Сфера реализации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</w:tcMar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 xml:space="preserve">Кол-во </w:t>
            </w:r>
          </w:p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КС</w:t>
            </w:r>
          </w:p>
        </w:tc>
        <w:tc>
          <w:tcPr>
            <w:tcW w:w="1711" w:type="dxa"/>
            <w:shd w:val="clear" w:color="auto" w:fill="auto"/>
            <w:noWrap/>
            <w:tcMar>
              <w:left w:w="0" w:type="dxa"/>
            </w:tcMar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 xml:space="preserve">Общий </w:t>
            </w:r>
          </w:p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объем, млн рублей</w:t>
            </w:r>
          </w:p>
        </w:tc>
        <w:tc>
          <w:tcPr>
            <w:tcW w:w="1691" w:type="dxa"/>
            <w:shd w:val="clear" w:color="auto" w:fill="auto"/>
            <w:noWrap/>
            <w:tcMar>
              <w:left w:w="0" w:type="dxa"/>
            </w:tcMar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в том числе участие концедента</w:t>
            </w:r>
          </w:p>
        </w:tc>
        <w:tc>
          <w:tcPr>
            <w:tcW w:w="1559" w:type="dxa"/>
            <w:shd w:val="clear" w:color="auto" w:fill="auto"/>
            <w:noWrap/>
            <w:tcMar>
              <w:left w:w="0" w:type="dxa"/>
            </w:tcMar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Доля расходов концедента, %</w:t>
            </w:r>
          </w:p>
        </w:tc>
      </w:tr>
      <w:tr w:rsidR="00777B22" w:rsidRPr="00777B22" w:rsidTr="0039270F">
        <w:trPr>
          <w:trHeight w:val="460"/>
        </w:trPr>
        <w:tc>
          <w:tcPr>
            <w:tcW w:w="3397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Комплексные объекты (водоснабжение и водоотведение)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1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4 978,9</w:t>
            </w:r>
          </w:p>
        </w:tc>
        <w:tc>
          <w:tcPr>
            <w:tcW w:w="169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4 755,8</w:t>
            </w:r>
          </w:p>
        </w:tc>
        <w:tc>
          <w:tcPr>
            <w:tcW w:w="1559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95,5%</w:t>
            </w:r>
          </w:p>
        </w:tc>
      </w:tr>
      <w:tr w:rsidR="00777B22" w:rsidRPr="00777B22" w:rsidTr="0039270F">
        <w:trPr>
          <w:trHeight w:val="247"/>
        </w:trPr>
        <w:tc>
          <w:tcPr>
            <w:tcW w:w="3397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Комплексные объекты (теплоснабжение, водоснабжение и водоотведение)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48 731,1</w:t>
            </w:r>
          </w:p>
        </w:tc>
        <w:tc>
          <w:tcPr>
            <w:tcW w:w="169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1 588,2</w:t>
            </w:r>
          </w:p>
        </w:tc>
        <w:tc>
          <w:tcPr>
            <w:tcW w:w="1559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3,3%</w:t>
            </w:r>
          </w:p>
        </w:tc>
      </w:tr>
      <w:tr w:rsidR="00777B22" w:rsidRPr="00777B22" w:rsidTr="0039270F">
        <w:trPr>
          <w:trHeight w:val="242"/>
        </w:trPr>
        <w:tc>
          <w:tcPr>
            <w:tcW w:w="3397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77B22">
              <w:rPr>
                <w:color w:val="auto"/>
                <w:sz w:val="22"/>
                <w:szCs w:val="22"/>
              </w:rPr>
              <w:t>Водоотведение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77B2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1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77B22">
              <w:rPr>
                <w:color w:val="auto"/>
                <w:sz w:val="22"/>
                <w:szCs w:val="22"/>
              </w:rPr>
              <w:t>20 060,1</w:t>
            </w:r>
          </w:p>
        </w:tc>
        <w:tc>
          <w:tcPr>
            <w:tcW w:w="169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77B22">
              <w:rPr>
                <w:color w:val="auto"/>
                <w:sz w:val="22"/>
                <w:szCs w:val="22"/>
              </w:rPr>
              <w:t>15 752</w:t>
            </w:r>
          </w:p>
        </w:tc>
        <w:tc>
          <w:tcPr>
            <w:tcW w:w="1559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77B22">
              <w:rPr>
                <w:color w:val="auto"/>
                <w:sz w:val="22"/>
                <w:szCs w:val="22"/>
              </w:rPr>
              <w:t>78,5%</w:t>
            </w:r>
          </w:p>
        </w:tc>
      </w:tr>
      <w:tr w:rsidR="00777B22" w:rsidRPr="00777B22" w:rsidTr="0039270F">
        <w:trPr>
          <w:trHeight w:val="274"/>
        </w:trPr>
        <w:tc>
          <w:tcPr>
            <w:tcW w:w="3397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71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9 983,6</w:t>
            </w:r>
          </w:p>
        </w:tc>
        <w:tc>
          <w:tcPr>
            <w:tcW w:w="169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2 488,6</w:t>
            </w:r>
          </w:p>
        </w:tc>
        <w:tc>
          <w:tcPr>
            <w:tcW w:w="1559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24,9%</w:t>
            </w:r>
          </w:p>
        </w:tc>
      </w:tr>
      <w:tr w:rsidR="00777B22" w:rsidRPr="00777B22" w:rsidTr="0039270F">
        <w:trPr>
          <w:trHeight w:val="136"/>
        </w:trPr>
        <w:tc>
          <w:tcPr>
            <w:tcW w:w="3397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71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2 979,4</w:t>
            </w:r>
          </w:p>
        </w:tc>
        <w:tc>
          <w:tcPr>
            <w:tcW w:w="169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952,0</w:t>
            </w:r>
          </w:p>
        </w:tc>
        <w:tc>
          <w:tcPr>
            <w:tcW w:w="1559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32%</w:t>
            </w:r>
          </w:p>
        </w:tc>
      </w:tr>
      <w:tr w:rsidR="00777B22" w:rsidRPr="00777B22" w:rsidTr="0039270F">
        <w:trPr>
          <w:trHeight w:val="136"/>
        </w:trPr>
        <w:tc>
          <w:tcPr>
            <w:tcW w:w="3397" w:type="dxa"/>
            <w:shd w:val="clear" w:color="auto" w:fill="auto"/>
            <w:noWrap/>
            <w:tcMar>
              <w:left w:w="0" w:type="dxa"/>
            </w:tcMar>
            <w:vAlign w:val="center"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</w:tcMar>
            <w:vAlign w:val="center"/>
          </w:tcPr>
          <w:p w:rsidR="00777B22" w:rsidRPr="00777B22" w:rsidRDefault="00777B22" w:rsidP="00777B22">
            <w:pPr>
              <w:widowControl w:val="0"/>
              <w:spacing w:line="240" w:lineRule="auto"/>
              <w:ind w:left="2"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11" w:type="dxa"/>
            <w:shd w:val="clear" w:color="auto" w:fill="auto"/>
            <w:noWrap/>
            <w:tcMar>
              <w:left w:w="0" w:type="dxa"/>
            </w:tcMar>
            <w:vAlign w:val="center"/>
          </w:tcPr>
          <w:p w:rsidR="00777B22" w:rsidRPr="00777B22" w:rsidRDefault="00777B22" w:rsidP="00777B22">
            <w:pPr>
              <w:widowControl w:val="0"/>
              <w:spacing w:line="240" w:lineRule="auto"/>
              <w:ind w:left="4"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11 725,6</w:t>
            </w:r>
          </w:p>
        </w:tc>
        <w:tc>
          <w:tcPr>
            <w:tcW w:w="1691" w:type="dxa"/>
            <w:shd w:val="clear" w:color="auto" w:fill="auto"/>
            <w:noWrap/>
            <w:tcMar>
              <w:left w:w="0" w:type="dxa"/>
            </w:tcMar>
            <w:vAlign w:val="center"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4 560,1</w:t>
            </w:r>
          </w:p>
        </w:tc>
        <w:tc>
          <w:tcPr>
            <w:tcW w:w="1559" w:type="dxa"/>
            <w:shd w:val="clear" w:color="auto" w:fill="auto"/>
            <w:noWrap/>
            <w:tcMar>
              <w:left w:w="0" w:type="dxa"/>
            </w:tcMar>
            <w:vAlign w:val="center"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38,9%</w:t>
            </w:r>
          </w:p>
        </w:tc>
      </w:tr>
      <w:tr w:rsidR="00777B22" w:rsidRPr="00777B22" w:rsidTr="0039270F">
        <w:trPr>
          <w:trHeight w:val="136"/>
        </w:trPr>
        <w:tc>
          <w:tcPr>
            <w:tcW w:w="3397" w:type="dxa"/>
            <w:shd w:val="clear" w:color="auto" w:fill="auto"/>
            <w:noWrap/>
            <w:tcMar>
              <w:left w:w="0" w:type="dxa"/>
            </w:tcMar>
            <w:vAlign w:val="center"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Освещение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</w:tcMar>
            <w:vAlign w:val="center"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tcMar>
              <w:left w:w="0" w:type="dxa"/>
            </w:tcMar>
            <w:vAlign w:val="center"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9 383,3</w:t>
            </w:r>
          </w:p>
        </w:tc>
        <w:tc>
          <w:tcPr>
            <w:tcW w:w="1691" w:type="dxa"/>
            <w:shd w:val="clear" w:color="auto" w:fill="auto"/>
            <w:noWrap/>
            <w:tcMar>
              <w:left w:w="0" w:type="dxa"/>
            </w:tcMar>
            <w:vAlign w:val="center"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8 210,3</w:t>
            </w:r>
          </w:p>
        </w:tc>
        <w:tc>
          <w:tcPr>
            <w:tcW w:w="1559" w:type="dxa"/>
            <w:shd w:val="clear" w:color="auto" w:fill="auto"/>
            <w:noWrap/>
            <w:tcMar>
              <w:left w:w="0" w:type="dxa"/>
            </w:tcMar>
            <w:vAlign w:val="center"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87,5%</w:t>
            </w:r>
          </w:p>
        </w:tc>
      </w:tr>
      <w:tr w:rsidR="00777B22" w:rsidRPr="00777B22" w:rsidTr="0039270F">
        <w:trPr>
          <w:trHeight w:val="131"/>
        </w:trPr>
        <w:tc>
          <w:tcPr>
            <w:tcW w:w="3397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Общий итог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71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107 842,0</w:t>
            </w:r>
          </w:p>
        </w:tc>
        <w:tc>
          <w:tcPr>
            <w:tcW w:w="1691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38 307,0</w:t>
            </w:r>
          </w:p>
        </w:tc>
        <w:tc>
          <w:tcPr>
            <w:tcW w:w="1559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77B22" w:rsidRPr="00777B22" w:rsidRDefault="00777B22" w:rsidP="00777B22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7B22">
              <w:rPr>
                <w:color w:val="000000"/>
                <w:sz w:val="22"/>
                <w:szCs w:val="22"/>
              </w:rPr>
              <w:t>35,5%</w:t>
            </w:r>
          </w:p>
        </w:tc>
      </w:tr>
    </w:tbl>
    <w:p w:rsidR="00777B22" w:rsidRPr="00777B22" w:rsidRDefault="00777B22" w:rsidP="00777B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color w:val="auto"/>
          <w:kern w:val="0"/>
          <w:sz w:val="28"/>
          <w:szCs w:val="22"/>
          <w14:ligatures w14:val="none"/>
        </w:rPr>
      </w:pP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Из 91 КС 38, или 42 %, предусматривают бюджетные расходы в объеме более чем 80 %</w:t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vertAlign w:val="superscript"/>
          <w:lang w:eastAsia="ru-RU"/>
          <w14:ligatures w14:val="none"/>
        </w:rPr>
        <w:footnoteReference w:id="5"/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(</w:t>
      </w:r>
      <w:r w:rsidRPr="00777B22">
        <w:rPr>
          <w:rFonts w:ascii="Times New Roman" w:eastAsia="Calibri" w:hAnsi="Times New Roman" w:cs="Times New Roman"/>
          <w:color w:val="auto"/>
          <w:kern w:val="0"/>
          <w:sz w:val="28"/>
          <w:szCs w:val="22"/>
          <w14:ligatures w14:val="none"/>
        </w:rPr>
        <w:t>на данные КС приходится 78 % совокупных бюджетных расходов).</w:t>
      </w:r>
    </w:p>
    <w:p w:rsidR="00777B22" w:rsidRPr="007D2346" w:rsidRDefault="00777B22" w:rsidP="007D2346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</w:pPr>
      <w:r w:rsidRPr="007D2346">
        <w:rPr>
          <w:rFonts w:ascii="Times New Roman" w:eastAsia="Calibri" w:hAnsi="Times New Roman" w:cs="Times New Roman"/>
          <w:color w:val="auto"/>
          <w:kern w:val="0"/>
          <w14:ligatures w14:val="none"/>
        </w:rPr>
        <w:t xml:space="preserve">Таблица </w:t>
      </w:r>
      <w:r w:rsidR="007D2346">
        <w:rPr>
          <w:rFonts w:ascii="Times New Roman" w:eastAsia="Calibri" w:hAnsi="Times New Roman" w:cs="Times New Roman"/>
          <w:color w:val="auto"/>
          <w:kern w:val="0"/>
          <w14:ligatures w14:val="none"/>
        </w:rPr>
        <w:t>5</w:t>
      </w:r>
    </w:p>
    <w:tbl>
      <w:tblPr>
        <w:tblStyle w:val="23"/>
        <w:tblW w:w="9351" w:type="dxa"/>
        <w:tblLook w:val="04A0" w:firstRow="1" w:lastRow="0" w:firstColumn="1" w:lastColumn="0" w:noHBand="0" w:noVBand="1"/>
      </w:tblPr>
      <w:tblGrid>
        <w:gridCol w:w="1980"/>
        <w:gridCol w:w="1417"/>
        <w:gridCol w:w="2977"/>
        <w:gridCol w:w="2977"/>
      </w:tblGrid>
      <w:tr w:rsidR="00777B22" w:rsidRPr="00777B22" w:rsidTr="0039270F">
        <w:tc>
          <w:tcPr>
            <w:tcW w:w="1980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b/>
                <w:color w:val="auto"/>
              </w:rPr>
              <w:t>Доля участия бюджетных инвестиций в КС по группам</w:t>
            </w:r>
          </w:p>
        </w:tc>
        <w:tc>
          <w:tcPr>
            <w:tcW w:w="141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b/>
                <w:color w:val="auto"/>
              </w:rPr>
              <w:t>Количество КС в группе</w:t>
            </w:r>
          </w:p>
        </w:tc>
        <w:tc>
          <w:tcPr>
            <w:tcW w:w="2977" w:type="dxa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b/>
                <w:color w:val="auto"/>
              </w:rPr>
              <w:t xml:space="preserve">Количество проектов по видам в группе </w:t>
            </w:r>
          </w:p>
        </w:tc>
        <w:tc>
          <w:tcPr>
            <w:tcW w:w="2977" w:type="dxa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b/>
                <w:color w:val="auto"/>
              </w:rPr>
              <w:t xml:space="preserve">Совокупный объем бюджетных инвестиций по группам, </w:t>
            </w:r>
          </w:p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b/>
                <w:color w:val="auto"/>
              </w:rPr>
              <w:t>в тыс. рублей</w:t>
            </w:r>
          </w:p>
        </w:tc>
      </w:tr>
      <w:tr w:rsidR="00777B22" w:rsidRPr="00777B22" w:rsidTr="0039270F">
        <w:tc>
          <w:tcPr>
            <w:tcW w:w="1980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от 1,3 % до 20 %</w:t>
            </w:r>
          </w:p>
        </w:tc>
        <w:tc>
          <w:tcPr>
            <w:tcW w:w="141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18</w:t>
            </w:r>
          </w:p>
        </w:tc>
        <w:tc>
          <w:tcPr>
            <w:tcW w:w="2977" w:type="dxa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10 ТЕП, 3 КП, 3 ТКО, 2 ХВС</w:t>
            </w:r>
          </w:p>
        </w:tc>
        <w:tc>
          <w:tcPr>
            <w:tcW w:w="297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3 143 368,2</w:t>
            </w:r>
          </w:p>
        </w:tc>
      </w:tr>
      <w:tr w:rsidR="00777B22" w:rsidRPr="00777B22" w:rsidTr="0039270F">
        <w:tc>
          <w:tcPr>
            <w:tcW w:w="1980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от 21 % до 40 %</w:t>
            </w:r>
          </w:p>
        </w:tc>
        <w:tc>
          <w:tcPr>
            <w:tcW w:w="141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17</w:t>
            </w:r>
          </w:p>
        </w:tc>
        <w:tc>
          <w:tcPr>
            <w:tcW w:w="2977" w:type="dxa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8 ХВС, 4 ТЕП, 2 КП, 2 ТКО,</w:t>
            </w:r>
          </w:p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1 СТО</w:t>
            </w:r>
          </w:p>
        </w:tc>
        <w:tc>
          <w:tcPr>
            <w:tcW w:w="297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3 685 028,8</w:t>
            </w:r>
          </w:p>
        </w:tc>
      </w:tr>
      <w:tr w:rsidR="00777B22" w:rsidRPr="00777B22" w:rsidTr="0039270F">
        <w:tc>
          <w:tcPr>
            <w:tcW w:w="1980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от 41 % до 60 %;</w:t>
            </w:r>
          </w:p>
        </w:tc>
        <w:tc>
          <w:tcPr>
            <w:tcW w:w="141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10</w:t>
            </w:r>
          </w:p>
        </w:tc>
        <w:tc>
          <w:tcPr>
            <w:tcW w:w="2977" w:type="dxa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4 ТЕП, 3 ХВС, 2 ТКО, 1 КП</w:t>
            </w:r>
          </w:p>
        </w:tc>
        <w:tc>
          <w:tcPr>
            <w:tcW w:w="297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1 189 484,0</w:t>
            </w:r>
          </w:p>
        </w:tc>
      </w:tr>
      <w:tr w:rsidR="00777B22" w:rsidRPr="00777B22" w:rsidTr="0039270F">
        <w:tc>
          <w:tcPr>
            <w:tcW w:w="1980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от 61 % до 80 %</w:t>
            </w:r>
          </w:p>
        </w:tc>
        <w:tc>
          <w:tcPr>
            <w:tcW w:w="141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8</w:t>
            </w:r>
          </w:p>
        </w:tc>
        <w:tc>
          <w:tcPr>
            <w:tcW w:w="297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5 ТЕП, 3 ХВС</w:t>
            </w:r>
          </w:p>
        </w:tc>
        <w:tc>
          <w:tcPr>
            <w:tcW w:w="297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329 397,9</w:t>
            </w:r>
          </w:p>
        </w:tc>
      </w:tr>
      <w:tr w:rsidR="00777B22" w:rsidRPr="00777B22" w:rsidTr="0039270F">
        <w:tc>
          <w:tcPr>
            <w:tcW w:w="1980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от 81 % до 100%</w:t>
            </w:r>
          </w:p>
        </w:tc>
        <w:tc>
          <w:tcPr>
            <w:tcW w:w="141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38</w:t>
            </w:r>
          </w:p>
        </w:tc>
        <w:tc>
          <w:tcPr>
            <w:tcW w:w="2977" w:type="dxa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21 ХВС, 8 ТЕП, 6 КП, 1СТО,</w:t>
            </w:r>
          </w:p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1 ОСВ, 1 ТКО</w:t>
            </w:r>
          </w:p>
        </w:tc>
        <w:tc>
          <w:tcPr>
            <w:tcW w:w="2977" w:type="dxa"/>
            <w:vAlign w:val="center"/>
          </w:tcPr>
          <w:p w:rsidR="00777B22" w:rsidRPr="00777B22" w:rsidRDefault="00777B22" w:rsidP="00777B2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777B22">
              <w:rPr>
                <w:rFonts w:ascii="Times New Roman" w:eastAsia="Calibri" w:hAnsi="Times New Roman" w:cs="Times New Roman"/>
                <w:color w:val="auto"/>
              </w:rPr>
              <w:t>29 959 720,7</w:t>
            </w:r>
          </w:p>
        </w:tc>
      </w:tr>
    </w:tbl>
    <w:p w:rsidR="00777B22" w:rsidRPr="00777B22" w:rsidRDefault="00777B22" w:rsidP="00777B22">
      <w:pPr>
        <w:overflowPunct w:val="0"/>
        <w:autoSpaceDE w:val="0"/>
        <w:autoSpaceDN w:val="0"/>
        <w:adjustRightInd w:val="0"/>
        <w:spacing w:line="348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:rsidR="00777B22" w:rsidRPr="00777B22" w:rsidRDefault="00777B22" w:rsidP="00777B22">
      <w:pPr>
        <w:overflowPunct w:val="0"/>
        <w:autoSpaceDE w:val="0"/>
        <w:autoSpaceDN w:val="0"/>
        <w:adjustRightInd w:val="0"/>
        <w:spacing w:line="348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Также КСО субъектов Российской Федерации отмечали несоответствие между КС и инвестиционной программой концессионера в части участия концедента в реализации КС</w:t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vertAlign w:val="superscript"/>
          <w:lang w:eastAsia="ru-RU"/>
          <w14:ligatures w14:val="none"/>
        </w:rPr>
        <w:footnoteReference w:id="6"/>
      </w:r>
      <w:r w:rsidRPr="00777B2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. </w:t>
      </w:r>
    </w:p>
    <w:p w:rsidR="00CC5460" w:rsidRDefault="004807D7" w:rsidP="00480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сроков</w:t>
      </w:r>
      <w:r w:rsidR="00A931AB" w:rsidRPr="00CC5460">
        <w:rPr>
          <w:rFonts w:ascii="Times New Roman" w:hAnsi="Times New Roman" w:cs="Times New Roman"/>
          <w:sz w:val="28"/>
          <w:szCs w:val="28"/>
        </w:rPr>
        <w:t xml:space="preserve"> реализации инвестиций </w:t>
      </w:r>
      <w:r w:rsidR="00CC5460">
        <w:rPr>
          <w:rFonts w:ascii="Times New Roman" w:hAnsi="Times New Roman" w:cs="Times New Roman"/>
          <w:sz w:val="28"/>
          <w:szCs w:val="28"/>
        </w:rPr>
        <w:t xml:space="preserve">КСО субъектов Российской Федерации отмечали, что достаточно большое количество КС предполагает инвестиционные вложения на протяжении всего срока реализации КС. Это может привести к реализации следующих рисков: </w:t>
      </w:r>
    </w:p>
    <w:p w:rsidR="00CC5460" w:rsidRDefault="00CC5460" w:rsidP="00480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улучшения состояния переданных в концессию инфраструктурных объектов и отсутствие улучшения качества услуг; </w:t>
      </w:r>
    </w:p>
    <w:p w:rsidR="00CC5460" w:rsidRDefault="00CC5460" w:rsidP="00480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Удорожание стоимости инфраструктурных объектов, которые планируется реконст</w:t>
      </w:r>
      <w:r w:rsidR="004807D7">
        <w:rPr>
          <w:rFonts w:ascii="Times New Roman" w:hAnsi="Times New Roman" w:cs="Times New Roman"/>
          <w:sz w:val="28"/>
          <w:szCs w:val="28"/>
        </w:rPr>
        <w:t xml:space="preserve">руировать/создать в рамках КС. </w:t>
      </w:r>
    </w:p>
    <w:p w:rsidR="00074C26" w:rsidRDefault="00074C26" w:rsidP="004807D7">
      <w:pPr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4807D7" w:rsidRPr="002F15F9" w:rsidRDefault="004807D7" w:rsidP="004807D7">
      <w:pPr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94"/>
        <w:gridCol w:w="2153"/>
        <w:gridCol w:w="6498"/>
      </w:tblGrid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Установлено, что из </w:t>
            </w:r>
            <w:r w:rsidRPr="004807D7">
              <w:rPr>
                <w:rFonts w:ascii="Times New Roman" w:hAnsi="Times New Roman" w:cs="Times New Roman"/>
                <w:b/>
                <w:sz w:val="20"/>
                <w:szCs w:val="20"/>
              </w:rPr>
              <w:t>10 изученных КС только по трем из них, что составляет 30 процентов</w:t>
            </w: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 от общего количества предусмотрено осуществление инвестиций в период не позднее первой трети срока заключения такого КС (1-3 года).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Владимирская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полного объема инвестиций в первую треть срока реализации КС планируется </w:t>
            </w:r>
            <w:r w:rsidRPr="004807D7">
              <w:rPr>
                <w:rFonts w:ascii="Times New Roman" w:hAnsi="Times New Roman" w:cs="Times New Roman"/>
                <w:b/>
                <w:sz w:val="20"/>
                <w:szCs w:val="20"/>
              </w:rPr>
              <w:t>в 3 из 10 соглашениях</w:t>
            </w: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 (в действующих редакциях). При этом на момент их заключения указанный инвестиционный период предусматривался для 4 из 10 соглашений. Средний срок осуществления инвестиций в рамках соглашений при аналогичном сравнении вырос с 56,9% до 63,3% от срока действия соглашения. Вышеуказанные факторы свидетельствуют о наличии тенденции к переносу части инвестиционных мероприятий на более поздние сроки выполнения в ходе реализации КС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Сахалинская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Инвестиции, предусмотренные концессионными соглашениями, в основном осуществляются, сроки вложений предусмотрены и соблюдаются в период не позднее первой трети срока заключения соглашения. Исключение составили два соглашения по объектам ТКО. 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По большинству КС осуществление инвестиций концессионерами планируется в течение всего периода реализации соглашений. При этом на </w:t>
            </w:r>
            <w:r w:rsidRPr="004807D7">
              <w:rPr>
                <w:rFonts w:ascii="Times New Roman" w:hAnsi="Times New Roman" w:cs="Times New Roman"/>
                <w:b/>
                <w:sz w:val="20"/>
                <w:szCs w:val="20"/>
              </w:rPr>
              <w:t>первую треть срока планируется осуществить инвестиции в размере 30%</w:t>
            </w: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 общих расходов концессионера.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По условиям отдельных КС осуществление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инвестиций предусмотрено по истечении 5 лет действия соглашения (муниципальное образование «Муниципальный округ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Игринский</w:t>
            </w:r>
            <w:proofErr w:type="spell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Удмуртской Республики») или в общем объеме обязательств по созданию (реконструкции) без указания конкретного периода (муниципальное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образование «Городской округ «Город Глазов» Удмуртской Республики»).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Большинство КС подразумевает только проведение текущего и капитального ремонта имущества, поэтому инвестиции, предусмотренные КС, планируется осуществить </w:t>
            </w:r>
            <w:r w:rsidRPr="004807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равными долями</w:t>
            </w:r>
            <w:r w:rsidRPr="00480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течении всего срока действия соглашений или по факту получения денежных средств от Концедента. В начальные периоды действия КС (в период не позднее первой трети срока заключения такого соглашения) инвестируются средства только в концессионных соглашениях, предусматривающих создание нового объекта концессии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Из 9 проанализированных КС инвестиции концессионеров, предусмотренные концессионными соглашениями, планируется осуществить в период не позднее первой трети срока заключения такого соглашения </w:t>
            </w:r>
            <w:r w:rsidRPr="004807D7">
              <w:rPr>
                <w:rFonts w:ascii="Times New Roman" w:hAnsi="Times New Roman" w:cs="Times New Roman"/>
                <w:b/>
                <w:sz w:val="20"/>
                <w:szCs w:val="20"/>
              </w:rPr>
              <w:t>по восьми КС</w:t>
            </w: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 (№№ 1-4, 6-9), позднее первой трети срока по одному КС (от 07.10.2021 между администрацией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г.о.г.Дзержинск</w:t>
            </w:r>
            <w:proofErr w:type="spell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 и АО «Дзержинский водоканал» в сфере холодного водоснабжения и водоотведения). 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Из 5 КС инвестиции по 2 соглашениям (КС «Парк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» и КС «Освещение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») были запланированы и фактически осуществлены не позднее первой трети срока заключения данных соглашений. При этом объем фактических инвестиций, направленных в рамках КС «Парк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», превысил план в 2 раза, в рамках КС «Освещение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» - составил 100,8% от плана.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Из 22 КС инвестиции, предусмотренные 19 КС, планируется осуществить в период не позднее первой трети срока заключения Соглашений (86,4% от 22 Соглашений). По 3 КС часть инвестиций планируется осуществить во второй трети срока заключения Соглашений (117,75 млн. руб. или 13,4% от 22-х Соглашений)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Из 45КС: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21 соглашение заключены на период от 4 до 10 лет;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19 соглашений – на период от 11 до 20 лет;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5 – от 21 до 30 лет.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Подавляющая часть инвестиций, предусмотренных КС,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осуществлена/планируется осуществить в период не позднее первой трети срока заключения такого соглашения (33 соглашения или 73 %)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Калининградская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Во всех (22) соглашениях инвестиционные обязательства частной стороны предусмотрены в период не позднее первой трети срока реализации соглашения и составляют не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более 3 лет. 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Камчатский край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 3-х (l2,5 %) концессионных соглашениях из 24-х концессионерами приняты обязательства по </w:t>
            </w:r>
            <w:proofErr w:type="gram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осуществлению  инвестиций</w:t>
            </w:r>
            <w:proofErr w:type="gram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 в первую треть срока заключения соглашения. Это 2 концессии в сфере электроснабжения и концессия в сфере строительства и благоустройства. При этом концессии в сфере электроснабжения предусматривают также мероприятия по реконструкции объектов в последующих периодах.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 остальных КС (87,5%) осуществление инвестиций предусматривается практически на весь период действия КС. 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Основная часть КС (7 КС) реализуется в срок до 10 лет включительно. По 4-м КС срок реализации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составляет от 10 до 30 лет включительно. Срок действия КС с ПАО «МРСК Северо-Запада» составляет 40 лет. 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Все анализируемые КС предусматривают осуществление инвестиций концессионерами практически в течение всего периода их действия (равномерно) (концессионные соглашения со сроком осуществления инвестиций в первую треть срока действия соглашения не заключались).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 отмечает, что в большинстве случаев в анализируемых КС сроки реализации мероприятий установлены без определения конкретных (дат) сроков завершения отдельных этапов мероприятий (работ), без детализации отдельных комплексов работ, видов работ и (или) части работ в составе этапа выполнения мероприятия и определяются в пределах запланированного предельного размера ежегодного инвестиционного расхода концессионера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По шести концессионным соглашениям запланированные инвестиции осуществлены в период не позднее первой трети срока заключения соглашения. По двум концессионным соглашениям (ID 2039, ID 1455) обязательства сторон по финансированию мероприятий не выполнены.   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Воронежская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По 20 КС (55%) инвестиции планируется осуществить в период не позднее трети срока заключения соглашения, по 14 КС (39%) инвестиции фактически осуществляются позднее первой трети срока заключения соглашения. По двум КС (2%) инвестиции не планируются. </w:t>
            </w:r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В отношении КС от 24.11.2017 в отношении централизованных систем холодного водоснабжения и водоотведения, находящихся в собственности муниципального образования «Город Саратов» (концедент – администрация муниципального образования «Город Саратов» в лице комитета по управлению имуществом города Саратова, концессионер – общество с ограниченной ответственностью «Концессия водоснабжения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Саратов»): объем инвестиции (более 50 % от общего размера расходов на создание и (или) реконструкцию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объектов имущества в составе Объекта Соглашения) в соответствии с Соглашением был запланирован к осуществлению в период позднее первой трети срока действия Соглашения: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 2017-2025 гг. – 5 233 389,0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 2026-2035 гг. – 1 688 617,0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 2036-2045 гг. – 6 519 531,0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Необходимо отметить, что расходы на реализацию инвестиционной программы и исполнение мероприятий в более поздние периоды может иметь негативный эффект, выражающийся в увеличении затрат на мероприятия (в том числе на обслуживание заемных средств, на корректировку проектной документации).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КС от 06.11.2019 № 1 в отношении объектов теплоснабжения и горячего водоснабжения муниципального образования «Город Саратов» (концессионер – ПАО «Т-Плюс»): 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значительный объем инвестиции (более 70 % от общего размера расходов на создание и (или) реконструкцию объектов имущества в составе Объекта Соглашения № 1) в соответствии с Соглашением № 1 запланирован к осуществлению в период позднее первой трети срока его действия: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 2019-2026 гг. – 1 960 962,4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 2027-2034 гг. – 3 649 847,0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в 2035-2042 гг. – 4 268 411,7 </w:t>
            </w:r>
            <w:proofErr w:type="spellStart"/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</w:tr>
      <w:tr w:rsidR="00CC5460" w:rsidRPr="004807D7" w:rsidTr="003B56E7">
        <w:tc>
          <w:tcPr>
            <w:tcW w:w="694" w:type="dxa"/>
          </w:tcPr>
          <w:p w:rsidR="00CC5460" w:rsidRPr="004807D7" w:rsidRDefault="00CC5460" w:rsidP="005A58E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53" w:type="dxa"/>
          </w:tcPr>
          <w:p w:rsidR="00CC5460" w:rsidRPr="004807D7" w:rsidRDefault="00CC5460" w:rsidP="00B83E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Томская область </w:t>
            </w:r>
          </w:p>
        </w:tc>
        <w:tc>
          <w:tcPr>
            <w:tcW w:w="6498" w:type="dxa"/>
          </w:tcPr>
          <w:p w:rsidR="00CC5460" w:rsidRPr="004807D7" w:rsidRDefault="00CC5460" w:rsidP="00B83E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7D7">
              <w:rPr>
                <w:rFonts w:ascii="Times New Roman" w:hAnsi="Times New Roman" w:cs="Times New Roman"/>
                <w:sz w:val="20"/>
                <w:szCs w:val="20"/>
              </w:rPr>
              <w:t xml:space="preserve">5 из 7 КС предусматривают инвестиции в первой трети срока реализации КС </w:t>
            </w:r>
          </w:p>
        </w:tc>
      </w:tr>
    </w:tbl>
    <w:p w:rsidR="00CC5460" w:rsidRPr="000D7516" w:rsidRDefault="00CC5460" w:rsidP="00CC5460">
      <w:pPr>
        <w:rPr>
          <w:rFonts w:ascii="Times New Roman" w:hAnsi="Times New Roman" w:cs="Times New Roman"/>
          <w:sz w:val="28"/>
          <w:szCs w:val="28"/>
        </w:rPr>
      </w:pPr>
    </w:p>
    <w:p w:rsidR="00CC5460" w:rsidRPr="000D7516" w:rsidRDefault="00CC5460" w:rsidP="00CC5460">
      <w:pPr>
        <w:rPr>
          <w:rFonts w:ascii="Times New Roman" w:hAnsi="Times New Roman" w:cs="Times New Roman"/>
          <w:sz w:val="28"/>
          <w:szCs w:val="28"/>
        </w:rPr>
      </w:pPr>
    </w:p>
    <w:p w:rsidR="00CC5460" w:rsidRPr="000D7516" w:rsidRDefault="00CC5460" w:rsidP="00CC5460">
      <w:pPr>
        <w:rPr>
          <w:rFonts w:ascii="Times New Roman" w:hAnsi="Times New Roman" w:cs="Times New Roman"/>
          <w:sz w:val="28"/>
          <w:szCs w:val="28"/>
        </w:rPr>
      </w:pPr>
    </w:p>
    <w:p w:rsidR="00CC5460" w:rsidRPr="00CC5460" w:rsidRDefault="00CC5460" w:rsidP="00923443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CC5460" w:rsidRPr="00CC5460" w:rsidSect="00C80D82"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EFE" w:rsidRDefault="00084EFE" w:rsidP="00C556B8">
      <w:pPr>
        <w:spacing w:line="240" w:lineRule="auto"/>
      </w:pPr>
      <w:r>
        <w:separator/>
      </w:r>
    </w:p>
  </w:endnote>
  <w:endnote w:type="continuationSeparator" w:id="0">
    <w:p w:rsidR="00084EFE" w:rsidRDefault="00084EFE" w:rsidP="00C55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EFE" w:rsidRDefault="00084EFE" w:rsidP="00C556B8">
      <w:pPr>
        <w:spacing w:line="240" w:lineRule="auto"/>
      </w:pPr>
      <w:r>
        <w:separator/>
      </w:r>
    </w:p>
  </w:footnote>
  <w:footnote w:type="continuationSeparator" w:id="0">
    <w:p w:rsidR="00084EFE" w:rsidRDefault="00084EFE" w:rsidP="00C556B8">
      <w:pPr>
        <w:spacing w:line="240" w:lineRule="auto"/>
      </w:pPr>
      <w:r>
        <w:continuationSeparator/>
      </w:r>
    </w:p>
  </w:footnote>
  <w:footnote w:id="1">
    <w:p w:rsidR="00777B22" w:rsidRPr="000038C4" w:rsidRDefault="00777B22" w:rsidP="00777B22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7E7699">
        <w:rPr>
          <w:rStyle w:val="af4"/>
          <w:sz w:val="20"/>
          <w:szCs w:val="20"/>
        </w:rPr>
        <w:footnoteRef/>
      </w:r>
      <w:r w:rsidRPr="007E7699">
        <w:rPr>
          <w:sz w:val="20"/>
          <w:szCs w:val="20"/>
        </w:rPr>
        <w:t xml:space="preserve"> </w:t>
      </w:r>
      <w:r w:rsidRPr="000038C4">
        <w:rPr>
          <w:rFonts w:ascii="Times New Roman" w:hAnsi="Times New Roman" w:cs="Times New Roman"/>
          <w:sz w:val="20"/>
          <w:szCs w:val="20"/>
        </w:rPr>
        <w:t>В 43 КС, заключенных в 2021 – 2022 годах доля финансового участия концедента составляла 67,4 % совокупного объема инвестиций, в 2023 – 2024 годах в 48 КС - 30,4 %.</w:t>
      </w:r>
    </w:p>
  </w:footnote>
  <w:footnote w:id="2">
    <w:p w:rsidR="00777B22" w:rsidRPr="000038C4" w:rsidRDefault="00777B22" w:rsidP="00777B22">
      <w:pPr>
        <w:pStyle w:val="af2"/>
        <w:ind w:firstLine="0"/>
        <w:rPr>
          <w:rFonts w:ascii="Times New Roman" w:hAnsi="Times New Roman" w:cs="Times New Roman"/>
        </w:rPr>
      </w:pPr>
      <w:r w:rsidRPr="000038C4">
        <w:rPr>
          <w:rStyle w:val="af4"/>
          <w:rFonts w:ascii="Times New Roman" w:hAnsi="Times New Roman" w:cs="Times New Roman"/>
        </w:rPr>
        <w:footnoteRef/>
      </w:r>
      <w:r w:rsidRPr="000038C4">
        <w:rPr>
          <w:rFonts w:ascii="Times New Roman" w:hAnsi="Times New Roman" w:cs="Times New Roman"/>
        </w:rPr>
        <w:t>Общее количество КС, заключенных в 2021 – 2024 годах, составляет 556.</w:t>
      </w:r>
    </w:p>
  </w:footnote>
  <w:footnote w:id="3">
    <w:p w:rsidR="00777B22" w:rsidRPr="000038C4" w:rsidRDefault="00777B22" w:rsidP="00777B22">
      <w:pPr>
        <w:pStyle w:val="af2"/>
        <w:ind w:firstLine="0"/>
        <w:rPr>
          <w:rFonts w:ascii="Times New Roman" w:hAnsi="Times New Roman" w:cs="Times New Roman"/>
        </w:rPr>
      </w:pPr>
      <w:r w:rsidRPr="000038C4">
        <w:rPr>
          <w:rStyle w:val="af4"/>
          <w:rFonts w:ascii="Times New Roman" w:hAnsi="Times New Roman" w:cs="Times New Roman"/>
        </w:rPr>
        <w:footnoteRef/>
      </w:r>
      <w:r w:rsidRPr="000038C4">
        <w:rPr>
          <w:rFonts w:ascii="Times New Roman" w:hAnsi="Times New Roman" w:cs="Times New Roman"/>
        </w:rPr>
        <w:t xml:space="preserve"> Общий объем инвестиций по 91 КС, по которым предусмотрена финансирование за счет бюджетных средств, составляет 107 842,0 млн. рублей.</w:t>
      </w:r>
    </w:p>
  </w:footnote>
  <w:footnote w:id="4">
    <w:p w:rsidR="00777B22" w:rsidRPr="000038C4" w:rsidRDefault="00777B22" w:rsidP="00777B22">
      <w:pPr>
        <w:pStyle w:val="af2"/>
        <w:ind w:firstLine="0"/>
        <w:rPr>
          <w:rFonts w:ascii="Times New Roman" w:hAnsi="Times New Roman" w:cs="Times New Roman"/>
        </w:rPr>
      </w:pPr>
      <w:r w:rsidRPr="000038C4">
        <w:rPr>
          <w:rStyle w:val="af4"/>
          <w:rFonts w:ascii="Times New Roman" w:hAnsi="Times New Roman" w:cs="Times New Roman"/>
        </w:rPr>
        <w:footnoteRef/>
      </w:r>
      <w:r w:rsidRPr="000038C4">
        <w:rPr>
          <w:rFonts w:ascii="Times New Roman" w:hAnsi="Times New Roman" w:cs="Times New Roman"/>
        </w:rPr>
        <w:t xml:space="preserve">  В абсолютных значениях наибольшие объемы финансового участия субъекта РФ в КС сложились в Сахалинской области – 13 430 997,8 тыс. рублей (100 % общего объема инвестиций), ХМАО – 8 210 287,5 тыс. рублей (87,5 %), Тюменская область – 4 566 822,0 тыс. рублей (96,6 %), Архангельской области – 2 931 946,0 тыс. рублей (85,2 %), Липецкой области - 2 320 967,8 тыс. рублей (35 %).</w:t>
      </w:r>
    </w:p>
    <w:p w:rsidR="00777B22" w:rsidRPr="000038C4" w:rsidRDefault="00777B22" w:rsidP="00777B22">
      <w:pPr>
        <w:pStyle w:val="af2"/>
        <w:ind w:firstLine="0"/>
        <w:rPr>
          <w:rFonts w:ascii="Times New Roman" w:hAnsi="Times New Roman" w:cs="Times New Roman"/>
        </w:rPr>
      </w:pPr>
      <w:r w:rsidRPr="000038C4">
        <w:rPr>
          <w:rFonts w:ascii="Times New Roman" w:hAnsi="Times New Roman" w:cs="Times New Roman"/>
        </w:rPr>
        <w:t xml:space="preserve">Наибольшее количество КС, предусматривающих финансовое участие концедента заключено в Курской области – 20 КС с общим объемом инвестиций 8,4 млн. рублей, из них расходы за счет бюджетных средств 8,1 млн. рублей (97,2 %), при этом во всех КС расходы концедента превышают 96 %, в Челябинской области – 11 КС с общим объемом инвестиций 554,4 млн. рублей, из них расходы за счет бюджетных средств – 311,0 млн. рублей (56,1 %). При этом по 5 КС из 11 расходы концедента превышают 80 % общего объема инвестиций. </w:t>
      </w:r>
    </w:p>
  </w:footnote>
  <w:footnote w:id="5">
    <w:p w:rsidR="00777B22" w:rsidRPr="000E2197" w:rsidRDefault="00777B22" w:rsidP="00777B22">
      <w:pPr>
        <w:pStyle w:val="af2"/>
        <w:ind w:firstLine="0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 w:rsidRPr="000E2197">
        <w:rPr>
          <w:rFonts w:ascii="Times New Roman" w:hAnsi="Times New Roman" w:cs="Times New Roman"/>
        </w:rPr>
        <w:t>Так, в Курской области заключено 3 КС с общим объемом 219,4 млн рублей, из них 215,4 млн рублей (98 %) – расходы концедента:</w:t>
      </w:r>
    </w:p>
    <w:p w:rsidR="00777B22" w:rsidRPr="000E2197" w:rsidRDefault="00777B22" w:rsidP="00777B22">
      <w:pPr>
        <w:pStyle w:val="af2"/>
        <w:ind w:firstLine="0"/>
        <w:rPr>
          <w:rFonts w:ascii="Times New Roman" w:hAnsi="Times New Roman" w:cs="Times New Roman"/>
        </w:rPr>
      </w:pPr>
      <w:r w:rsidRPr="000E2197">
        <w:rPr>
          <w:rFonts w:ascii="Times New Roman" w:hAnsi="Times New Roman" w:cs="Times New Roman"/>
        </w:rPr>
        <w:t>1 КС в отношении объекта теплоснабжения, находящегося в собственности муниципального района «</w:t>
      </w:r>
      <w:proofErr w:type="spellStart"/>
      <w:r w:rsidRPr="000E2197">
        <w:rPr>
          <w:rFonts w:ascii="Times New Roman" w:hAnsi="Times New Roman" w:cs="Times New Roman"/>
        </w:rPr>
        <w:t>Фатежский</w:t>
      </w:r>
      <w:proofErr w:type="spellEnd"/>
      <w:r w:rsidRPr="000E2197">
        <w:rPr>
          <w:rFonts w:ascii="Times New Roman" w:hAnsi="Times New Roman" w:cs="Times New Roman"/>
        </w:rPr>
        <w:t xml:space="preserve"> район» Курской области с ООО «ФАТЕЖСКИЕ КЭТС» с общим объемом 1,2 млн рублей, из них 1,19 тыс. рублей за счет бюджетных средств (99 %);</w:t>
      </w:r>
    </w:p>
    <w:p w:rsidR="00777B22" w:rsidRPr="000E2197" w:rsidRDefault="00777B22" w:rsidP="00777B22">
      <w:pPr>
        <w:pStyle w:val="af2"/>
        <w:ind w:firstLine="0"/>
        <w:rPr>
          <w:rFonts w:ascii="Times New Roman" w:hAnsi="Times New Roman" w:cs="Times New Roman"/>
        </w:rPr>
      </w:pPr>
      <w:r w:rsidRPr="000E2197">
        <w:rPr>
          <w:rFonts w:ascii="Times New Roman" w:hAnsi="Times New Roman" w:cs="Times New Roman"/>
        </w:rPr>
        <w:t>2 КС с ООО «Жилищно-коммунальный сервис п. Возы» – с общим объемом 1,5 млн рублей, из них 1,4 млн рублей за счет бюджетных средств (96,6 %), при этом расходы концессионера ежегодно составляют 5 тыс. рублей.</w:t>
      </w:r>
    </w:p>
    <w:p w:rsidR="00777B22" w:rsidRPr="000E2197" w:rsidRDefault="00777B22" w:rsidP="00777B22">
      <w:pPr>
        <w:pStyle w:val="af2"/>
        <w:ind w:firstLine="0"/>
        <w:rPr>
          <w:rFonts w:ascii="Times New Roman" w:hAnsi="Times New Roman" w:cs="Times New Roman"/>
        </w:rPr>
      </w:pPr>
      <w:r w:rsidRPr="000E2197">
        <w:rPr>
          <w:rFonts w:ascii="Times New Roman" w:hAnsi="Times New Roman" w:cs="Times New Roman"/>
        </w:rPr>
        <w:t>В Ленинградской области заключено 2 КС с ООО «</w:t>
      </w:r>
      <w:proofErr w:type="gramStart"/>
      <w:r w:rsidRPr="000E2197">
        <w:rPr>
          <w:rFonts w:ascii="Times New Roman" w:hAnsi="Times New Roman" w:cs="Times New Roman"/>
        </w:rPr>
        <w:t>ЭНЕРГО-РЕСУРС</w:t>
      </w:r>
      <w:proofErr w:type="gramEnd"/>
      <w:r w:rsidRPr="000E2197">
        <w:rPr>
          <w:rFonts w:ascii="Times New Roman" w:hAnsi="Times New Roman" w:cs="Times New Roman"/>
        </w:rPr>
        <w:t xml:space="preserve">» с общим объемом 346,2 млн рублей, из них 335,0 млн рублей за счет бюджетных средств (97 %). </w:t>
      </w:r>
    </w:p>
  </w:footnote>
  <w:footnote w:id="6">
    <w:p w:rsidR="00777B22" w:rsidRPr="000E2197" w:rsidRDefault="00777B22" w:rsidP="00777B22">
      <w:pPr>
        <w:pStyle w:val="af2"/>
        <w:ind w:firstLine="0"/>
        <w:rPr>
          <w:rFonts w:ascii="Times New Roman" w:hAnsi="Times New Roman" w:cs="Times New Roman"/>
        </w:rPr>
      </w:pPr>
      <w:r w:rsidRPr="000E2197">
        <w:rPr>
          <w:rStyle w:val="af4"/>
          <w:rFonts w:ascii="Times New Roman" w:hAnsi="Times New Roman" w:cs="Times New Roman"/>
        </w:rPr>
        <w:footnoteRef/>
      </w:r>
      <w:r w:rsidRPr="000E2197">
        <w:rPr>
          <w:rFonts w:ascii="Times New Roman" w:hAnsi="Times New Roman" w:cs="Times New Roman"/>
        </w:rPr>
        <w:t xml:space="preserve"> Так, например, КСО Приморского края, отмечает, что на ООО «ИКС поселок Новый» приходится 312,12 млн рублей инвестиции в рамках реализуемого КС. При этом в инвестиционной программе общества общий объем инвестиций по соответствующим мероприятиям (в КС) составляет 312,12 млн рублей с учетом средств концессионера в размере 124,85 млн рублей и концедента – 187,27 млн рублей.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8623027"/>
      <w:docPartObj>
        <w:docPartGallery w:val="Page Numbers (Top of Page)"/>
        <w:docPartUnique/>
      </w:docPartObj>
    </w:sdtPr>
    <w:sdtEndPr/>
    <w:sdtContent>
      <w:p w:rsidR="00C80D82" w:rsidRDefault="00C80D82" w:rsidP="00C80D82">
        <w:pPr>
          <w:pStyle w:val="af8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0BB">
          <w:rPr>
            <w:noProof/>
          </w:rPr>
          <w:t>10</w:t>
        </w:r>
        <w:r>
          <w:fldChar w:fldCharType="end"/>
        </w:r>
      </w:p>
    </w:sdtContent>
  </w:sdt>
  <w:p w:rsidR="00C80D82" w:rsidRDefault="00C80D82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82" w:rsidRDefault="00C80D82" w:rsidP="00C80D82">
    <w:pPr>
      <w:pStyle w:val="af8"/>
      <w:ind w:firstLine="0"/>
      <w:jc w:val="center"/>
    </w:pPr>
  </w:p>
  <w:p w:rsidR="00C80D82" w:rsidRDefault="00C80D82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4130"/>
    <w:multiLevelType w:val="hybridMultilevel"/>
    <w:tmpl w:val="E20C8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A6A19"/>
    <w:multiLevelType w:val="hybridMultilevel"/>
    <w:tmpl w:val="7256E33E"/>
    <w:lvl w:ilvl="0" w:tplc="30BAC42C">
      <w:start w:val="1"/>
      <w:numFmt w:val="decimal"/>
      <w:lvlText w:val="%1."/>
      <w:lvlJc w:val="left"/>
      <w:pPr>
        <w:ind w:left="1405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B91DCF"/>
    <w:multiLevelType w:val="hybridMultilevel"/>
    <w:tmpl w:val="8BA6E6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8C"/>
    <w:rsid w:val="00001C5F"/>
    <w:rsid w:val="000038C4"/>
    <w:rsid w:val="00014102"/>
    <w:rsid w:val="00022DD3"/>
    <w:rsid w:val="00024EFA"/>
    <w:rsid w:val="00034CEC"/>
    <w:rsid w:val="00072546"/>
    <w:rsid w:val="00074C26"/>
    <w:rsid w:val="00084EFE"/>
    <w:rsid w:val="000A3AB7"/>
    <w:rsid w:val="000C0C15"/>
    <w:rsid w:val="000C2A07"/>
    <w:rsid w:val="000C4FCE"/>
    <w:rsid w:val="000E2197"/>
    <w:rsid w:val="000F26F0"/>
    <w:rsid w:val="000F6B56"/>
    <w:rsid w:val="00110A87"/>
    <w:rsid w:val="00131D0B"/>
    <w:rsid w:val="0013216B"/>
    <w:rsid w:val="00134481"/>
    <w:rsid w:val="001470E9"/>
    <w:rsid w:val="001625D9"/>
    <w:rsid w:val="001722F2"/>
    <w:rsid w:val="00174B3C"/>
    <w:rsid w:val="001757CC"/>
    <w:rsid w:val="00184914"/>
    <w:rsid w:val="00184927"/>
    <w:rsid w:val="00185564"/>
    <w:rsid w:val="001978E3"/>
    <w:rsid w:val="001A39D3"/>
    <w:rsid w:val="001B2FC5"/>
    <w:rsid w:val="001C093E"/>
    <w:rsid w:val="001C0A8E"/>
    <w:rsid w:val="001C248C"/>
    <w:rsid w:val="001E0BEA"/>
    <w:rsid w:val="00200448"/>
    <w:rsid w:val="002135B4"/>
    <w:rsid w:val="00221203"/>
    <w:rsid w:val="00225910"/>
    <w:rsid w:val="00236DAD"/>
    <w:rsid w:val="00240EB1"/>
    <w:rsid w:val="0024108B"/>
    <w:rsid w:val="00251418"/>
    <w:rsid w:val="00252A14"/>
    <w:rsid w:val="00261200"/>
    <w:rsid w:val="002736E0"/>
    <w:rsid w:val="0027748E"/>
    <w:rsid w:val="002A132B"/>
    <w:rsid w:val="002A5AFA"/>
    <w:rsid w:val="002B5AA0"/>
    <w:rsid w:val="002B6FE9"/>
    <w:rsid w:val="002C6916"/>
    <w:rsid w:val="002D5F79"/>
    <w:rsid w:val="002D7127"/>
    <w:rsid w:val="002E6FEB"/>
    <w:rsid w:val="002F15F9"/>
    <w:rsid w:val="002F2EE3"/>
    <w:rsid w:val="00301DCA"/>
    <w:rsid w:val="00320542"/>
    <w:rsid w:val="0032715B"/>
    <w:rsid w:val="00327A32"/>
    <w:rsid w:val="00343F45"/>
    <w:rsid w:val="00360BE9"/>
    <w:rsid w:val="00371C1E"/>
    <w:rsid w:val="003755BB"/>
    <w:rsid w:val="00383C9D"/>
    <w:rsid w:val="00384961"/>
    <w:rsid w:val="003D480D"/>
    <w:rsid w:val="003D61EE"/>
    <w:rsid w:val="003D68C3"/>
    <w:rsid w:val="003E24D9"/>
    <w:rsid w:val="003E3B7F"/>
    <w:rsid w:val="003E653C"/>
    <w:rsid w:val="003F738A"/>
    <w:rsid w:val="00412893"/>
    <w:rsid w:val="00415889"/>
    <w:rsid w:val="0041608A"/>
    <w:rsid w:val="0042302A"/>
    <w:rsid w:val="0043223B"/>
    <w:rsid w:val="00435046"/>
    <w:rsid w:val="004358DB"/>
    <w:rsid w:val="00452981"/>
    <w:rsid w:val="00453301"/>
    <w:rsid w:val="004577E2"/>
    <w:rsid w:val="004626FA"/>
    <w:rsid w:val="00462CFF"/>
    <w:rsid w:val="00472FD7"/>
    <w:rsid w:val="004807D7"/>
    <w:rsid w:val="004950CE"/>
    <w:rsid w:val="00497829"/>
    <w:rsid w:val="004C4782"/>
    <w:rsid w:val="004D19BA"/>
    <w:rsid w:val="004E59AE"/>
    <w:rsid w:val="004F3A29"/>
    <w:rsid w:val="00511F51"/>
    <w:rsid w:val="0051477A"/>
    <w:rsid w:val="00515FA0"/>
    <w:rsid w:val="00516117"/>
    <w:rsid w:val="0055501B"/>
    <w:rsid w:val="00556B53"/>
    <w:rsid w:val="005671E2"/>
    <w:rsid w:val="00571316"/>
    <w:rsid w:val="005757EC"/>
    <w:rsid w:val="00580E16"/>
    <w:rsid w:val="0059015F"/>
    <w:rsid w:val="005A58E5"/>
    <w:rsid w:val="005A6A2D"/>
    <w:rsid w:val="005C0EBB"/>
    <w:rsid w:val="005C4ED0"/>
    <w:rsid w:val="005D05BE"/>
    <w:rsid w:val="005D09B8"/>
    <w:rsid w:val="005D1D85"/>
    <w:rsid w:val="005D42CF"/>
    <w:rsid w:val="005D585C"/>
    <w:rsid w:val="005E3699"/>
    <w:rsid w:val="005E4BA1"/>
    <w:rsid w:val="006177DC"/>
    <w:rsid w:val="00617B7A"/>
    <w:rsid w:val="00625E0C"/>
    <w:rsid w:val="00632A42"/>
    <w:rsid w:val="0064013A"/>
    <w:rsid w:val="00642D11"/>
    <w:rsid w:val="00647BFB"/>
    <w:rsid w:val="00653480"/>
    <w:rsid w:val="00676501"/>
    <w:rsid w:val="00694491"/>
    <w:rsid w:val="0069588E"/>
    <w:rsid w:val="006A2DE6"/>
    <w:rsid w:val="006A3AC7"/>
    <w:rsid w:val="006B02AF"/>
    <w:rsid w:val="006B4442"/>
    <w:rsid w:val="006B69E8"/>
    <w:rsid w:val="006E3EDE"/>
    <w:rsid w:val="007011D0"/>
    <w:rsid w:val="00702053"/>
    <w:rsid w:val="00702377"/>
    <w:rsid w:val="00717C4B"/>
    <w:rsid w:val="007210AE"/>
    <w:rsid w:val="00723313"/>
    <w:rsid w:val="00727959"/>
    <w:rsid w:val="007319A7"/>
    <w:rsid w:val="00731D6F"/>
    <w:rsid w:val="00737BE5"/>
    <w:rsid w:val="00742FFE"/>
    <w:rsid w:val="007441AC"/>
    <w:rsid w:val="00747446"/>
    <w:rsid w:val="0075408D"/>
    <w:rsid w:val="00757EF2"/>
    <w:rsid w:val="00760600"/>
    <w:rsid w:val="00761FE6"/>
    <w:rsid w:val="00764A80"/>
    <w:rsid w:val="00767169"/>
    <w:rsid w:val="007729A6"/>
    <w:rsid w:val="00777B22"/>
    <w:rsid w:val="00783E5A"/>
    <w:rsid w:val="00785A7D"/>
    <w:rsid w:val="007879A4"/>
    <w:rsid w:val="00794576"/>
    <w:rsid w:val="007A041D"/>
    <w:rsid w:val="007B2690"/>
    <w:rsid w:val="007C5D3B"/>
    <w:rsid w:val="007D2346"/>
    <w:rsid w:val="007D507E"/>
    <w:rsid w:val="007D5B26"/>
    <w:rsid w:val="007D7B5F"/>
    <w:rsid w:val="007E0004"/>
    <w:rsid w:val="007E00B3"/>
    <w:rsid w:val="007E61E0"/>
    <w:rsid w:val="007E649F"/>
    <w:rsid w:val="008020AE"/>
    <w:rsid w:val="00802892"/>
    <w:rsid w:val="008044EE"/>
    <w:rsid w:val="0082130B"/>
    <w:rsid w:val="008215DD"/>
    <w:rsid w:val="00822ED6"/>
    <w:rsid w:val="0082425E"/>
    <w:rsid w:val="00824AA8"/>
    <w:rsid w:val="00826B60"/>
    <w:rsid w:val="00834294"/>
    <w:rsid w:val="008356E5"/>
    <w:rsid w:val="00837D66"/>
    <w:rsid w:val="00895458"/>
    <w:rsid w:val="00896661"/>
    <w:rsid w:val="00897F25"/>
    <w:rsid w:val="008A509F"/>
    <w:rsid w:val="008A5C58"/>
    <w:rsid w:val="008A680A"/>
    <w:rsid w:val="008A7E3C"/>
    <w:rsid w:val="008B4B7F"/>
    <w:rsid w:val="008C3981"/>
    <w:rsid w:val="008C636A"/>
    <w:rsid w:val="008D16A2"/>
    <w:rsid w:val="008E4093"/>
    <w:rsid w:val="008F1BB7"/>
    <w:rsid w:val="008F496E"/>
    <w:rsid w:val="00904576"/>
    <w:rsid w:val="00923443"/>
    <w:rsid w:val="009276E8"/>
    <w:rsid w:val="00957FA6"/>
    <w:rsid w:val="00967E5F"/>
    <w:rsid w:val="00967F3C"/>
    <w:rsid w:val="009707DC"/>
    <w:rsid w:val="00986ED9"/>
    <w:rsid w:val="0099707E"/>
    <w:rsid w:val="009A13FD"/>
    <w:rsid w:val="009A1409"/>
    <w:rsid w:val="009A2D26"/>
    <w:rsid w:val="009A68F1"/>
    <w:rsid w:val="009C40BB"/>
    <w:rsid w:val="009D3E98"/>
    <w:rsid w:val="009F20FC"/>
    <w:rsid w:val="00A05806"/>
    <w:rsid w:val="00A13662"/>
    <w:rsid w:val="00A13F1A"/>
    <w:rsid w:val="00A15590"/>
    <w:rsid w:val="00A15CB5"/>
    <w:rsid w:val="00A22383"/>
    <w:rsid w:val="00A26DFF"/>
    <w:rsid w:val="00A405BE"/>
    <w:rsid w:val="00A462FD"/>
    <w:rsid w:val="00A61F01"/>
    <w:rsid w:val="00A65E8B"/>
    <w:rsid w:val="00A825F9"/>
    <w:rsid w:val="00A931AB"/>
    <w:rsid w:val="00A94B8C"/>
    <w:rsid w:val="00AA1A8D"/>
    <w:rsid w:val="00AA2A0F"/>
    <w:rsid w:val="00AB607F"/>
    <w:rsid w:val="00AC347A"/>
    <w:rsid w:val="00AD7169"/>
    <w:rsid w:val="00AE61F5"/>
    <w:rsid w:val="00AF70AA"/>
    <w:rsid w:val="00B174B7"/>
    <w:rsid w:val="00B245BF"/>
    <w:rsid w:val="00B405F1"/>
    <w:rsid w:val="00B46710"/>
    <w:rsid w:val="00B518DC"/>
    <w:rsid w:val="00B51D92"/>
    <w:rsid w:val="00B64F48"/>
    <w:rsid w:val="00B7052B"/>
    <w:rsid w:val="00B73A06"/>
    <w:rsid w:val="00B83EE0"/>
    <w:rsid w:val="00B90CF0"/>
    <w:rsid w:val="00B923E6"/>
    <w:rsid w:val="00B96A42"/>
    <w:rsid w:val="00BA15B1"/>
    <w:rsid w:val="00BA1F14"/>
    <w:rsid w:val="00BA6EC3"/>
    <w:rsid w:val="00BB43A5"/>
    <w:rsid w:val="00BB539C"/>
    <w:rsid w:val="00BC1A9D"/>
    <w:rsid w:val="00BE232B"/>
    <w:rsid w:val="00BF320D"/>
    <w:rsid w:val="00C14DD4"/>
    <w:rsid w:val="00C17698"/>
    <w:rsid w:val="00C17E6D"/>
    <w:rsid w:val="00C2031F"/>
    <w:rsid w:val="00C23120"/>
    <w:rsid w:val="00C263A2"/>
    <w:rsid w:val="00C26A37"/>
    <w:rsid w:val="00C378F7"/>
    <w:rsid w:val="00C45BB3"/>
    <w:rsid w:val="00C52D09"/>
    <w:rsid w:val="00C536B3"/>
    <w:rsid w:val="00C556B8"/>
    <w:rsid w:val="00C56840"/>
    <w:rsid w:val="00C6018C"/>
    <w:rsid w:val="00C648BD"/>
    <w:rsid w:val="00C6671B"/>
    <w:rsid w:val="00C80A0E"/>
    <w:rsid w:val="00C80D82"/>
    <w:rsid w:val="00CB7659"/>
    <w:rsid w:val="00CC5460"/>
    <w:rsid w:val="00CC55E7"/>
    <w:rsid w:val="00CF6869"/>
    <w:rsid w:val="00D0767E"/>
    <w:rsid w:val="00D130ED"/>
    <w:rsid w:val="00D14704"/>
    <w:rsid w:val="00D279A6"/>
    <w:rsid w:val="00D346B0"/>
    <w:rsid w:val="00D62707"/>
    <w:rsid w:val="00D63372"/>
    <w:rsid w:val="00D906AB"/>
    <w:rsid w:val="00DB27A4"/>
    <w:rsid w:val="00DE1B9F"/>
    <w:rsid w:val="00E22968"/>
    <w:rsid w:val="00E33C42"/>
    <w:rsid w:val="00E362AE"/>
    <w:rsid w:val="00E41077"/>
    <w:rsid w:val="00E45518"/>
    <w:rsid w:val="00E52E2B"/>
    <w:rsid w:val="00E5406D"/>
    <w:rsid w:val="00E55EAD"/>
    <w:rsid w:val="00E72843"/>
    <w:rsid w:val="00E7536B"/>
    <w:rsid w:val="00E83889"/>
    <w:rsid w:val="00E84874"/>
    <w:rsid w:val="00E90AB5"/>
    <w:rsid w:val="00E936C6"/>
    <w:rsid w:val="00EA1FB9"/>
    <w:rsid w:val="00EB2622"/>
    <w:rsid w:val="00EB3300"/>
    <w:rsid w:val="00EB6F66"/>
    <w:rsid w:val="00EB7C02"/>
    <w:rsid w:val="00EC7E31"/>
    <w:rsid w:val="00ED26C9"/>
    <w:rsid w:val="00ED7284"/>
    <w:rsid w:val="00EE05C8"/>
    <w:rsid w:val="00EE6E5A"/>
    <w:rsid w:val="00EF09BB"/>
    <w:rsid w:val="00F01449"/>
    <w:rsid w:val="00F1623A"/>
    <w:rsid w:val="00F359FD"/>
    <w:rsid w:val="00F40BC3"/>
    <w:rsid w:val="00F63CDD"/>
    <w:rsid w:val="00F72435"/>
    <w:rsid w:val="00F946AB"/>
    <w:rsid w:val="00FA7E07"/>
    <w:rsid w:val="00FB0E50"/>
    <w:rsid w:val="00FF6B6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CBE8"/>
  <w15:docId w15:val="{41201393-D6F3-48A1-9DBC-F8EB883F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42"/>
    <w:pPr>
      <w:spacing w:after="0" w:line="360" w:lineRule="auto"/>
      <w:ind w:firstLine="709"/>
      <w:jc w:val="both"/>
    </w:pPr>
    <w:rPr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C6018C"/>
    <w:pPr>
      <w:keepNext/>
      <w:keepLines/>
      <w:ind w:firstLine="0"/>
      <w:outlineLvl w:val="0"/>
    </w:pPr>
    <w:rPr>
      <w:rFonts w:asciiTheme="majorHAnsi" w:eastAsiaTheme="majorEastAsia" w:hAnsiTheme="majorHAnsi" w:cstheme="majorBidi"/>
      <w:b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4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4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4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4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18C"/>
    <w:rPr>
      <w:rFonts w:asciiTheme="majorHAnsi" w:eastAsiaTheme="majorEastAsia" w:hAnsiTheme="majorHAnsi" w:cstheme="majorBidi"/>
      <w:b/>
      <w:color w:val="000000" w:themeColor="text1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4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4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4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4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4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4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48C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2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4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4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4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4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248C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9D3E9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D3E9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D3E98"/>
    <w:rPr>
      <w:color w:val="000000" w:themeColor="text1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3E9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D3E98"/>
    <w:rPr>
      <w:b/>
      <w:bCs/>
      <w:color w:val="000000" w:themeColor="text1"/>
      <w:sz w:val="20"/>
      <w:szCs w:val="20"/>
    </w:rPr>
  </w:style>
  <w:style w:type="table" w:styleId="af1">
    <w:name w:val="Table Grid"/>
    <w:basedOn w:val="a1"/>
    <w:uiPriority w:val="39"/>
    <w:rsid w:val="00C568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C556B8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556B8"/>
    <w:rPr>
      <w:color w:val="000000" w:themeColor="text1"/>
      <w:sz w:val="20"/>
      <w:szCs w:val="20"/>
    </w:rPr>
  </w:style>
  <w:style w:type="character" w:styleId="af4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basedOn w:val="a0"/>
    <w:link w:val="11"/>
    <w:uiPriority w:val="99"/>
    <w:unhideWhenUsed/>
    <w:qFormat/>
    <w:rsid w:val="00C556B8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5147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1477A"/>
    <w:rPr>
      <w:rFonts w:ascii="Segoe UI" w:hAnsi="Segoe UI" w:cs="Segoe UI"/>
      <w:color w:val="000000" w:themeColor="text1"/>
      <w:sz w:val="18"/>
      <w:szCs w:val="18"/>
    </w:rPr>
  </w:style>
  <w:style w:type="paragraph" w:styleId="af7">
    <w:name w:val="Revision"/>
    <w:hidden/>
    <w:uiPriority w:val="99"/>
    <w:semiHidden/>
    <w:rsid w:val="009A13FD"/>
    <w:pPr>
      <w:spacing w:after="0" w:line="240" w:lineRule="auto"/>
    </w:pPr>
    <w:rPr>
      <w:color w:val="000000" w:themeColor="text1"/>
    </w:rPr>
  </w:style>
  <w:style w:type="paragraph" w:styleId="af8">
    <w:name w:val="header"/>
    <w:basedOn w:val="a"/>
    <w:link w:val="af9"/>
    <w:uiPriority w:val="99"/>
    <w:unhideWhenUsed/>
    <w:rsid w:val="005D09B8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5D09B8"/>
    <w:rPr>
      <w:color w:val="000000" w:themeColor="text1"/>
    </w:rPr>
  </w:style>
  <w:style w:type="paragraph" w:styleId="afa">
    <w:name w:val="footer"/>
    <w:basedOn w:val="a"/>
    <w:link w:val="afb"/>
    <w:uiPriority w:val="99"/>
    <w:unhideWhenUsed/>
    <w:rsid w:val="005D09B8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D09B8"/>
    <w:rPr>
      <w:color w:val="000000" w:themeColor="text1"/>
    </w:rPr>
  </w:style>
  <w:style w:type="table" w:customStyle="1" w:styleId="12">
    <w:name w:val="Сетка таблицы1"/>
    <w:basedOn w:val="a1"/>
    <w:next w:val="af1"/>
    <w:uiPriority w:val="59"/>
    <w:rsid w:val="00777B2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сноски1"/>
    <w:link w:val="af4"/>
    <w:uiPriority w:val="99"/>
    <w:qFormat/>
    <w:rsid w:val="00777B22"/>
    <w:pPr>
      <w:spacing w:after="0" w:line="240" w:lineRule="auto"/>
    </w:pPr>
    <w:rPr>
      <w:vertAlign w:val="superscript"/>
    </w:rPr>
  </w:style>
  <w:style w:type="table" w:customStyle="1" w:styleId="23">
    <w:name w:val="Сетка таблицы2"/>
    <w:basedOn w:val="a1"/>
    <w:next w:val="af1"/>
    <w:uiPriority w:val="39"/>
    <w:rsid w:val="00777B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FF004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BA06-4F97-ACE8-48FB576F2AC2}"/>
              </c:ext>
            </c:extLst>
          </c:dPt>
          <c:dPt>
            <c:idx val="1"/>
            <c:bubble3D val="0"/>
            <c:spPr>
              <a:solidFill>
                <a:srgbClr val="3347F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A06-4F97-ACE8-48FB576F2AC2}"/>
              </c:ext>
            </c:extLst>
          </c:dPt>
          <c:dPt>
            <c:idx val="2"/>
            <c:bubble3D val="0"/>
            <c:spPr>
              <a:solidFill>
                <a:srgbClr val="F1F5FA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BA06-4F97-ACE8-48FB576F2AC2}"/>
              </c:ext>
            </c:extLst>
          </c:dPt>
          <c:dPt>
            <c:idx val="3"/>
            <c:bubble3D val="0"/>
            <c:spPr>
              <a:solidFill>
                <a:srgbClr val="FFC09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A06-4F97-ACE8-48FB576F2AC2}"/>
              </c:ext>
            </c:extLst>
          </c:dPt>
          <c:dPt>
            <c:idx val="4"/>
            <c:bubble3D val="0"/>
            <c:spPr>
              <a:solidFill>
                <a:srgbClr val="8B91A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BA06-4F97-ACE8-48FB576F2AC2}"/>
              </c:ext>
            </c:extLst>
          </c:dPt>
          <c:dPt>
            <c:idx val="5"/>
            <c:bubble3D val="0"/>
            <c:spPr>
              <a:solidFill>
                <a:srgbClr val="21ECE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A06-4F97-ACE8-48FB576F2AC2}"/>
              </c:ext>
            </c:extLst>
          </c:dPt>
          <c:dPt>
            <c:idx val="6"/>
            <c:bubble3D val="0"/>
            <c:spPr>
              <a:solidFill>
                <a:srgbClr val="24305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BA06-4F97-ACE8-48FB576F2AC2}"/>
              </c:ext>
            </c:extLst>
          </c:dPt>
          <c:dPt>
            <c:idx val="7"/>
            <c:bubble3D val="0"/>
            <c:spPr>
              <a:solidFill>
                <a:srgbClr val="9D82E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A06-4F97-ACE8-48FB576F2AC2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BA06-4F97-ACE8-48FB576F2AC2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BA06-4F97-ACE8-48FB576F2AC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теплоснабжение</c:v>
                </c:pt>
                <c:pt idx="1">
                  <c:v>водоснабжение и водоотведение</c:v>
                </c:pt>
                <c:pt idx="2">
                  <c:v>комплексные соглашения</c:v>
                </c:pt>
                <c:pt idx="3">
                  <c:v>ТКО</c:v>
                </c:pt>
                <c:pt idx="4">
                  <c:v>электроэнергетика</c:v>
                </c:pt>
                <c:pt idx="5">
                  <c:v>освещение</c:v>
                </c:pt>
                <c:pt idx="6">
                  <c:v>благоустройство</c:v>
                </c:pt>
                <c:pt idx="7">
                  <c:v>газоснабжение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834</c:v>
                </c:pt>
                <c:pt idx="1">
                  <c:v>401</c:v>
                </c:pt>
                <c:pt idx="2">
                  <c:v>254</c:v>
                </c:pt>
                <c:pt idx="3">
                  <c:v>53</c:v>
                </c:pt>
                <c:pt idx="4">
                  <c:v>40</c:v>
                </c:pt>
                <c:pt idx="5">
                  <c:v>10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06-4F97-ACE8-48FB576F2A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007897242933128"/>
          <c:y val="5.3548306461692285E-2"/>
          <c:w val="0.38727880253906316"/>
          <c:h val="0.892903387076615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менее 50</c:v>
                </c:pt>
                <c:pt idx="1">
                  <c:v>от 50 до 100</c:v>
                </c:pt>
                <c:pt idx="2">
                  <c:v>от 100 до 250</c:v>
                </c:pt>
                <c:pt idx="3">
                  <c:v>от 250 до 500</c:v>
                </c:pt>
                <c:pt idx="4">
                  <c:v>от 500 до 1 000</c:v>
                </c:pt>
                <c:pt idx="5">
                  <c:v>более 1 000</c:v>
                </c:pt>
                <c:pt idx="6">
                  <c:v>несколько н/п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1335</c:v>
                </c:pt>
                <c:pt idx="1">
                  <c:v>118</c:v>
                </c:pt>
                <c:pt idx="2">
                  <c:v>81</c:v>
                </c:pt>
                <c:pt idx="3">
                  <c:v>29</c:v>
                </c:pt>
                <c:pt idx="4">
                  <c:v>12</c:v>
                </c:pt>
                <c:pt idx="5">
                  <c:v>14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6C-42E1-88C9-627D326F26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897920"/>
        <c:axId val="180607744"/>
      </c:barChart>
      <c:catAx>
        <c:axId val="6689792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>
            <a:noFill/>
          </a:ln>
        </c:spPr>
        <c:crossAx val="180607744"/>
        <c:crosses val="autoZero"/>
        <c:auto val="1"/>
        <c:lblAlgn val="ctr"/>
        <c:lblOffset val="100"/>
        <c:noMultiLvlLbl val="0"/>
      </c:catAx>
      <c:valAx>
        <c:axId val="180607744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668979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F1F5FA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F28-4E14-93E2-2BCB42DC0B9E}"/>
              </c:ext>
            </c:extLst>
          </c:dPt>
          <c:dPt>
            <c:idx val="1"/>
            <c:bubble3D val="0"/>
            <c:spPr>
              <a:solidFill>
                <a:srgbClr val="FF004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F28-4E14-93E2-2BCB42DC0B9E}"/>
              </c:ext>
            </c:extLst>
          </c:dPt>
          <c:dPt>
            <c:idx val="2"/>
            <c:bubble3D val="0"/>
            <c:spPr>
              <a:solidFill>
                <a:srgbClr val="FFC09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F28-4E14-93E2-2BCB42DC0B9E}"/>
              </c:ext>
            </c:extLst>
          </c:dPt>
          <c:dPt>
            <c:idx val="3"/>
            <c:bubble3D val="0"/>
            <c:spPr>
              <a:solidFill>
                <a:srgbClr val="24305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F28-4E14-93E2-2BCB42DC0B9E}"/>
              </c:ext>
            </c:extLst>
          </c:dPt>
          <c:dPt>
            <c:idx val="4"/>
            <c:bubble3D val="0"/>
            <c:spPr>
              <a:solidFill>
                <a:srgbClr val="8B91A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FF28-4E14-93E2-2BCB42DC0B9E}"/>
              </c:ext>
            </c:extLst>
          </c:dPt>
          <c:dPt>
            <c:idx val="5"/>
            <c:bubble3D val="0"/>
            <c:spPr>
              <a:solidFill>
                <a:srgbClr val="9D82E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FF28-4E14-93E2-2BCB42DC0B9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FF28-4E14-93E2-2BCB42DC0B9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FF28-4E14-93E2-2BCB42DC0B9E}"/>
              </c:ext>
            </c:extLst>
          </c:dPt>
          <c:dLbls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FF28-4E14-93E2-2BCB42DC0B9E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FF28-4E14-93E2-2BCB42DC0B9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 5</c:v>
                </c:pt>
                <c:pt idx="1">
                  <c:v>от 5 до 10</c:v>
                </c:pt>
                <c:pt idx="2">
                  <c:v>от 10 до 15</c:v>
                </c:pt>
                <c:pt idx="3">
                  <c:v>от 15 до 20</c:v>
                </c:pt>
                <c:pt idx="4">
                  <c:v>от 20 до 25</c:v>
                </c:pt>
                <c:pt idx="5">
                  <c:v>более 25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121</c:v>
                </c:pt>
                <c:pt idx="1">
                  <c:v>327</c:v>
                </c:pt>
                <c:pt idx="2">
                  <c:v>560</c:v>
                </c:pt>
                <c:pt idx="3">
                  <c:v>257</c:v>
                </c:pt>
                <c:pt idx="4">
                  <c:v>156</c:v>
                </c:pt>
                <c:pt idx="5">
                  <c:v>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F28-4E14-93E2-2BCB42DC0B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47545D-127E-472F-AC4F-D8331192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Александр Максимович</dc:creator>
  <cp:lastModifiedBy>Гюрсой Надежда Юрьевна</cp:lastModifiedBy>
  <cp:revision>11</cp:revision>
  <cp:lastPrinted>2025-02-07T06:10:00Z</cp:lastPrinted>
  <dcterms:created xsi:type="dcterms:W3CDTF">2025-02-09T16:15:00Z</dcterms:created>
  <dcterms:modified xsi:type="dcterms:W3CDTF">2025-02-27T13:20:00Z</dcterms:modified>
</cp:coreProperties>
</file>