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E241B" w14:textId="701C7C06" w:rsidR="005D30DD" w:rsidRDefault="00EA3792" w:rsidP="00EA3792">
      <w:pPr>
        <w:jc w:val="right"/>
      </w:pPr>
      <w:r>
        <w:t>Приложение № </w:t>
      </w:r>
      <w:r w:rsidR="005D74DF">
        <w:t>1</w:t>
      </w:r>
      <w:r w:rsidR="00022A43">
        <w:t>2</w:t>
      </w:r>
    </w:p>
    <w:p w14:paraId="551BF2C1" w14:textId="77777777" w:rsidR="00EA3792" w:rsidRDefault="00EA3792" w:rsidP="00EA3792">
      <w:pPr>
        <w:jc w:val="right"/>
      </w:pPr>
    </w:p>
    <w:p w14:paraId="30D79852" w14:textId="71252E83" w:rsidR="00B4336C" w:rsidRDefault="00EA3792" w:rsidP="00B4336C">
      <w:pPr>
        <w:widowControl w:val="0"/>
        <w:jc w:val="center"/>
        <w:rPr>
          <w:b/>
          <w:sz w:val="32"/>
        </w:rPr>
      </w:pPr>
      <w:r w:rsidRPr="00082B25">
        <w:rPr>
          <w:b/>
          <w:sz w:val="32"/>
        </w:rPr>
        <w:t>Методы</w:t>
      </w:r>
      <w:r w:rsidR="00082B25" w:rsidRPr="00082B25">
        <w:rPr>
          <w:b/>
          <w:sz w:val="32"/>
        </w:rPr>
        <w:t xml:space="preserve"> сбора и анализа данных</w:t>
      </w:r>
      <w:r w:rsidRPr="00082B25">
        <w:rPr>
          <w:b/>
          <w:sz w:val="32"/>
        </w:rPr>
        <w:t xml:space="preserve">, использованные в ходе </w:t>
      </w:r>
      <w:r w:rsidR="00082B25">
        <w:rPr>
          <w:b/>
          <w:sz w:val="32"/>
        </w:rPr>
        <w:br/>
      </w:r>
      <w:r w:rsidRPr="00082B25">
        <w:rPr>
          <w:b/>
          <w:sz w:val="32"/>
        </w:rPr>
        <w:t xml:space="preserve">проведения </w:t>
      </w:r>
      <w:r w:rsidR="005859F1">
        <w:rPr>
          <w:b/>
          <w:sz w:val="32"/>
        </w:rPr>
        <w:t>контрольного</w:t>
      </w:r>
      <w:r w:rsidRPr="00082B25">
        <w:rPr>
          <w:b/>
          <w:sz w:val="32"/>
        </w:rPr>
        <w:t xml:space="preserve"> мероприятия</w:t>
      </w:r>
    </w:p>
    <w:p w14:paraId="3A763C98" w14:textId="77777777" w:rsidR="001336E5" w:rsidRPr="001336E5" w:rsidRDefault="001336E5" w:rsidP="00B4336C">
      <w:pPr>
        <w:widowControl w:val="0"/>
        <w:jc w:val="center"/>
        <w:rPr>
          <w:b/>
          <w:sz w:val="16"/>
          <w:szCs w:val="16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85"/>
        <w:gridCol w:w="4188"/>
        <w:gridCol w:w="2098"/>
        <w:gridCol w:w="4990"/>
        <w:gridCol w:w="2835"/>
      </w:tblGrid>
      <w:tr w:rsidR="00F44AF0" w:rsidRPr="00154D35" w14:paraId="329A406C" w14:textId="77777777" w:rsidTr="001336E5">
        <w:trPr>
          <w:cantSplit/>
          <w:trHeight w:val="20"/>
          <w:tblHeader/>
        </w:trPr>
        <w:tc>
          <w:tcPr>
            <w:tcW w:w="485" w:type="dxa"/>
            <w:vAlign w:val="center"/>
          </w:tcPr>
          <w:p w14:paraId="3727F930" w14:textId="77777777" w:rsidR="00B317A3" w:rsidRPr="00ED3637" w:rsidRDefault="00B317A3" w:rsidP="00834E3F">
            <w:pPr>
              <w:ind w:left="-57" w:right="-57"/>
            </w:pPr>
            <w:r w:rsidRPr="00ED3637">
              <w:t>№</w:t>
            </w:r>
          </w:p>
        </w:tc>
        <w:tc>
          <w:tcPr>
            <w:tcW w:w="4188" w:type="dxa"/>
            <w:vAlign w:val="center"/>
          </w:tcPr>
          <w:p w14:paraId="138F8347" w14:textId="77777777" w:rsidR="00B317A3" w:rsidRPr="00ED3637" w:rsidRDefault="00B317A3" w:rsidP="00834E3F">
            <w:pPr>
              <w:ind w:left="-57" w:right="-57"/>
              <w:jc w:val="center"/>
            </w:pPr>
            <w:r w:rsidRPr="00ED3637">
              <w:t>Наименование использованного метода</w:t>
            </w:r>
          </w:p>
        </w:tc>
        <w:tc>
          <w:tcPr>
            <w:tcW w:w="2098" w:type="dxa"/>
            <w:vAlign w:val="center"/>
          </w:tcPr>
          <w:p w14:paraId="03ABF04C" w14:textId="77777777" w:rsidR="00B317A3" w:rsidRPr="00ED3637" w:rsidRDefault="00B317A3" w:rsidP="00834E3F">
            <w:pPr>
              <w:ind w:left="-57" w:right="-57"/>
              <w:jc w:val="center"/>
            </w:pPr>
            <w:r w:rsidRPr="00ED3637">
              <w:t>Номер</w:t>
            </w:r>
            <w:r w:rsidR="00154D35" w:rsidRPr="00ED3637">
              <w:t xml:space="preserve"> метода</w:t>
            </w:r>
            <w:r w:rsidRPr="00ED3637">
              <w:t xml:space="preserve"> в соответствии со Справочником</w:t>
            </w:r>
            <w:r w:rsidR="00154D35" w:rsidRPr="00ED3637">
              <w:rPr>
                <w:rStyle w:val="a8"/>
              </w:rPr>
              <w:footnoteReference w:id="1"/>
            </w:r>
          </w:p>
        </w:tc>
        <w:tc>
          <w:tcPr>
            <w:tcW w:w="4990" w:type="dxa"/>
            <w:vAlign w:val="center"/>
          </w:tcPr>
          <w:p w14:paraId="762E3B3E" w14:textId="77777777" w:rsidR="00B317A3" w:rsidRPr="00ED3637" w:rsidRDefault="00154D35" w:rsidP="00834E3F">
            <w:pPr>
              <w:ind w:left="-57" w:right="-57"/>
              <w:jc w:val="center"/>
            </w:pPr>
            <w:r w:rsidRPr="00ED3637">
              <w:t>Краткое описание метода</w:t>
            </w:r>
          </w:p>
        </w:tc>
        <w:tc>
          <w:tcPr>
            <w:tcW w:w="2835" w:type="dxa"/>
            <w:vAlign w:val="center"/>
          </w:tcPr>
          <w:p w14:paraId="66A3BD18" w14:textId="439FD638" w:rsidR="00B317A3" w:rsidRPr="00ED3637" w:rsidRDefault="00A64EDD" w:rsidP="00834E3F">
            <w:pPr>
              <w:ind w:left="-57" w:right="-57"/>
              <w:jc w:val="center"/>
            </w:pPr>
            <w:r>
              <w:t xml:space="preserve">Цель </w:t>
            </w:r>
            <w:r w:rsidR="003F1EA9">
              <w:t>К</w:t>
            </w:r>
            <w:r>
              <w:t>М, в которой</w:t>
            </w:r>
            <w:r w:rsidR="00154D35" w:rsidRPr="00ED3637">
              <w:t xml:space="preserve"> использовался метод</w:t>
            </w:r>
          </w:p>
        </w:tc>
      </w:tr>
      <w:tr w:rsidR="00CD47A0" w:rsidRPr="00154D35" w14:paraId="34B1ED66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4C07C7AB" w14:textId="77777777" w:rsidR="00CD47A0" w:rsidRPr="00ED3637" w:rsidRDefault="00CD47A0" w:rsidP="00346E84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6183CE79" w14:textId="4D3FE07A" w:rsidR="00CD47A0" w:rsidRPr="00ED3637" w:rsidRDefault="00CD47A0" w:rsidP="00834E3F">
            <w:pPr>
              <w:ind w:left="-57" w:right="-57"/>
            </w:pPr>
            <w:r w:rsidRPr="00ED3637">
              <w:t xml:space="preserve">Получение данных по запросу </w:t>
            </w:r>
          </w:p>
        </w:tc>
        <w:tc>
          <w:tcPr>
            <w:tcW w:w="2098" w:type="dxa"/>
            <w:vAlign w:val="center"/>
          </w:tcPr>
          <w:p w14:paraId="1894F29E" w14:textId="2693969E" w:rsidR="00CD47A0" w:rsidRPr="00ED3637" w:rsidRDefault="00CD47A0" w:rsidP="00834E3F">
            <w:pPr>
              <w:ind w:left="-57" w:right="-57"/>
              <w:jc w:val="center"/>
            </w:pPr>
            <w:r w:rsidRPr="00ED3637">
              <w:t>1.2.</w:t>
            </w:r>
          </w:p>
        </w:tc>
        <w:tc>
          <w:tcPr>
            <w:tcW w:w="4990" w:type="dxa"/>
            <w:vAlign w:val="center"/>
          </w:tcPr>
          <w:p w14:paraId="252C5823" w14:textId="0AAB4F4E" w:rsidR="00CD47A0" w:rsidRPr="001336E5" w:rsidRDefault="00CD47A0" w:rsidP="006E7944">
            <w:pPr>
              <w:ind w:left="-57" w:right="-57"/>
            </w:pPr>
            <w:r w:rsidRPr="001336E5">
              <w:t xml:space="preserve">В ходе </w:t>
            </w:r>
            <w:proofErr w:type="gramStart"/>
            <w:r w:rsidR="003F1EA9" w:rsidRPr="001336E5">
              <w:t>КМ</w:t>
            </w:r>
            <w:proofErr w:type="gramEnd"/>
            <w:r w:rsidRPr="001336E5">
              <w:t xml:space="preserve"> направлено </w:t>
            </w:r>
            <w:r w:rsidR="006E7944">
              <w:t>340</w:t>
            </w:r>
            <w:r w:rsidRPr="001336E5">
              <w:t xml:space="preserve"> запрос</w:t>
            </w:r>
            <w:r w:rsidR="003F1EA9" w:rsidRPr="001336E5">
              <w:t>ов</w:t>
            </w:r>
            <w:r w:rsidRPr="001336E5">
              <w:t xml:space="preserve"> в </w:t>
            </w:r>
            <w:r w:rsidR="003F1EA9" w:rsidRPr="001336E5">
              <w:t>2</w:t>
            </w:r>
            <w:r w:rsidRPr="001336E5">
              <w:t xml:space="preserve"> федеральных органа исполнительной власти, </w:t>
            </w:r>
            <w:r w:rsidR="003F1EA9" w:rsidRPr="001336E5">
              <w:t xml:space="preserve">ЦИК России, ПАО «Ростелеком, </w:t>
            </w:r>
            <w:r w:rsidRPr="001336E5">
              <w:t>8</w:t>
            </w:r>
            <w:r w:rsidR="00B948B3" w:rsidRPr="001336E5">
              <w:t>3</w:t>
            </w:r>
            <w:r w:rsidRPr="001336E5">
              <w:t xml:space="preserve"> субъект</w:t>
            </w:r>
            <w:r w:rsidR="00B948B3" w:rsidRPr="001336E5">
              <w:t>а</w:t>
            </w:r>
            <w:r w:rsidRPr="001336E5">
              <w:t xml:space="preserve"> Российской Федерации</w:t>
            </w:r>
            <w:r w:rsidR="001336E5" w:rsidRPr="001336E5">
              <w:t>, 59 городских округов Московской области, 53 территориальных избирательных комиссии.</w:t>
            </w:r>
          </w:p>
        </w:tc>
        <w:tc>
          <w:tcPr>
            <w:tcW w:w="2835" w:type="dxa"/>
            <w:vAlign w:val="center"/>
          </w:tcPr>
          <w:p w14:paraId="313E0E28" w14:textId="1832E260" w:rsidR="00CD47A0" w:rsidRPr="00ED3637" w:rsidRDefault="00CD47A0" w:rsidP="00A64EDD">
            <w:pPr>
              <w:ind w:left="-57" w:right="-57"/>
            </w:pPr>
            <w:r w:rsidRPr="00ED3637">
              <w:t xml:space="preserve">Все </w:t>
            </w:r>
            <w:r w:rsidR="00A64EDD">
              <w:t>цели</w:t>
            </w:r>
            <w:r w:rsidRPr="00ED3637">
              <w:t xml:space="preserve"> </w:t>
            </w:r>
            <w:r w:rsidR="003F1EA9">
              <w:t>КМ</w:t>
            </w:r>
          </w:p>
        </w:tc>
      </w:tr>
      <w:tr w:rsidR="003F1EA9" w:rsidRPr="00154D35" w14:paraId="2E2DBD84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28ED25DE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2CD277E3" w14:textId="6FF0CC71" w:rsidR="003F1EA9" w:rsidRPr="00ED3637" w:rsidRDefault="003F1EA9" w:rsidP="003F1EA9">
            <w:pPr>
              <w:ind w:left="-57" w:right="-57"/>
            </w:pPr>
            <w:r>
              <w:t>Получение данных из ГИС</w:t>
            </w:r>
          </w:p>
        </w:tc>
        <w:tc>
          <w:tcPr>
            <w:tcW w:w="2098" w:type="dxa"/>
            <w:vAlign w:val="center"/>
          </w:tcPr>
          <w:p w14:paraId="214E08D2" w14:textId="67161D3F" w:rsidR="003F1EA9" w:rsidRPr="00ED3637" w:rsidRDefault="003F1EA9" w:rsidP="003F1EA9">
            <w:pPr>
              <w:ind w:left="-57" w:right="-57"/>
              <w:jc w:val="center"/>
            </w:pPr>
            <w:r>
              <w:t>1.2.1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9B53376" w14:textId="246C1C3D" w:rsidR="003F1EA9" w:rsidRPr="001336E5" w:rsidRDefault="003F1EA9" w:rsidP="003F1EA9">
            <w:pPr>
              <w:ind w:left="-57" w:right="-57"/>
            </w:pPr>
            <w:r w:rsidRPr="001336E5">
              <w:t xml:space="preserve">Получены </w:t>
            </w:r>
            <w:bookmarkStart w:id="0" w:name="_Hlk159439354"/>
            <w:r w:rsidRPr="001336E5">
              <w:t xml:space="preserve">данные из </w:t>
            </w:r>
            <w:r w:rsidR="001336E5" w:rsidRPr="001336E5">
              <w:t>информационной системы Роскомнадзора «Реестр лицензий</w:t>
            </w:r>
            <w:r w:rsidR="00E01F34">
              <w:t>»</w:t>
            </w:r>
            <w:bookmarkEnd w:id="0"/>
            <w:r w:rsidR="00EC3C08">
              <w:t>,</w:t>
            </w:r>
            <w:r w:rsidRPr="001336E5">
              <w:t xml:space="preserve"> </w:t>
            </w:r>
            <w:bookmarkStart w:id="1" w:name="_Hlk159439404"/>
            <w:r w:rsidR="001336E5" w:rsidRPr="001336E5">
              <w:t>из Единой информационной системы закупок</w:t>
            </w:r>
            <w:bookmarkEnd w:id="1"/>
            <w:r w:rsidR="00EC3C08">
              <w:t xml:space="preserve">, </w:t>
            </w:r>
            <w:r w:rsidR="00EC3C08" w:rsidRPr="00A579D8">
              <w:t>из информационной аналитической системы «Мониторинг социально значимых объектов»</w:t>
            </w:r>
            <w:r w:rsidR="00EC3C08">
              <w:t xml:space="preserve">, </w:t>
            </w:r>
            <w:r w:rsidR="00EC3C08" w:rsidRPr="008E521A">
              <w:t>из информационной системы Федерального казначейства</w:t>
            </w:r>
            <w:r w:rsidR="00EC3C08">
              <w:t xml:space="preserve">, </w:t>
            </w:r>
            <w:r w:rsidR="00EC3C08" w:rsidRPr="008E521A">
              <w:t>из информационной системы «Электронный бюджет»</w:t>
            </w:r>
          </w:p>
        </w:tc>
        <w:tc>
          <w:tcPr>
            <w:tcW w:w="2835" w:type="dxa"/>
            <w:vAlign w:val="center"/>
          </w:tcPr>
          <w:p w14:paraId="4784012C" w14:textId="7BA35ACC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7191F3E4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42498F50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1B0BB8F8" w14:textId="3B72D603" w:rsidR="003F1EA9" w:rsidRPr="00ED3637" w:rsidRDefault="003F1EA9" w:rsidP="003F1EA9">
            <w:pPr>
              <w:ind w:left="-57" w:right="-57"/>
            </w:pPr>
            <w:r w:rsidRPr="00ED3637">
              <w:t xml:space="preserve">Фокус-группа </w:t>
            </w:r>
          </w:p>
        </w:tc>
        <w:tc>
          <w:tcPr>
            <w:tcW w:w="2098" w:type="dxa"/>
            <w:vAlign w:val="center"/>
          </w:tcPr>
          <w:p w14:paraId="2BC3D1D2" w14:textId="3F88F5E0" w:rsidR="003F1EA9" w:rsidRPr="00ED3637" w:rsidRDefault="003F1EA9" w:rsidP="003F1EA9">
            <w:pPr>
              <w:ind w:left="-57" w:right="-57"/>
              <w:jc w:val="center"/>
            </w:pPr>
            <w:r w:rsidRPr="00ED3637">
              <w:t>1.3.3.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25522F5" w14:textId="2A36F267" w:rsidR="003F1EA9" w:rsidRPr="003F1EA9" w:rsidRDefault="003F1EA9" w:rsidP="003F1EA9">
            <w:pPr>
              <w:ind w:left="-57" w:right="-57"/>
            </w:pPr>
            <w:r w:rsidRPr="003F1EA9">
              <w:t>Инспекторским составом, участвующие в КМ, обсуждены основные риски, выявленные в ходе КМ</w:t>
            </w:r>
          </w:p>
        </w:tc>
        <w:tc>
          <w:tcPr>
            <w:tcW w:w="2835" w:type="dxa"/>
            <w:vAlign w:val="center"/>
          </w:tcPr>
          <w:p w14:paraId="672AD749" w14:textId="4377CC61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6E3D472B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2BCC4433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56612ACC" w14:textId="10D1FBE0" w:rsidR="003F1EA9" w:rsidRPr="00ED3637" w:rsidRDefault="003F1EA9" w:rsidP="003F1EA9">
            <w:pPr>
              <w:ind w:left="-57" w:right="-57"/>
            </w:pPr>
            <w:r w:rsidRPr="00ED3637">
              <w:t>Мозговой штурм</w:t>
            </w:r>
          </w:p>
        </w:tc>
        <w:tc>
          <w:tcPr>
            <w:tcW w:w="2098" w:type="dxa"/>
            <w:vAlign w:val="center"/>
          </w:tcPr>
          <w:p w14:paraId="68B3BEE1" w14:textId="62B878DF" w:rsidR="003F1EA9" w:rsidRPr="00ED3637" w:rsidRDefault="003F1EA9" w:rsidP="003F1EA9">
            <w:pPr>
              <w:ind w:left="-57" w:right="-57"/>
              <w:jc w:val="center"/>
            </w:pPr>
            <w:r w:rsidRPr="00ED3637">
              <w:t>1.3.4.2.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AEB7B9" w14:textId="6591F50F" w:rsidR="003F1EA9" w:rsidRPr="003F1EA9" w:rsidRDefault="003F1EA9" w:rsidP="003F1EA9">
            <w:pPr>
              <w:ind w:left="-57" w:right="-57"/>
            </w:pPr>
            <w:r w:rsidRPr="003F1EA9">
              <w:t>Применялся инспекторским составом на подготовительном и заключительном этапах при подготовке гипотез и результатов КМ</w:t>
            </w:r>
          </w:p>
        </w:tc>
        <w:tc>
          <w:tcPr>
            <w:tcW w:w="2835" w:type="dxa"/>
            <w:vAlign w:val="center"/>
          </w:tcPr>
          <w:p w14:paraId="13CB02F6" w14:textId="240F4C0D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74C1881D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0520250D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3D3A2726" w14:textId="514643A6" w:rsidR="003F1EA9" w:rsidRPr="00ED3637" w:rsidRDefault="003F1EA9" w:rsidP="003F1EA9">
            <w:pPr>
              <w:ind w:left="-57" w:right="-57"/>
            </w:pPr>
            <w:r w:rsidRPr="00ED3637">
              <w:t>Многокритериальная оценка</w:t>
            </w:r>
          </w:p>
        </w:tc>
        <w:tc>
          <w:tcPr>
            <w:tcW w:w="2098" w:type="dxa"/>
            <w:vAlign w:val="center"/>
          </w:tcPr>
          <w:p w14:paraId="7AFCB9AA" w14:textId="0F9E187D" w:rsidR="003F1EA9" w:rsidRPr="00ED3637" w:rsidRDefault="003F1EA9" w:rsidP="003F1EA9">
            <w:pPr>
              <w:ind w:left="-57" w:right="-57"/>
              <w:jc w:val="center"/>
            </w:pPr>
            <w:r w:rsidRPr="00ED3637">
              <w:t>1.3.4.3.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C6BB867" w14:textId="7DDFEB4A" w:rsidR="003F1EA9" w:rsidRPr="003F1EA9" w:rsidRDefault="003F1EA9" w:rsidP="003F1EA9">
            <w:pPr>
              <w:ind w:left="-57" w:right="-57"/>
            </w:pPr>
            <w:r w:rsidRPr="003F1EA9">
              <w:t>Использована при определении финансовых и административных ресурсов КМ</w:t>
            </w:r>
          </w:p>
        </w:tc>
        <w:tc>
          <w:tcPr>
            <w:tcW w:w="2835" w:type="dxa"/>
            <w:vAlign w:val="center"/>
          </w:tcPr>
          <w:p w14:paraId="5B8E14D1" w14:textId="6DAA735B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3F1EA9" w:rsidRPr="00154D35" w14:paraId="367EE74A" w14:textId="77777777" w:rsidTr="001336E5">
        <w:trPr>
          <w:cantSplit/>
          <w:trHeight w:val="1507"/>
        </w:trPr>
        <w:tc>
          <w:tcPr>
            <w:tcW w:w="485" w:type="dxa"/>
            <w:vAlign w:val="center"/>
          </w:tcPr>
          <w:p w14:paraId="3FE0387A" w14:textId="77777777" w:rsidR="003F1EA9" w:rsidRPr="00ED3637" w:rsidRDefault="003F1EA9" w:rsidP="003F1EA9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17E383E7" w14:textId="3C207160" w:rsidR="003F1EA9" w:rsidRPr="00ED3637" w:rsidRDefault="003F1EA9" w:rsidP="003F1EA9">
            <w:pPr>
              <w:ind w:left="-57" w:right="-57"/>
            </w:pPr>
            <w:r w:rsidRPr="00ED3637">
              <w:t>Описательная статистика</w:t>
            </w:r>
          </w:p>
        </w:tc>
        <w:tc>
          <w:tcPr>
            <w:tcW w:w="2098" w:type="dxa"/>
            <w:vAlign w:val="center"/>
          </w:tcPr>
          <w:p w14:paraId="0E47F7C2" w14:textId="43AA4811" w:rsidR="003F1EA9" w:rsidRPr="00ED3637" w:rsidRDefault="003F1EA9" w:rsidP="003F1EA9">
            <w:pPr>
              <w:ind w:left="-57" w:right="-57"/>
              <w:jc w:val="center"/>
            </w:pPr>
            <w:r w:rsidRPr="00ED3637">
              <w:t>2.1.1.1.</w:t>
            </w:r>
          </w:p>
        </w:tc>
        <w:tc>
          <w:tcPr>
            <w:tcW w:w="4990" w:type="dxa"/>
            <w:vMerge w:val="restart"/>
            <w:shd w:val="clear" w:color="auto" w:fill="auto"/>
            <w:vAlign w:val="center"/>
          </w:tcPr>
          <w:p w14:paraId="79F881D9" w14:textId="53E4A672" w:rsidR="003F1EA9" w:rsidRPr="00ED7F73" w:rsidRDefault="001336E5" w:rsidP="001336E5">
            <w:pPr>
              <w:ind w:left="-57" w:right="-57"/>
            </w:pPr>
            <w:r>
              <w:t xml:space="preserve">Сгруппированные по объектам оказания услуг договоры ПАО «Ростелеком» на заключенные с локальными операторами связи на предмет их соответствия договорам образовательных организаций Московской области, заключенных на подключение к сети Интернет с операторами связи </w:t>
            </w:r>
            <w:r w:rsidR="003F1EA9">
              <w:t xml:space="preserve">проанализированы на предмет </w:t>
            </w:r>
            <w:r>
              <w:t>закупки аналогичных услуг у различных операторов связи</w:t>
            </w:r>
          </w:p>
        </w:tc>
        <w:tc>
          <w:tcPr>
            <w:tcW w:w="2835" w:type="dxa"/>
            <w:vMerge w:val="restart"/>
            <w:vAlign w:val="center"/>
          </w:tcPr>
          <w:p w14:paraId="4D9A60C3" w14:textId="5CB2678F" w:rsidR="003F1EA9" w:rsidRPr="00ED3637" w:rsidRDefault="003F1EA9" w:rsidP="003F1EA9">
            <w:pPr>
              <w:ind w:left="-57" w:right="-57"/>
            </w:pPr>
            <w:r w:rsidRPr="00ED3637">
              <w:t xml:space="preserve">Все </w:t>
            </w:r>
            <w:r>
              <w:t>цели</w:t>
            </w:r>
            <w:r w:rsidRPr="00ED3637">
              <w:t xml:space="preserve"> </w:t>
            </w:r>
            <w:r>
              <w:t>КМ</w:t>
            </w:r>
          </w:p>
        </w:tc>
      </w:tr>
      <w:tr w:rsidR="00F1047F" w:rsidRPr="00154D35" w14:paraId="7461B8A1" w14:textId="77777777" w:rsidTr="001336E5">
        <w:trPr>
          <w:cantSplit/>
          <w:trHeight w:val="20"/>
        </w:trPr>
        <w:tc>
          <w:tcPr>
            <w:tcW w:w="485" w:type="dxa"/>
            <w:vAlign w:val="center"/>
          </w:tcPr>
          <w:p w14:paraId="55FBA5C1" w14:textId="77777777" w:rsidR="00F1047F" w:rsidRPr="00ED3637" w:rsidRDefault="00F1047F" w:rsidP="00346E84">
            <w:pPr>
              <w:pStyle w:val="a9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4188" w:type="dxa"/>
            <w:vAlign w:val="center"/>
          </w:tcPr>
          <w:p w14:paraId="3212CBC9" w14:textId="0A4AF691" w:rsidR="00F1047F" w:rsidRPr="00ED3637" w:rsidRDefault="00F1047F" w:rsidP="00834E3F">
            <w:pPr>
              <w:ind w:left="-57" w:right="-57"/>
            </w:pPr>
            <w:r>
              <w:t>Кластеризация</w:t>
            </w:r>
          </w:p>
        </w:tc>
        <w:tc>
          <w:tcPr>
            <w:tcW w:w="2098" w:type="dxa"/>
            <w:vAlign w:val="center"/>
          </w:tcPr>
          <w:p w14:paraId="16209C5D" w14:textId="6A95A795" w:rsidR="00F1047F" w:rsidRPr="00ED3637" w:rsidRDefault="00F1047F" w:rsidP="00834E3F">
            <w:pPr>
              <w:ind w:left="-57" w:right="-57"/>
              <w:jc w:val="center"/>
            </w:pPr>
            <w:r>
              <w:t>2.1.2.2</w:t>
            </w:r>
          </w:p>
        </w:tc>
        <w:tc>
          <w:tcPr>
            <w:tcW w:w="4990" w:type="dxa"/>
            <w:vMerge/>
            <w:shd w:val="clear" w:color="auto" w:fill="auto"/>
            <w:vAlign w:val="center"/>
          </w:tcPr>
          <w:p w14:paraId="7C1B540E" w14:textId="77777777" w:rsidR="00F1047F" w:rsidRDefault="00F1047F" w:rsidP="00834E3F">
            <w:pPr>
              <w:ind w:left="-57" w:right="-57"/>
            </w:pPr>
          </w:p>
        </w:tc>
        <w:tc>
          <w:tcPr>
            <w:tcW w:w="2835" w:type="dxa"/>
            <w:vMerge/>
            <w:vAlign w:val="center"/>
          </w:tcPr>
          <w:p w14:paraId="3F7486BC" w14:textId="31B5A9B6" w:rsidR="00F1047F" w:rsidRPr="00ED3637" w:rsidRDefault="00F1047F" w:rsidP="00834E3F">
            <w:pPr>
              <w:ind w:left="-57" w:right="-57"/>
            </w:pPr>
          </w:p>
        </w:tc>
      </w:tr>
    </w:tbl>
    <w:p w14:paraId="7895CC0B" w14:textId="346C829D" w:rsidR="00D43F51" w:rsidRDefault="00D43F51" w:rsidP="00EA3792">
      <w:pPr>
        <w:jc w:val="center"/>
      </w:pPr>
    </w:p>
    <w:p w14:paraId="41DB7E7A" w14:textId="77777777" w:rsidR="00D43F51" w:rsidRDefault="00D43F51">
      <w:r>
        <w:br w:type="page"/>
      </w:r>
    </w:p>
    <w:p w14:paraId="1041C8D8" w14:textId="77777777" w:rsidR="00D43F51" w:rsidRDefault="00D43F51" w:rsidP="00EA3792">
      <w:pPr>
        <w:jc w:val="center"/>
        <w:sectPr w:rsidR="00D43F51" w:rsidSect="00B4336C">
          <w:headerReference w:type="default" r:id="rId9"/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81"/>
        </w:sectPr>
      </w:pPr>
    </w:p>
    <w:p w14:paraId="22C40B0D" w14:textId="77777777" w:rsidR="00D43F51" w:rsidRPr="004709F4" w:rsidRDefault="00D43F51" w:rsidP="00D43F51">
      <w:pPr>
        <w:pStyle w:val="a9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lastRenderedPageBreak/>
        <w:t>В ходе контрольного мероприятия использовались следующие наборы данных:</w:t>
      </w:r>
    </w:p>
    <w:p w14:paraId="55E8AA4B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Машиночитаемые данные:</w:t>
      </w:r>
    </w:p>
    <w:p w14:paraId="59D9DE67" w14:textId="77777777" w:rsidR="00D43F51" w:rsidRPr="00385781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85781">
        <w:t xml:space="preserve">Данные из информационной системы </w:t>
      </w:r>
      <w:proofErr w:type="spellStart"/>
      <w:r w:rsidRPr="00385781">
        <w:t>Роскомнадзора</w:t>
      </w:r>
      <w:proofErr w:type="spellEnd"/>
      <w:r w:rsidRPr="00385781">
        <w:t xml:space="preserve"> «Реестр лицензий»</w:t>
      </w:r>
      <w:r>
        <w:t>.</w:t>
      </w:r>
    </w:p>
    <w:p w14:paraId="1636097C" w14:textId="77777777" w:rsidR="00D43F51" w:rsidRPr="00A579D8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A579D8">
        <w:t>Данные из информационной аналитической системы «Мониторинг социально значимых объектов»</w:t>
      </w:r>
      <w:r>
        <w:t>.</w:t>
      </w:r>
    </w:p>
    <w:p w14:paraId="32169B63" w14:textId="7D1F443C" w:rsidR="00D43F51" w:rsidRPr="008E521A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8E521A">
        <w:t>Данные из информационной системы Федерального казначейства</w:t>
      </w:r>
      <w:r>
        <w:br/>
      </w:r>
      <w:r w:rsidRPr="008E521A">
        <w:t xml:space="preserve">о платежах Минцифры России, а также ПАО «Ростелеком» </w:t>
      </w:r>
      <w:proofErr w:type="gramStart"/>
      <w:r w:rsidRPr="008E521A">
        <w:t>и ООО</w:t>
      </w:r>
      <w:proofErr w:type="gramEnd"/>
      <w:r w:rsidRPr="008E521A">
        <w:t> «Миранда-медиа»</w:t>
      </w:r>
      <w:r>
        <w:t>.</w:t>
      </w:r>
    </w:p>
    <w:p w14:paraId="2853E76E" w14:textId="77777777" w:rsidR="00D43F51" w:rsidRPr="008E521A" w:rsidRDefault="00D43F51" w:rsidP="00D43F51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8E521A">
        <w:t>Данные из информационной системы «Электронный бюджет»</w:t>
      </w:r>
      <w:r>
        <w:t>.</w:t>
      </w:r>
    </w:p>
    <w:p w14:paraId="35E21EDC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Иные данные, представленные в не машиночитаемом формате.</w:t>
      </w:r>
    </w:p>
    <w:p w14:paraId="3EC6A4BB" w14:textId="671B5D2F" w:rsidR="00D43F51" w:rsidRPr="0038578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 w:rsidRPr="004709F4">
        <w:t xml:space="preserve">Государственные контракты </w:t>
      </w:r>
      <w:r>
        <w:t>Минцифры России с ПАО «Ростелеком» от 30 декабря 2021 г. № 0410/151, от 10 августа 2022 г. № 0410/56, от 26 декабря 2022 г. № 0410/121, от 27 февраля 2023 г. № 071/23/8 и от 31 августа 2023 г. № 071/23/89, а также государственные контракты Минцифры России</w:t>
      </w:r>
      <w:r>
        <w:br/>
        <w:t>с ООО «Миранда-медиа» от 30 декабря 2021 г. № 0410</w:t>
      </w:r>
      <w:proofErr w:type="gramEnd"/>
      <w:r>
        <w:t xml:space="preserve">/152, от 29 апреля 2022 г. № 0410/16 и от 31 августа 2023 г. № 071/23/90, а </w:t>
      </w:r>
      <w:r w:rsidRPr="00385781">
        <w:t>также технические задания</w:t>
      </w:r>
      <w:r>
        <w:br/>
      </w:r>
      <w:r w:rsidRPr="00385781">
        <w:t>к ним, содержащие сведения об объекте закупок, ценах стоимости услуг, условий их оказания, использованном оборудовании при оказании услуг</w:t>
      </w:r>
      <w:r>
        <w:t>.</w:t>
      </w:r>
    </w:p>
    <w:p w14:paraId="65AA665C" w14:textId="77777777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85781">
        <w:t xml:space="preserve">Сведения о результатах закупок услуг </w:t>
      </w:r>
      <w:proofErr w:type="gramStart"/>
      <w:r w:rsidRPr="00385781">
        <w:t>согласно</w:t>
      </w:r>
      <w:proofErr w:type="gramEnd"/>
      <w:r w:rsidRPr="00385781">
        <w:t xml:space="preserve"> Единой информационной системы закупок, содержащие сведения об объеме принятых услуг, а также о суммах оплаты за оказанные услуги.</w:t>
      </w:r>
    </w:p>
    <w:p w14:paraId="5525BBC0" w14:textId="4C2D0F01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>
        <w:t>Полученные по запросам Счетной палаты Российской Федерации</w:t>
      </w:r>
      <w:r>
        <w:br/>
        <w:t>от Министерства просвещения Российской Федерации и от Центральной избирательной комиссии Российской Федерации сведения о предоставлении Минцифры России информации о потребностях образовательных организаций</w:t>
      </w:r>
      <w:r>
        <w:br/>
        <w:t>и избирательных комиссий.</w:t>
      </w:r>
      <w:proofErr w:type="gramEnd"/>
    </w:p>
    <w:p w14:paraId="23A096E8" w14:textId="4089FAA8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>
        <w:t>Полученные по запросам Счетной палаты Российской Федерации</w:t>
      </w:r>
      <w:r>
        <w:br/>
        <w:t xml:space="preserve">от исполнительных органов государственной власти субъектов Российской </w:t>
      </w:r>
      <w:r>
        <w:lastRenderedPageBreak/>
        <w:t>Федерации и органов местного самоуправления Московской области сведения</w:t>
      </w:r>
      <w:r>
        <w:br/>
        <w:t>о заключенных образовательными организациями контрактов на закупку услуг подключения к сети «Интернет».</w:t>
      </w:r>
      <w:proofErr w:type="gramEnd"/>
    </w:p>
    <w:p w14:paraId="62CA1A2C" w14:textId="1960DEF7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Полученные по запросам Счетной палаты Российской Федерации от ПАО «Ростелеком» сведения о расходах, произведенных в целях оказания услуг.</w:t>
      </w:r>
    </w:p>
    <w:p w14:paraId="7E5AE64B" w14:textId="6F56D687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proofErr w:type="gramStart"/>
      <w:r>
        <w:t>Полученные по запросам Счетной палаты Российской Федерации</w:t>
      </w:r>
      <w:r>
        <w:br/>
        <w:t>от Минцифры России сведения об осуществлении функций заказчика федеральных контрактов, а также контрольных функциях как федерального органа государственной власти в ходе закупок услуг.</w:t>
      </w:r>
      <w:proofErr w:type="gramEnd"/>
    </w:p>
    <w:p w14:paraId="0041C310" w14:textId="14EBC516" w:rsidR="00D43F5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Полученные по запросам Счетной палаты Российской Федерации</w:t>
      </w:r>
      <w:r>
        <w:br/>
        <w:t>от локальных операторов связи сведения о заключенных с ПАО «Ростелеком» контрактах на аренду линий связи.</w:t>
      </w:r>
    </w:p>
    <w:p w14:paraId="75E4DB01" w14:textId="77777777" w:rsidR="00D43F51" w:rsidRPr="00385781" w:rsidRDefault="00D43F51" w:rsidP="00D43F51">
      <w:pPr>
        <w:pStyle w:val="a9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>Данные из информационной системы «СПАРК ИНТЕРФАКС».</w:t>
      </w:r>
    </w:p>
    <w:p w14:paraId="67B2BD48" w14:textId="77777777" w:rsidR="00D43F51" w:rsidRPr="004709F4" w:rsidRDefault="00D43F51" w:rsidP="00D43F51">
      <w:pPr>
        <w:pStyle w:val="a9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Методы сбора данных:</w:t>
      </w:r>
    </w:p>
    <w:p w14:paraId="4F146E6A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открытых данных из государственных информационных систем;</w:t>
      </w:r>
    </w:p>
    <w:p w14:paraId="5DDCAAA1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данных из закрытых государственных информационных систем, к которым Счетной палате Российской Федерации предоставлен постоянный доступ;</w:t>
      </w:r>
    </w:p>
    <w:p w14:paraId="758ABF52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данных из закрытых государственных информационных систем, к которым у Счетной палаты Российской Федерации отсутствует доступ, на основании запросов информации;</w:t>
      </w:r>
    </w:p>
    <w:p w14:paraId="66DAAF03" w14:textId="77777777" w:rsidR="00D43F51" w:rsidRPr="004709F4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Получение данных от органов государственной власти и организаций на основании запросов информации</w:t>
      </w:r>
      <w:r>
        <w:t>.</w:t>
      </w:r>
    </w:p>
    <w:p w14:paraId="6E78FA9A" w14:textId="77777777" w:rsidR="00D43F51" w:rsidRDefault="00D43F51" w:rsidP="00D43F51">
      <w:pPr>
        <w:pStyle w:val="a9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709F4">
        <w:t>Использование общедоступной информации</w:t>
      </w:r>
      <w:r>
        <w:t>.</w:t>
      </w:r>
    </w:p>
    <w:p w14:paraId="3232D118" w14:textId="77777777" w:rsidR="00D43F51" w:rsidRDefault="00D43F51" w:rsidP="00D43F51">
      <w:pPr>
        <w:pStyle w:val="a9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Эффективность закупок услуг рассчитывается как </w:t>
      </w:r>
      <w:proofErr w:type="gramStart"/>
      <w:r>
        <w:t>средневзвешенное</w:t>
      </w:r>
      <w:proofErr w:type="gramEnd"/>
      <w:r>
        <w:t xml:space="preserve"> критериев эффективности по формуле:</w:t>
      </w:r>
    </w:p>
    <w:p w14:paraId="628C55F7" w14:textId="3C564310" w:rsidR="00D43F51" w:rsidRPr="00625450" w:rsidRDefault="00D43F51" w:rsidP="00D43F51">
      <w:pPr>
        <w:autoSpaceDE w:val="0"/>
        <w:autoSpaceDN w:val="0"/>
        <w:adjustRightInd w:val="0"/>
        <w:ind w:left="708" w:firstLine="708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Эффективность=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3CCAD32D" w14:textId="77777777" w:rsidR="00D43F51" w:rsidRDefault="00D43F51" w:rsidP="00D43F51">
      <w:pPr>
        <w:autoSpaceDE w:val="0"/>
        <w:autoSpaceDN w:val="0"/>
        <w:adjustRightInd w:val="0"/>
        <w:ind w:firstLine="540"/>
      </w:pPr>
      <w:r>
        <w:t>где:</w:t>
      </w:r>
    </w:p>
    <w:p w14:paraId="4C143525" w14:textId="77777777" w:rsidR="00D43F51" w:rsidRPr="007565D6" w:rsidRDefault="00930AC9" w:rsidP="00D43F51">
      <w:pPr>
        <w:autoSpaceDE w:val="0"/>
        <w:autoSpaceDN w:val="0"/>
        <w:adjustRightInd w:val="0"/>
        <w:ind w:firstLine="54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43F51" w:rsidRPr="007565D6">
        <w:t xml:space="preserve"> </w:t>
      </w:r>
      <w:r w:rsidR="00D43F51" w:rsidRPr="00615E70">
        <w:t>–значение каждого из критериев эффективности</w:t>
      </w:r>
      <w:r w:rsidR="00D43F51">
        <w:t>;</w:t>
      </w:r>
    </w:p>
    <w:p w14:paraId="3E47B770" w14:textId="77777777" w:rsidR="00D43F51" w:rsidRPr="007565D6" w:rsidRDefault="00930AC9" w:rsidP="00D43F51">
      <w:pPr>
        <w:autoSpaceDE w:val="0"/>
        <w:autoSpaceDN w:val="0"/>
        <w:adjustRightInd w:val="0"/>
        <w:ind w:firstLine="54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43F51" w:rsidRPr="007565D6">
        <w:t xml:space="preserve"> </w:t>
      </w:r>
      <w:r w:rsidR="00D43F51" w:rsidRPr="00615E70">
        <w:t>–</w:t>
      </w:r>
      <w:r w:rsidR="00D43F51">
        <w:t>вес</w:t>
      </w:r>
      <w:r w:rsidR="00D43F51" w:rsidRPr="00615E70">
        <w:t xml:space="preserve"> каждого из критериев эффективности</w:t>
      </w:r>
      <w:r w:rsidR="00D43F51">
        <w:t>.</w:t>
      </w:r>
    </w:p>
    <w:p w14:paraId="60552C36" w14:textId="77777777" w:rsidR="00D43F51" w:rsidRPr="005229F5" w:rsidRDefault="00D43F51" w:rsidP="00D43F51">
      <w:pPr>
        <w:keepNext/>
        <w:spacing w:after="200"/>
        <w:rPr>
          <w:rFonts w:eastAsia="Calibri"/>
          <w:bCs/>
          <w:sz w:val="24"/>
          <w:szCs w:val="24"/>
        </w:rPr>
      </w:pPr>
      <w:r w:rsidRPr="005229F5">
        <w:rPr>
          <w:rFonts w:eastAsia="Calibri"/>
          <w:bCs/>
          <w:sz w:val="24"/>
          <w:szCs w:val="24"/>
        </w:rPr>
        <w:t xml:space="preserve">Таблица </w:t>
      </w:r>
      <w:r w:rsidRPr="005229F5">
        <w:rPr>
          <w:rFonts w:eastAsia="Calibri"/>
          <w:bCs/>
          <w:sz w:val="24"/>
          <w:szCs w:val="24"/>
        </w:rPr>
        <w:fldChar w:fldCharType="begin"/>
      </w:r>
      <w:r w:rsidRPr="005229F5">
        <w:rPr>
          <w:rFonts w:eastAsia="Calibri"/>
          <w:bCs/>
          <w:sz w:val="24"/>
          <w:szCs w:val="24"/>
        </w:rPr>
        <w:instrText xml:space="preserve"> SEQ Таблица \* ARABIC </w:instrText>
      </w:r>
      <w:r w:rsidRPr="005229F5">
        <w:rPr>
          <w:rFonts w:eastAsia="Calibri"/>
          <w:bCs/>
          <w:sz w:val="24"/>
          <w:szCs w:val="24"/>
        </w:rPr>
        <w:fldChar w:fldCharType="separate"/>
      </w:r>
      <w:r w:rsidR="00C9035A">
        <w:rPr>
          <w:rFonts w:eastAsia="Calibri"/>
          <w:bCs/>
          <w:noProof/>
          <w:sz w:val="24"/>
          <w:szCs w:val="24"/>
        </w:rPr>
        <w:t>1</w:t>
      </w:r>
      <w:r w:rsidRPr="005229F5">
        <w:rPr>
          <w:rFonts w:eastAsia="Calibri"/>
          <w:bCs/>
          <w:sz w:val="24"/>
          <w:szCs w:val="24"/>
        </w:rPr>
        <w:fldChar w:fldCharType="end"/>
      </w:r>
      <w:r w:rsidRPr="005229F5">
        <w:rPr>
          <w:rFonts w:eastAsia="Calibri"/>
          <w:bCs/>
          <w:sz w:val="24"/>
          <w:szCs w:val="24"/>
        </w:rPr>
        <w:t>. Веса критериев эффективности</w:t>
      </w:r>
    </w:p>
    <w:tbl>
      <w:tblPr>
        <w:tblStyle w:val="a3"/>
        <w:tblW w:w="9817" w:type="dxa"/>
        <w:jc w:val="center"/>
        <w:tblLayout w:type="fixed"/>
        <w:tblLook w:val="04A0" w:firstRow="1" w:lastRow="0" w:firstColumn="1" w:lastColumn="0" w:noHBand="0" w:noVBand="1"/>
      </w:tblPr>
      <w:tblGrid>
        <w:gridCol w:w="6485"/>
        <w:gridCol w:w="1134"/>
        <w:gridCol w:w="923"/>
        <w:gridCol w:w="1275"/>
      </w:tblGrid>
      <w:tr w:rsidR="00D43F51" w:rsidRPr="005229F5" w14:paraId="54E4A8A6" w14:textId="77777777" w:rsidTr="00612422">
        <w:trPr>
          <w:tblHeader/>
          <w:jc w:val="center"/>
        </w:trPr>
        <w:tc>
          <w:tcPr>
            <w:tcW w:w="6485" w:type="dxa"/>
          </w:tcPr>
          <w:p w14:paraId="3E8DFC5E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34" w:type="dxa"/>
          </w:tcPr>
          <w:p w14:paraId="68177970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Обозна-чение</w:t>
            </w:r>
            <w:proofErr w:type="spellEnd"/>
            <w:proofErr w:type="gramEnd"/>
          </w:p>
        </w:tc>
        <w:tc>
          <w:tcPr>
            <w:tcW w:w="923" w:type="dxa"/>
          </w:tcPr>
          <w:p w14:paraId="679AAEFA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 w:rsidRPr="005229F5"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1275" w:type="dxa"/>
          </w:tcPr>
          <w:p w14:paraId="34379F3D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 w:rsidRPr="005229F5">
              <w:rPr>
                <w:b/>
                <w:sz w:val="24"/>
                <w:szCs w:val="24"/>
              </w:rPr>
              <w:t>Значение веса</w:t>
            </w:r>
          </w:p>
        </w:tc>
      </w:tr>
      <w:tr w:rsidR="00D43F51" w:rsidRPr="005229F5" w14:paraId="370BB16A" w14:textId="77777777" w:rsidTr="00612422">
        <w:trPr>
          <w:jc w:val="center"/>
        </w:trPr>
        <w:tc>
          <w:tcPr>
            <w:tcW w:w="6485" w:type="dxa"/>
          </w:tcPr>
          <w:p w14:paraId="6326B8B3" w14:textId="527CA12D" w:rsidR="00D43F51" w:rsidRPr="005229F5" w:rsidRDefault="00D43F51" w:rsidP="00AB22B8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257642">
              <w:rPr>
                <w:sz w:val="24"/>
                <w:szCs w:val="24"/>
              </w:rPr>
              <w:t>Услуги, закупаемые в 2022 – 2023 годах в ходе реализации государственных контрактов, заключенных Минцифры России с ПАО «Ростелеком» и ООО «Миранда-медиа», учитывают все потребности (задачи)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257642">
              <w:rPr>
                <w:sz w:val="24"/>
                <w:szCs w:val="24"/>
              </w:rPr>
              <w:t>и муниципальных образовательных организаций, реализующих образовательные программы общего образования и среднего профессионального образования, а также избирательных комиссий субъектов Российской Федерации и территориальных избирательных комиссий, удовлетворение (реализация) которых осуществляется посредством использования информационно-телекоммуникационной сети «Интернет»</w:t>
            </w:r>
            <w:proofErr w:type="gramEnd"/>
          </w:p>
        </w:tc>
        <w:tc>
          <w:tcPr>
            <w:tcW w:w="1134" w:type="dxa"/>
          </w:tcPr>
          <w:p w14:paraId="5F88A768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188B2EB4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2E8B74C7" w14:textId="06CC813E" w:rsidR="00D43F51" w:rsidRPr="005229F5" w:rsidRDefault="00CE7325" w:rsidP="00BE2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D43F51" w:rsidRPr="005229F5">
              <w:rPr>
                <w:sz w:val="24"/>
                <w:szCs w:val="24"/>
              </w:rPr>
              <w:t>%</w:t>
            </w:r>
          </w:p>
        </w:tc>
      </w:tr>
      <w:tr w:rsidR="00D43F51" w:rsidRPr="005229F5" w14:paraId="257974EB" w14:textId="77777777" w:rsidTr="00612422">
        <w:trPr>
          <w:jc w:val="center"/>
        </w:trPr>
        <w:tc>
          <w:tcPr>
            <w:tcW w:w="6485" w:type="dxa"/>
          </w:tcPr>
          <w:p w14:paraId="56A1EF0C" w14:textId="42A9FF62" w:rsidR="00D43F51" w:rsidRPr="005229F5" w:rsidRDefault="00D43F51" w:rsidP="00AB22B8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 w:rsidRPr="00257642">
              <w:rPr>
                <w:sz w:val="24"/>
                <w:szCs w:val="24"/>
              </w:rPr>
              <w:t xml:space="preserve">Отсутствуют альтернативные контракты (договоры, соглашения) на закупку за счет средств региональных и (или) местных бюджетов либо внебюджетных средств услуг по предоставлению в 2022 </w:t>
            </w:r>
            <w:r>
              <w:rPr>
                <w:sz w:val="24"/>
                <w:szCs w:val="24"/>
              </w:rPr>
              <w:t>-</w:t>
            </w:r>
            <w:r w:rsidRPr="00257642">
              <w:rPr>
                <w:sz w:val="24"/>
                <w:szCs w:val="24"/>
              </w:rPr>
              <w:t xml:space="preserve"> 2023 годах доступа</w:t>
            </w:r>
            <w:r>
              <w:rPr>
                <w:sz w:val="24"/>
                <w:szCs w:val="24"/>
              </w:rPr>
              <w:t xml:space="preserve"> </w:t>
            </w:r>
            <w:r w:rsidRPr="00257642">
              <w:rPr>
                <w:sz w:val="24"/>
                <w:szCs w:val="24"/>
              </w:rPr>
              <w:t>к сети «Интернет»,</w:t>
            </w:r>
            <w:r w:rsidR="00AB22B8">
              <w:rPr>
                <w:sz w:val="24"/>
                <w:szCs w:val="24"/>
              </w:rPr>
              <w:t xml:space="preserve"> </w:t>
            </w:r>
            <w:r w:rsidRPr="00257642">
              <w:rPr>
                <w:sz w:val="24"/>
                <w:szCs w:val="24"/>
              </w:rPr>
              <w:t>а также по передаче данных в сети «Интернет» образовательным организациям, которым услуги по предоставлению</w:t>
            </w:r>
            <w:r>
              <w:rPr>
                <w:sz w:val="24"/>
                <w:szCs w:val="24"/>
              </w:rPr>
              <w:t xml:space="preserve"> </w:t>
            </w:r>
            <w:r w:rsidRPr="00257642">
              <w:rPr>
                <w:sz w:val="24"/>
                <w:szCs w:val="24"/>
              </w:rPr>
              <w:t>с использованием единой сети передачи данных доступа к государственным, муниципальным, иным информационным системам и к сети «Интернет</w:t>
            </w:r>
            <w:proofErr w:type="gramEnd"/>
            <w:r w:rsidRPr="00257642">
              <w:rPr>
                <w:sz w:val="24"/>
                <w:szCs w:val="24"/>
              </w:rPr>
              <w:t>» предоставляются в 2022 – 2023 годах в рамках федеральных контрактов</w:t>
            </w:r>
          </w:p>
        </w:tc>
        <w:tc>
          <w:tcPr>
            <w:tcW w:w="1134" w:type="dxa"/>
          </w:tcPr>
          <w:p w14:paraId="1D5C7A66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7FD06920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795DFB2A" w14:textId="1896A0A5" w:rsidR="00D43F51" w:rsidRPr="005229F5" w:rsidRDefault="00CE7325" w:rsidP="00BE2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43F51" w:rsidRPr="005229F5">
              <w:rPr>
                <w:sz w:val="24"/>
                <w:szCs w:val="24"/>
              </w:rPr>
              <w:t>%</w:t>
            </w:r>
          </w:p>
        </w:tc>
      </w:tr>
      <w:tr w:rsidR="00D43F51" w:rsidRPr="005229F5" w14:paraId="10067C8B" w14:textId="77777777" w:rsidTr="00612422">
        <w:trPr>
          <w:jc w:val="center"/>
        </w:trPr>
        <w:tc>
          <w:tcPr>
            <w:tcW w:w="6485" w:type="dxa"/>
          </w:tcPr>
          <w:p w14:paraId="3F871C2F" w14:textId="77777777" w:rsidR="00D43F51" w:rsidRPr="005229F5" w:rsidRDefault="00D43F51" w:rsidP="00AA62E2">
            <w:pPr>
              <w:rPr>
                <w:sz w:val="24"/>
                <w:szCs w:val="24"/>
              </w:rPr>
            </w:pPr>
            <w:r w:rsidRPr="00257642">
              <w:rPr>
                <w:sz w:val="24"/>
                <w:szCs w:val="24"/>
              </w:rPr>
              <w:t>Стоимость расходов на закупку в 2022 – 2023 годах услуг для образовательных организаций и избирательных комиссий не завышена (соответствует цене единиц услуг)</w:t>
            </w:r>
          </w:p>
        </w:tc>
        <w:tc>
          <w:tcPr>
            <w:tcW w:w="1134" w:type="dxa"/>
          </w:tcPr>
          <w:p w14:paraId="3D51157C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6AB20ACA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4B54D1EE" w14:textId="6B970D64" w:rsidR="00D43F51" w:rsidRPr="005229F5" w:rsidRDefault="00BE2DD0" w:rsidP="00CE7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325">
              <w:rPr>
                <w:sz w:val="24"/>
                <w:szCs w:val="24"/>
              </w:rPr>
              <w:t>9</w:t>
            </w:r>
            <w:r w:rsidR="00D43F51" w:rsidRPr="005229F5">
              <w:rPr>
                <w:sz w:val="24"/>
                <w:szCs w:val="24"/>
              </w:rPr>
              <w:t>%</w:t>
            </w:r>
          </w:p>
        </w:tc>
      </w:tr>
      <w:tr w:rsidR="00D43F51" w:rsidRPr="005229F5" w14:paraId="69C89941" w14:textId="77777777" w:rsidTr="00612422">
        <w:trPr>
          <w:jc w:val="center"/>
        </w:trPr>
        <w:tc>
          <w:tcPr>
            <w:tcW w:w="6485" w:type="dxa"/>
          </w:tcPr>
          <w:p w14:paraId="63E4953E" w14:textId="77777777" w:rsidR="00D43F51" w:rsidRPr="005229F5" w:rsidRDefault="00D43F51" w:rsidP="00AA62E2">
            <w:pPr>
              <w:rPr>
                <w:sz w:val="24"/>
                <w:szCs w:val="24"/>
              </w:rPr>
            </w:pPr>
            <w:r w:rsidRPr="00257642">
              <w:rPr>
                <w:sz w:val="24"/>
                <w:szCs w:val="24"/>
              </w:rPr>
              <w:t>Отсутствуют факты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осуществлении закупок услуг</w:t>
            </w:r>
          </w:p>
        </w:tc>
        <w:tc>
          <w:tcPr>
            <w:tcW w:w="1134" w:type="dxa"/>
          </w:tcPr>
          <w:p w14:paraId="533E66EE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1BFF9886" w14:textId="77777777" w:rsidR="00D43F51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378AFAE9" w14:textId="067830DD" w:rsidR="00D43F51" w:rsidRPr="005229F5" w:rsidRDefault="00BE2DD0" w:rsidP="006C1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3F51" w:rsidRPr="005229F5">
              <w:rPr>
                <w:sz w:val="24"/>
                <w:szCs w:val="24"/>
              </w:rPr>
              <w:t>%</w:t>
            </w:r>
            <w:r w:rsidR="006C1ADC">
              <w:rPr>
                <w:rStyle w:val="a8"/>
                <w:sz w:val="24"/>
                <w:szCs w:val="24"/>
              </w:rPr>
              <w:footnoteReference w:id="2"/>
            </w:r>
          </w:p>
        </w:tc>
      </w:tr>
      <w:tr w:rsidR="00CE7325" w:rsidRPr="005229F5" w14:paraId="55A20157" w14:textId="77777777" w:rsidTr="00612422">
        <w:trPr>
          <w:jc w:val="center"/>
        </w:trPr>
        <w:tc>
          <w:tcPr>
            <w:tcW w:w="6485" w:type="dxa"/>
          </w:tcPr>
          <w:p w14:paraId="4FAC3FEF" w14:textId="77777777" w:rsidR="00CE7325" w:rsidRPr="005229F5" w:rsidRDefault="00CE7325" w:rsidP="00AA62E2">
            <w:pPr>
              <w:rPr>
                <w:sz w:val="24"/>
                <w:szCs w:val="24"/>
              </w:rPr>
            </w:pPr>
            <w:proofErr w:type="gramStart"/>
            <w:r w:rsidRPr="00257642">
              <w:rPr>
                <w:sz w:val="24"/>
                <w:szCs w:val="24"/>
              </w:rPr>
              <w:t>Закупочная, техническая и (или) проектная документация, подготовленная в целях закупок услуг, содержит реестр потребностей (перечень задач) образовательных организаций и избирательных комиссий, удовлетворение (реализация) которых осуществляется посредством использования сети «Интернет»</w:t>
            </w:r>
            <w:proofErr w:type="gramEnd"/>
          </w:p>
        </w:tc>
        <w:tc>
          <w:tcPr>
            <w:tcW w:w="1134" w:type="dxa"/>
          </w:tcPr>
          <w:p w14:paraId="1E1D8E31" w14:textId="77777777" w:rsidR="00CE7325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6EE4A386" w14:textId="77777777" w:rsidR="00CE7325" w:rsidRPr="005229F5" w:rsidRDefault="00CE7325" w:rsidP="00AA62E2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ω</m:t>
                </m:r>
              </m:oMath>
            </m:oMathPara>
          </w:p>
        </w:tc>
        <w:tc>
          <w:tcPr>
            <w:tcW w:w="1275" w:type="dxa"/>
          </w:tcPr>
          <w:p w14:paraId="54622E96" w14:textId="6D5C3930" w:rsidR="00CE7325" w:rsidRPr="005229F5" w:rsidRDefault="00CE7325" w:rsidP="006C1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29F5">
              <w:rPr>
                <w:sz w:val="24"/>
                <w:szCs w:val="24"/>
              </w:rPr>
              <w:t>%</w:t>
            </w:r>
            <w:r w:rsidR="006C1ADC" w:rsidRPr="006C1AD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E7325" w:rsidRPr="005229F5" w14:paraId="4ECC94EC" w14:textId="77777777" w:rsidTr="00612422">
        <w:trPr>
          <w:jc w:val="center"/>
        </w:trPr>
        <w:tc>
          <w:tcPr>
            <w:tcW w:w="6485" w:type="dxa"/>
          </w:tcPr>
          <w:p w14:paraId="431A4012" w14:textId="77777777" w:rsidR="00CE7325" w:rsidRPr="005229F5" w:rsidRDefault="00CE7325" w:rsidP="00AA62E2">
            <w:pPr>
              <w:rPr>
                <w:sz w:val="24"/>
                <w:szCs w:val="24"/>
              </w:rPr>
            </w:pPr>
            <w:r w:rsidRPr="00257642">
              <w:rPr>
                <w:sz w:val="24"/>
                <w:szCs w:val="24"/>
              </w:rPr>
              <w:t>Отсутствуют нарушения системного характера при осуществлении закупок услуг</w:t>
            </w:r>
          </w:p>
        </w:tc>
        <w:tc>
          <w:tcPr>
            <w:tcW w:w="1134" w:type="dxa"/>
          </w:tcPr>
          <w:p w14:paraId="6118C7BB" w14:textId="77777777" w:rsidR="00CE7325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23" w:type="dxa"/>
          </w:tcPr>
          <w:p w14:paraId="0EB33EEF" w14:textId="77777777" w:rsidR="00CE7325" w:rsidRPr="005229F5" w:rsidRDefault="00930AC9" w:rsidP="00AA62E2">
            <w:pPr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275" w:type="dxa"/>
          </w:tcPr>
          <w:p w14:paraId="0D81FCD1" w14:textId="060AD0FD" w:rsidR="00CE7325" w:rsidRPr="005229F5" w:rsidRDefault="00CE7325" w:rsidP="006C1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29F5">
              <w:rPr>
                <w:sz w:val="24"/>
                <w:szCs w:val="24"/>
              </w:rPr>
              <w:t>%</w:t>
            </w:r>
            <w:r w:rsidR="006C1ADC" w:rsidRPr="006C1AD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D43F51" w:rsidRPr="005229F5" w14:paraId="51515DE8" w14:textId="77777777" w:rsidTr="00612422">
        <w:trPr>
          <w:jc w:val="center"/>
        </w:trPr>
        <w:tc>
          <w:tcPr>
            <w:tcW w:w="6485" w:type="dxa"/>
          </w:tcPr>
          <w:p w14:paraId="197A0804" w14:textId="77777777" w:rsidR="00D43F51" w:rsidRPr="005229F5" w:rsidRDefault="00D43F51" w:rsidP="00AA62E2">
            <w:pPr>
              <w:rPr>
                <w:b/>
                <w:sz w:val="24"/>
                <w:szCs w:val="24"/>
              </w:rPr>
            </w:pPr>
            <w:r w:rsidRPr="005229F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7992329A" w14:textId="77777777" w:rsidR="00D43F51" w:rsidRPr="005229F5" w:rsidRDefault="00D43F51" w:rsidP="00AA62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14:paraId="78AC4424" w14:textId="77777777" w:rsidR="00D43F51" w:rsidRPr="005229F5" w:rsidRDefault="00D43F51" w:rsidP="00AA62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BEFF36" w14:textId="77777777" w:rsidR="00D43F51" w:rsidRPr="005229F5" w:rsidRDefault="00D43F51" w:rsidP="00AA6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=SUM(ABOVE)*100 \# "0,0%"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7325">
              <w:rPr>
                <w:b/>
                <w:noProof/>
                <w:sz w:val="24"/>
                <w:szCs w:val="24"/>
              </w:rPr>
              <w:t>100,0%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5B29A041" w14:textId="77777777" w:rsidR="004C2C82" w:rsidRDefault="004C2C82" w:rsidP="006C1ADC">
      <w:pPr>
        <w:autoSpaceDE w:val="0"/>
        <w:autoSpaceDN w:val="0"/>
        <w:adjustRightInd w:val="0"/>
        <w:ind w:firstLine="539"/>
      </w:pPr>
      <w:r>
        <w:t xml:space="preserve">Каждый критерий эффективности принимается </w:t>
      </w:r>
      <w:proofErr w:type="gramStart"/>
      <w:r>
        <w:t>равным</w:t>
      </w:r>
      <w:proofErr w:type="gramEnd"/>
      <w:r>
        <w:t>:</w:t>
      </w:r>
    </w:p>
    <w:p w14:paraId="66F5CF47" w14:textId="77777777" w:rsidR="004C2C82" w:rsidRDefault="004C2C82" w:rsidP="006C1ADC">
      <w:pPr>
        <w:autoSpaceDE w:val="0"/>
        <w:autoSpaceDN w:val="0"/>
        <w:adjustRightInd w:val="0"/>
        <w:ind w:firstLine="539"/>
      </w:pPr>
      <w:r>
        <w:t>Единице – если достигнут;</w:t>
      </w:r>
    </w:p>
    <w:p w14:paraId="7F1DC5AF" w14:textId="18F9BC43" w:rsidR="004C2C82" w:rsidRDefault="004C2C82" w:rsidP="006C1ADC">
      <w:pPr>
        <w:autoSpaceDE w:val="0"/>
        <w:autoSpaceDN w:val="0"/>
        <w:adjustRightInd w:val="0"/>
        <w:ind w:firstLine="539"/>
      </w:pPr>
      <w:r>
        <w:t xml:space="preserve">0,5 – если достигнут </w:t>
      </w:r>
      <w:r w:rsidR="00852121">
        <w:t>не в полной мере</w:t>
      </w:r>
      <w:r>
        <w:t>;</w:t>
      </w:r>
    </w:p>
    <w:p w14:paraId="3435C42F" w14:textId="77777777" w:rsidR="004C2C82" w:rsidRDefault="004C2C82" w:rsidP="006C1ADC">
      <w:pPr>
        <w:autoSpaceDE w:val="0"/>
        <w:autoSpaceDN w:val="0"/>
        <w:adjustRightInd w:val="0"/>
        <w:ind w:firstLine="539"/>
      </w:pPr>
      <w:r>
        <w:t>Нулевое значение – если не достигнут.</w:t>
      </w:r>
    </w:p>
    <w:p w14:paraId="0DB4116C" w14:textId="5127F57C" w:rsidR="004C2C82" w:rsidRPr="00D43F51" w:rsidRDefault="00612422" w:rsidP="00B93851">
      <w:pPr>
        <w:autoSpaceDE w:val="0"/>
        <w:autoSpaceDN w:val="0"/>
        <w:adjustRightInd w:val="0"/>
        <w:spacing w:before="120"/>
        <w:jc w:val="center"/>
      </w:pPr>
      <w:r>
        <w:lastRenderedPageBreak/>
        <w:t>Рас</w:t>
      </w:r>
      <w:r w:rsidR="00AB22B8">
        <w:t>чет эффективности закупок услуг.</w:t>
      </w:r>
    </w:p>
    <w:p w14:paraId="09503015" w14:textId="050179EE" w:rsidR="00C9035A" w:rsidRDefault="00930AC9" w:rsidP="00C9035A">
      <w:pPr>
        <w:autoSpaceDE w:val="0"/>
        <w:autoSpaceDN w:val="0"/>
        <w:adjustRightInd w:val="0"/>
        <w:spacing w:before="120"/>
        <w:ind w:left="1276"/>
      </w:pPr>
      <w:r>
        <w:rPr>
          <w:noProof/>
        </w:rPr>
        <w:pict w14:anchorId="41E48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6pt;margin-top:14.1pt;width:407.95pt;height:164.5pt;z-index:251659264;mso-position-horizontal-relative:text;mso-position-vertical-relative:text">
            <v:imagedata r:id="rId10" o:title=""/>
            <w10:wrap type="square" side="right"/>
          </v:shape>
          <o:OLEObject Type="Embed" ProgID="Excel.Sheet.12" ShapeID="_x0000_s1026" DrawAspect="Content" ObjectID="_1775647604" r:id="rId11"/>
        </w:pict>
      </w:r>
    </w:p>
    <w:p w14:paraId="535E9CC3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6FB0D514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6451511F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1EA1F4A5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46332460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330746D3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670A6967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157A923A" w14:textId="77777777" w:rsidR="00C9035A" w:rsidRDefault="00C9035A" w:rsidP="00C9035A">
      <w:pPr>
        <w:autoSpaceDE w:val="0"/>
        <w:autoSpaceDN w:val="0"/>
        <w:adjustRightInd w:val="0"/>
        <w:spacing w:before="120"/>
        <w:ind w:left="1276"/>
      </w:pPr>
    </w:p>
    <w:p w14:paraId="3DBE22A5" w14:textId="4481CA3D" w:rsidR="004C2C82" w:rsidRPr="0054664E" w:rsidRDefault="00C9035A" w:rsidP="00C9035A">
      <w:pPr>
        <w:autoSpaceDE w:val="0"/>
        <w:autoSpaceDN w:val="0"/>
        <w:adjustRightInd w:val="0"/>
        <w:spacing w:before="120"/>
        <w:ind w:firstLine="540"/>
        <w:jc w:val="both"/>
      </w:pPr>
      <w:r>
        <w:t>З</w:t>
      </w:r>
      <w:r w:rsidR="004C2C82" w:rsidRPr="0054664E">
        <w:t>начение эффективности закупок услуг оценивается по</w:t>
      </w:r>
      <w:r w:rsidR="00037C2A">
        <w:t xml:space="preserve"> </w:t>
      </w:r>
      <w:r w:rsidR="004C2C82" w:rsidRPr="0054664E">
        <w:t>рассчитанному итоговому значению как:</w:t>
      </w:r>
    </w:p>
    <w:p w14:paraId="4243F559" w14:textId="305AAC94" w:rsidR="004C2C82" w:rsidRDefault="004C2C82" w:rsidP="004C2C82">
      <w:pPr>
        <w:autoSpaceDE w:val="0"/>
        <w:autoSpaceDN w:val="0"/>
        <w:adjustRightInd w:val="0"/>
        <w:spacing w:before="120"/>
        <w:ind w:firstLine="540"/>
      </w:pPr>
      <w:proofErr w:type="gramStart"/>
      <w:r>
        <w:t>низкое</w:t>
      </w:r>
      <w:proofErr w:type="gramEnd"/>
      <w:r>
        <w:t xml:space="preserve"> при значении от 0% до </w:t>
      </w:r>
      <w:r w:rsidR="00037C2A">
        <w:t>4</w:t>
      </w:r>
      <w:r w:rsidR="00B27829">
        <w:t>0</w:t>
      </w:r>
      <w:r>
        <w:t>%;</w:t>
      </w:r>
    </w:p>
    <w:p w14:paraId="44283644" w14:textId="4E2A143C" w:rsidR="004C2C82" w:rsidRDefault="00B27829" w:rsidP="004C2C82">
      <w:pPr>
        <w:autoSpaceDE w:val="0"/>
        <w:autoSpaceDN w:val="0"/>
        <w:adjustRightInd w:val="0"/>
        <w:spacing w:before="120"/>
        <w:ind w:firstLine="540"/>
      </w:pPr>
      <w:proofErr w:type="gramStart"/>
      <w:r>
        <w:t>недостаточное</w:t>
      </w:r>
      <w:proofErr w:type="gramEnd"/>
      <w:r w:rsidR="004C2C82">
        <w:t xml:space="preserve"> при значении от </w:t>
      </w:r>
      <w:r w:rsidR="00037C2A">
        <w:t>4</w:t>
      </w:r>
      <w:r>
        <w:t>1</w:t>
      </w:r>
      <w:r w:rsidR="004C2C82">
        <w:t>% до 80%;</w:t>
      </w:r>
    </w:p>
    <w:p w14:paraId="053733E6" w14:textId="053ADF69" w:rsidR="004C2C82" w:rsidRDefault="004C2C82" w:rsidP="00D43F51">
      <w:pPr>
        <w:autoSpaceDE w:val="0"/>
        <w:autoSpaceDN w:val="0"/>
        <w:adjustRightInd w:val="0"/>
        <w:spacing w:before="120"/>
        <w:ind w:firstLine="540"/>
      </w:pPr>
      <w:proofErr w:type="gramStart"/>
      <w:r>
        <w:t>высокое</w:t>
      </w:r>
      <w:proofErr w:type="gramEnd"/>
      <w:r>
        <w:t xml:space="preserve"> при значении от 81% до 100%.</w:t>
      </w:r>
      <w:bookmarkStart w:id="2" w:name="_GoBack"/>
      <w:bookmarkEnd w:id="2"/>
    </w:p>
    <w:sectPr w:rsidR="004C2C82" w:rsidSect="00D43F51">
      <w:pgSz w:w="11906" w:h="16838"/>
      <w:pgMar w:top="1134" w:right="849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F8254" w14:textId="77777777" w:rsidR="00930AC9" w:rsidRDefault="00930AC9" w:rsidP="00154D35">
      <w:r>
        <w:separator/>
      </w:r>
    </w:p>
  </w:endnote>
  <w:endnote w:type="continuationSeparator" w:id="0">
    <w:p w14:paraId="3962465D" w14:textId="77777777" w:rsidR="00930AC9" w:rsidRDefault="00930AC9" w:rsidP="0015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48E6E" w14:textId="77777777" w:rsidR="00930AC9" w:rsidRDefault="00930AC9" w:rsidP="00154D35">
      <w:r>
        <w:separator/>
      </w:r>
    </w:p>
  </w:footnote>
  <w:footnote w:type="continuationSeparator" w:id="0">
    <w:p w14:paraId="6850B7B0" w14:textId="77777777" w:rsidR="00930AC9" w:rsidRDefault="00930AC9" w:rsidP="00154D35">
      <w:r>
        <w:continuationSeparator/>
      </w:r>
    </w:p>
  </w:footnote>
  <w:footnote w:id="1">
    <w:p w14:paraId="6BB3545E" w14:textId="77777777" w:rsidR="00154D35" w:rsidRDefault="00154D35">
      <w:pPr>
        <w:pStyle w:val="a6"/>
      </w:pPr>
      <w:r>
        <w:rPr>
          <w:rStyle w:val="a8"/>
        </w:rPr>
        <w:footnoteRef/>
      </w:r>
      <w:r>
        <w:t xml:space="preserve"> Справочник </w:t>
      </w:r>
      <w:r w:rsidRPr="00154D35">
        <w:t>методов сбора и анализа данных для целей внешнего государственного аудита (контроля)</w:t>
      </w:r>
      <w:r>
        <w:t>. Подготовлен Департаментом исследований и методологий Счетной палаты Российской Федерации</w:t>
      </w:r>
    </w:p>
  </w:footnote>
  <w:footnote w:id="2">
    <w:p w14:paraId="793883EA" w14:textId="77777777" w:rsidR="006C1ADC" w:rsidRDefault="006C1ADC" w:rsidP="006C1ADC">
      <w:pPr>
        <w:pStyle w:val="ad"/>
        <w:ind w:left="284" w:hanging="284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> </w:t>
      </w:r>
      <w:r w:rsidRPr="00CE7325">
        <w:rPr>
          <w:sz w:val="20"/>
          <w:szCs w:val="20"/>
        </w:rPr>
        <w:t>Для критериев цели 2 установлены минимальные значения веса, так как в соответствии с методологией</w:t>
      </w:r>
    </w:p>
    <w:p w14:paraId="4BF730D4" w14:textId="0829ADFC" w:rsidR="006C1ADC" w:rsidRDefault="006C1ADC" w:rsidP="006C1ADC">
      <w:pPr>
        <w:pStyle w:val="a6"/>
      </w:pPr>
      <w:r>
        <w:t xml:space="preserve">   </w:t>
      </w:r>
      <w:r w:rsidRPr="00CE7325">
        <w:t xml:space="preserve">на момент завершения </w:t>
      </w:r>
      <w:r>
        <w:t xml:space="preserve">контрольного </w:t>
      </w:r>
      <w:r w:rsidRPr="00CE7325">
        <w:t>мероприятия цель 2 относится к аудиту соответствия.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867817"/>
      <w:docPartObj>
        <w:docPartGallery w:val="Page Numbers (Top of Page)"/>
        <w:docPartUnique/>
      </w:docPartObj>
    </w:sdtPr>
    <w:sdtEndPr/>
    <w:sdtContent>
      <w:p w14:paraId="45D63621" w14:textId="6C08398C" w:rsidR="00B4336C" w:rsidRDefault="00B433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46D">
          <w:rPr>
            <w:noProof/>
          </w:rPr>
          <w:t>6</w:t>
        </w:r>
        <w:r>
          <w:fldChar w:fldCharType="end"/>
        </w:r>
      </w:p>
    </w:sdtContent>
  </w:sdt>
  <w:p w14:paraId="08C8A2D1" w14:textId="77777777" w:rsidR="00B4336C" w:rsidRDefault="00B4336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794A"/>
    <w:multiLevelType w:val="multilevel"/>
    <w:tmpl w:val="95625F7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">
    <w:nsid w:val="61B35FAA"/>
    <w:multiLevelType w:val="multilevel"/>
    <w:tmpl w:val="99281F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67D77FB4"/>
    <w:multiLevelType w:val="hybridMultilevel"/>
    <w:tmpl w:val="F0A6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2"/>
    <w:rsid w:val="00022A43"/>
    <w:rsid w:val="00037C2A"/>
    <w:rsid w:val="00082B25"/>
    <w:rsid w:val="00085DEC"/>
    <w:rsid w:val="000B38AB"/>
    <w:rsid w:val="001336E5"/>
    <w:rsid w:val="00134365"/>
    <w:rsid w:val="00154D35"/>
    <w:rsid w:val="00181073"/>
    <w:rsid w:val="001A285C"/>
    <w:rsid w:val="002207C7"/>
    <w:rsid w:val="00233093"/>
    <w:rsid w:val="0023560A"/>
    <w:rsid w:val="002857C6"/>
    <w:rsid w:val="00346E84"/>
    <w:rsid w:val="00351CDC"/>
    <w:rsid w:val="003F1EA9"/>
    <w:rsid w:val="0043038D"/>
    <w:rsid w:val="00455F17"/>
    <w:rsid w:val="00457E79"/>
    <w:rsid w:val="0048304C"/>
    <w:rsid w:val="004B601D"/>
    <w:rsid w:val="004C2C82"/>
    <w:rsid w:val="004C51AB"/>
    <w:rsid w:val="00515150"/>
    <w:rsid w:val="005160B7"/>
    <w:rsid w:val="00516A95"/>
    <w:rsid w:val="0058395A"/>
    <w:rsid w:val="005859F1"/>
    <w:rsid w:val="005C62C0"/>
    <w:rsid w:val="005D30DD"/>
    <w:rsid w:val="005D3378"/>
    <w:rsid w:val="005D74DF"/>
    <w:rsid w:val="005F409A"/>
    <w:rsid w:val="00602E87"/>
    <w:rsid w:val="00612422"/>
    <w:rsid w:val="006A7F2F"/>
    <w:rsid w:val="006C1ADC"/>
    <w:rsid w:val="006E194F"/>
    <w:rsid w:val="006E7944"/>
    <w:rsid w:val="007B18BD"/>
    <w:rsid w:val="007E3D0F"/>
    <w:rsid w:val="007F7105"/>
    <w:rsid w:val="008136EC"/>
    <w:rsid w:val="00834E3F"/>
    <w:rsid w:val="00852121"/>
    <w:rsid w:val="00885535"/>
    <w:rsid w:val="00887B8C"/>
    <w:rsid w:val="00900ACD"/>
    <w:rsid w:val="00930AC9"/>
    <w:rsid w:val="009A363D"/>
    <w:rsid w:val="009C6A0D"/>
    <w:rsid w:val="009E00EF"/>
    <w:rsid w:val="00A32278"/>
    <w:rsid w:val="00A41FC5"/>
    <w:rsid w:val="00A4665F"/>
    <w:rsid w:val="00A516AE"/>
    <w:rsid w:val="00A561B8"/>
    <w:rsid w:val="00A64EDD"/>
    <w:rsid w:val="00A86D03"/>
    <w:rsid w:val="00A91C13"/>
    <w:rsid w:val="00AB22B8"/>
    <w:rsid w:val="00AE7263"/>
    <w:rsid w:val="00AF2FD7"/>
    <w:rsid w:val="00B00798"/>
    <w:rsid w:val="00B27829"/>
    <w:rsid w:val="00B317A3"/>
    <w:rsid w:val="00B34979"/>
    <w:rsid w:val="00B4336C"/>
    <w:rsid w:val="00B53E2B"/>
    <w:rsid w:val="00B57E06"/>
    <w:rsid w:val="00B7046D"/>
    <w:rsid w:val="00B810B8"/>
    <w:rsid w:val="00B93851"/>
    <w:rsid w:val="00B948B3"/>
    <w:rsid w:val="00BE2DD0"/>
    <w:rsid w:val="00C00E88"/>
    <w:rsid w:val="00C203AF"/>
    <w:rsid w:val="00C5418C"/>
    <w:rsid w:val="00C9035A"/>
    <w:rsid w:val="00CD47A0"/>
    <w:rsid w:val="00CE7325"/>
    <w:rsid w:val="00CF1790"/>
    <w:rsid w:val="00D060A6"/>
    <w:rsid w:val="00D322E1"/>
    <w:rsid w:val="00D43F51"/>
    <w:rsid w:val="00D53188"/>
    <w:rsid w:val="00D607DB"/>
    <w:rsid w:val="00DA2A63"/>
    <w:rsid w:val="00DA6322"/>
    <w:rsid w:val="00DD2D1A"/>
    <w:rsid w:val="00DE46F4"/>
    <w:rsid w:val="00E01F34"/>
    <w:rsid w:val="00E51BB3"/>
    <w:rsid w:val="00E9383F"/>
    <w:rsid w:val="00EA3792"/>
    <w:rsid w:val="00EB54BD"/>
    <w:rsid w:val="00EC3C08"/>
    <w:rsid w:val="00ED337F"/>
    <w:rsid w:val="00ED3637"/>
    <w:rsid w:val="00ED7F73"/>
    <w:rsid w:val="00F1047F"/>
    <w:rsid w:val="00F44AF0"/>
    <w:rsid w:val="00F65227"/>
    <w:rsid w:val="00F73B9F"/>
    <w:rsid w:val="00FC39AC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4B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CV table"/>
    <w:basedOn w:val="a1"/>
    <w:uiPriority w:val="39"/>
    <w:rsid w:val="00B3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4D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D3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154D3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54D3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54D35"/>
    <w:rPr>
      <w:vertAlign w:val="superscript"/>
    </w:rPr>
  </w:style>
  <w:style w:type="paragraph" w:styleId="a9">
    <w:name w:val="List Paragraph"/>
    <w:aliases w:val="Bullet List,FooterText,numbered,ПС - Нумерованный,A_маркированный_список,Цветной список - Акцент 11,ТЗ список,Абзац списка литеральный,Table-Normal,RSHB_Table-Normal"/>
    <w:basedOn w:val="a"/>
    <w:link w:val="aa"/>
    <w:uiPriority w:val="34"/>
    <w:qFormat/>
    <w:rsid w:val="00154D3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433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336C"/>
  </w:style>
  <w:style w:type="paragraph" w:styleId="ad">
    <w:name w:val="footer"/>
    <w:basedOn w:val="a"/>
    <w:link w:val="ae"/>
    <w:uiPriority w:val="99"/>
    <w:unhideWhenUsed/>
    <w:rsid w:val="00B433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4336C"/>
  </w:style>
  <w:style w:type="character" w:customStyle="1" w:styleId="aa">
    <w:name w:val="Абзац списка Знак"/>
    <w:aliases w:val="Bullet List Знак,FooterText Знак,numbered Знак,ПС - Нумерованный Знак,A_маркированный_список Знак,Цветной список - Акцент 11 Знак,ТЗ список Знак,Абзац списка литеральный Знак,Table-Normal Знак,RSHB_Table-Normal Знак"/>
    <w:basedOn w:val="a0"/>
    <w:link w:val="a9"/>
    <w:uiPriority w:val="34"/>
    <w:qFormat/>
    <w:rsid w:val="00D43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CV table"/>
    <w:basedOn w:val="a1"/>
    <w:uiPriority w:val="39"/>
    <w:rsid w:val="00B3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4D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D3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154D3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54D3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54D35"/>
    <w:rPr>
      <w:vertAlign w:val="superscript"/>
    </w:rPr>
  </w:style>
  <w:style w:type="paragraph" w:styleId="a9">
    <w:name w:val="List Paragraph"/>
    <w:aliases w:val="Bullet List,FooterText,numbered,ПС - Нумерованный,A_маркированный_список,Цветной список - Акцент 11,ТЗ список,Абзац списка литеральный,Table-Normal,RSHB_Table-Normal"/>
    <w:basedOn w:val="a"/>
    <w:link w:val="aa"/>
    <w:uiPriority w:val="34"/>
    <w:qFormat/>
    <w:rsid w:val="00154D3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433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4336C"/>
  </w:style>
  <w:style w:type="paragraph" w:styleId="ad">
    <w:name w:val="footer"/>
    <w:basedOn w:val="a"/>
    <w:link w:val="ae"/>
    <w:uiPriority w:val="99"/>
    <w:unhideWhenUsed/>
    <w:rsid w:val="00B433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4336C"/>
  </w:style>
  <w:style w:type="character" w:customStyle="1" w:styleId="aa">
    <w:name w:val="Абзац списка Знак"/>
    <w:aliases w:val="Bullet List Знак,FooterText Знак,numbered Знак,ПС - Нумерованный Знак,A_маркированный_список Знак,Цветной список - Акцент 11 Знак,ТЗ список Знак,Абзац списка литеральный Знак,Table-Normal Знак,RSHB_Table-Normal Знак"/>
    <w:basedOn w:val="a0"/>
    <w:link w:val="a9"/>
    <w:uiPriority w:val="34"/>
    <w:qFormat/>
    <w:rsid w:val="00D4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Microsoft_Excel1.xlsx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41D9-3A87-4D43-865B-1B46EA94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</dc:creator>
  <cp:lastModifiedBy>Шматко Игорь Николаевич</cp:lastModifiedBy>
  <cp:revision>36</cp:revision>
  <dcterms:created xsi:type="dcterms:W3CDTF">2022-09-23T13:42:00Z</dcterms:created>
  <dcterms:modified xsi:type="dcterms:W3CDTF">2024-04-26T11:40:00Z</dcterms:modified>
</cp:coreProperties>
</file>