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1B" w:rsidRPr="00812A5A" w:rsidRDefault="0046271B" w:rsidP="0046271B">
      <w:pPr>
        <w:widowControl w:val="0"/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12A5A">
        <w:rPr>
          <w:rFonts w:ascii="Times New Roman" w:hAnsi="Times New Roman"/>
          <w:bCs/>
          <w:sz w:val="28"/>
          <w:szCs w:val="28"/>
        </w:rPr>
        <w:t>Приложение № 2</w:t>
      </w:r>
      <w:r>
        <w:rPr>
          <w:rFonts w:ascii="Times New Roman" w:hAnsi="Times New Roman"/>
          <w:bCs/>
          <w:sz w:val="28"/>
          <w:szCs w:val="28"/>
        </w:rPr>
        <w:t>6</w:t>
      </w:r>
    </w:p>
    <w:p w:rsidR="0046271B" w:rsidRPr="009A1409" w:rsidRDefault="0046271B" w:rsidP="0046271B">
      <w:pPr>
        <w:widowControl w:val="0"/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1409">
        <w:rPr>
          <w:rFonts w:ascii="Times New Roman" w:hAnsi="Times New Roman"/>
          <w:bCs/>
          <w:sz w:val="28"/>
          <w:szCs w:val="28"/>
        </w:rPr>
        <w:t>к отчету по результатам</w:t>
      </w:r>
    </w:p>
    <w:p w:rsidR="0046271B" w:rsidRDefault="0046271B" w:rsidP="00953C2D">
      <w:pPr>
        <w:widowControl w:val="0"/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экспертно</w:t>
      </w:r>
      <w:r w:rsidRPr="008766F0">
        <w:rPr>
          <w:rFonts w:ascii="Times New Roman" w:hAnsi="Times New Roman"/>
          <w:bCs/>
          <w:sz w:val="28"/>
          <w:szCs w:val="28"/>
        </w:rPr>
        <w:t>-</w:t>
      </w:r>
      <w:r w:rsidRPr="009A1409">
        <w:rPr>
          <w:rFonts w:ascii="Times New Roman" w:hAnsi="Times New Roman"/>
          <w:bCs/>
          <w:sz w:val="28"/>
          <w:szCs w:val="28"/>
        </w:rPr>
        <w:t xml:space="preserve">аналитического мероприятия от </w:t>
      </w:r>
      <w:r w:rsidR="00953C2D" w:rsidRPr="00953C2D">
        <w:rPr>
          <w:rFonts w:ascii="Times New Roman" w:hAnsi="Times New Roman"/>
          <w:bCs/>
          <w:sz w:val="28"/>
          <w:szCs w:val="28"/>
        </w:rPr>
        <w:t>5 марта 2025 г. № ОМ-14/13-04</w:t>
      </w:r>
    </w:p>
    <w:p w:rsidR="00155C22" w:rsidRDefault="00155C22" w:rsidP="00953C2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штрафных санкций и гарантий обеспечения реализации КС</w:t>
      </w:r>
    </w:p>
    <w:p w:rsidR="00155C22" w:rsidRDefault="00155C22" w:rsidP="00953C2D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129 </w:t>
      </w:r>
      <w:r w:rsidR="00164991" w:rsidRPr="009D4ACA">
        <w:rPr>
          <w:rFonts w:ascii="Times New Roman" w:hAnsi="Times New Roman" w:cs="Times New Roman"/>
          <w:sz w:val="28"/>
          <w:szCs w:val="28"/>
        </w:rPr>
        <w:t>концессионных соглашени</w:t>
      </w:r>
      <w:r>
        <w:rPr>
          <w:rFonts w:ascii="Times New Roman" w:hAnsi="Times New Roman" w:cs="Times New Roman"/>
          <w:sz w:val="28"/>
          <w:szCs w:val="28"/>
        </w:rPr>
        <w:t>й с</w:t>
      </w:r>
      <w:r w:rsidR="00164991" w:rsidRPr="009D4ACA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64991" w:rsidRPr="009D4ACA">
        <w:rPr>
          <w:rFonts w:ascii="Times New Roman" w:hAnsi="Times New Roman" w:cs="Times New Roman"/>
          <w:sz w:val="28"/>
          <w:szCs w:val="28"/>
        </w:rPr>
        <w:t xml:space="preserve"> инвестиций более 500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64991" w:rsidRPr="009D4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64991" w:rsidRPr="009D4AC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для анализа ото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браны 52 соглашения.</w:t>
      </w:r>
    </w:p>
    <w:p w:rsidR="00155C22" w:rsidRDefault="00155C22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 отобранным 52 соглашения показал</w:t>
      </w:r>
      <w:r w:rsidR="009D06BE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4E22DF" w:rsidRDefault="00294393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 соглашениях (</w:t>
      </w:r>
      <w:r w:rsidR="004E22DF">
        <w:rPr>
          <w:rFonts w:ascii="Times New Roman" w:hAnsi="Times New Roman" w:cs="Times New Roman"/>
          <w:sz w:val="28"/>
          <w:szCs w:val="28"/>
        </w:rPr>
        <w:t>36,5</w:t>
      </w:r>
      <w:r w:rsidR="0067328A">
        <w:rPr>
          <w:rFonts w:ascii="Times New Roman" w:hAnsi="Times New Roman" w:cs="Times New Roman"/>
          <w:sz w:val="28"/>
          <w:szCs w:val="28"/>
        </w:rPr>
        <w:t> </w:t>
      </w:r>
      <w:r w:rsidR="004E22D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4E22DF">
        <w:rPr>
          <w:rFonts w:ascii="Times New Roman" w:hAnsi="Times New Roman" w:cs="Times New Roman"/>
          <w:sz w:val="28"/>
          <w:szCs w:val="28"/>
        </w:rPr>
        <w:t xml:space="preserve"> размер штрафных санкций </w:t>
      </w:r>
      <w:r w:rsidR="004E22DF" w:rsidRPr="006B1CC6">
        <w:rPr>
          <w:rFonts w:ascii="Times New Roman" w:hAnsi="Times New Roman" w:cs="Times New Roman"/>
          <w:b/>
          <w:bCs/>
          <w:sz w:val="28"/>
          <w:szCs w:val="28"/>
        </w:rPr>
        <w:t>для концедента</w:t>
      </w:r>
      <w:r w:rsidR="004E22DF">
        <w:rPr>
          <w:rFonts w:ascii="Times New Roman" w:hAnsi="Times New Roman" w:cs="Times New Roman"/>
          <w:sz w:val="28"/>
          <w:szCs w:val="28"/>
        </w:rPr>
        <w:t xml:space="preserve"> не установлен.</w:t>
      </w:r>
    </w:p>
    <w:p w:rsidR="00294393" w:rsidRDefault="004E22DF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остальных соглашениях </w:t>
      </w:r>
      <w:r w:rsidR="006B1CC6">
        <w:rPr>
          <w:rFonts w:ascii="Times New Roman" w:hAnsi="Times New Roman" w:cs="Times New Roman"/>
          <w:sz w:val="28"/>
          <w:szCs w:val="28"/>
        </w:rPr>
        <w:t xml:space="preserve">для концедента </w:t>
      </w:r>
      <w:r>
        <w:rPr>
          <w:rFonts w:ascii="Times New Roman" w:hAnsi="Times New Roman" w:cs="Times New Roman"/>
          <w:sz w:val="28"/>
          <w:szCs w:val="28"/>
        </w:rPr>
        <w:t xml:space="preserve">чаще всего предусмотрены штрафные санкции (пени, неустойки), рассчитанные </w:t>
      </w:r>
      <w:r w:rsidR="009A74A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A74A2" w:rsidRPr="009A74A2">
        <w:rPr>
          <w:rFonts w:ascii="Times New Roman" w:hAnsi="Times New Roman" w:cs="Times New Roman"/>
          <w:sz w:val="28"/>
          <w:szCs w:val="28"/>
        </w:rPr>
        <w:t>одной трехсотой</w:t>
      </w:r>
      <w:r w:rsidRPr="004E2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Pr="004E22DF">
        <w:rPr>
          <w:rFonts w:ascii="Times New Roman" w:hAnsi="Times New Roman" w:cs="Times New Roman"/>
          <w:sz w:val="28"/>
          <w:szCs w:val="28"/>
        </w:rPr>
        <w:t xml:space="preserve">ставки </w:t>
      </w:r>
      <w:r>
        <w:rPr>
          <w:rFonts w:ascii="Times New Roman" w:hAnsi="Times New Roman" w:cs="Times New Roman"/>
          <w:sz w:val="28"/>
          <w:szCs w:val="28"/>
        </w:rPr>
        <w:t>Центрального банка Российской Федерации</w:t>
      </w:r>
      <w:r w:rsidRPr="004E22DF">
        <w:rPr>
          <w:rFonts w:ascii="Times New Roman" w:hAnsi="Times New Roman" w:cs="Times New Roman"/>
          <w:sz w:val="28"/>
          <w:szCs w:val="28"/>
        </w:rPr>
        <w:t xml:space="preserve"> за каждый день просрочки за неисполнения денежн</w:t>
      </w:r>
      <w:r w:rsidR="009A74A2">
        <w:rPr>
          <w:rFonts w:ascii="Times New Roman" w:hAnsi="Times New Roman" w:cs="Times New Roman"/>
          <w:sz w:val="28"/>
          <w:szCs w:val="28"/>
        </w:rPr>
        <w:t>ых</w:t>
      </w:r>
      <w:r w:rsidRPr="004E22DF">
        <w:rPr>
          <w:rFonts w:ascii="Times New Roman" w:hAnsi="Times New Roman" w:cs="Times New Roman"/>
          <w:sz w:val="28"/>
          <w:szCs w:val="28"/>
        </w:rPr>
        <w:t xml:space="preserve"> или неденежн</w:t>
      </w:r>
      <w:r w:rsidR="009A74A2">
        <w:rPr>
          <w:rFonts w:ascii="Times New Roman" w:hAnsi="Times New Roman" w:cs="Times New Roman"/>
          <w:sz w:val="28"/>
          <w:szCs w:val="28"/>
        </w:rPr>
        <w:t>ых</w:t>
      </w:r>
      <w:r w:rsidRPr="004E22DF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9A74A2">
        <w:rPr>
          <w:rFonts w:ascii="Times New Roman" w:hAnsi="Times New Roman" w:cs="Times New Roman"/>
          <w:sz w:val="28"/>
          <w:szCs w:val="28"/>
        </w:rPr>
        <w:t>.</w:t>
      </w:r>
    </w:p>
    <w:p w:rsidR="009D06BE" w:rsidRPr="00A55B96" w:rsidRDefault="009D06BE" w:rsidP="00FB0E9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55B96">
        <w:rPr>
          <w:rFonts w:ascii="Times New Roman" w:hAnsi="Times New Roman" w:cs="Times New Roman"/>
          <w:b/>
          <w:sz w:val="24"/>
          <w:szCs w:val="28"/>
        </w:rPr>
        <w:t xml:space="preserve">Диаграмма. Распределение КС </w:t>
      </w:r>
      <w:r w:rsidR="00294393">
        <w:rPr>
          <w:rFonts w:ascii="Times New Roman" w:hAnsi="Times New Roman" w:cs="Times New Roman"/>
          <w:b/>
          <w:sz w:val="24"/>
          <w:szCs w:val="28"/>
        </w:rPr>
        <w:t xml:space="preserve">в зависимости от штрафных санкций, предусмотренных в отношении </w:t>
      </w:r>
      <w:r w:rsidR="00294393" w:rsidRPr="0067328A">
        <w:rPr>
          <w:rFonts w:ascii="Times New Roman" w:hAnsi="Times New Roman" w:cs="Times New Roman"/>
          <w:b/>
          <w:i/>
          <w:iCs/>
          <w:sz w:val="24"/>
          <w:szCs w:val="28"/>
        </w:rPr>
        <w:t>концедентов</w:t>
      </w:r>
    </w:p>
    <w:p w:rsidR="009D06BE" w:rsidRPr="00031700" w:rsidRDefault="009D06BE" w:rsidP="009D06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49082" wp14:editId="2A4887B2">
                <wp:simplePos x="0" y="0"/>
                <wp:positionH relativeFrom="column">
                  <wp:posOffset>684719</wp:posOffset>
                </wp:positionH>
                <wp:positionV relativeFrom="paragraph">
                  <wp:posOffset>811125</wp:posOffset>
                </wp:positionV>
                <wp:extent cx="914400" cy="294198"/>
                <wp:effectExtent l="0" t="0" r="0" b="0"/>
                <wp:wrapNone/>
                <wp:docPr id="534716068" name="Надпись 534716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6BE" w:rsidRPr="00A55B96" w:rsidRDefault="009D06BE" w:rsidP="009D06B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52</w:t>
                            </w:r>
                            <w:r w:rsidRPr="00A55B9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EA49082" id="_x0000_t202" coordsize="21600,21600" o:spt="202" path="m,l,21600r21600,l21600,xe">
                <v:stroke joinstyle="miter"/>
                <v:path gradientshapeok="t" o:connecttype="rect"/>
              </v:shapetype>
              <v:shape id="Надпись 534716068" o:spid="_x0000_s1026" type="#_x0000_t202" style="position:absolute;left:0;text-align:left;margin-left:53.9pt;margin-top:63.85pt;width:1in;height:23.1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" filled="f" stroked="f" strokeweight=".5pt">
                <v:textbox>
                  <w:txbxContent>
                    <w:p w:rsidR="009D06BE" w:rsidRPr="00A55B96" w:rsidRDefault="009D06BE" w:rsidP="009D06BE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52</w:t>
                      </w:r>
                      <w:r w:rsidRPr="00A55B9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КС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8A818B" wp14:editId="4B988F15">
            <wp:extent cx="6253926" cy="1892300"/>
            <wp:effectExtent l="0" t="0" r="0" b="0"/>
            <wp:docPr id="1976690377" name="Диаграмма 19766903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1CC6" w:rsidRDefault="0067328A" w:rsidP="006B1C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B1CC6">
        <w:rPr>
          <w:rFonts w:ascii="Times New Roman" w:hAnsi="Times New Roman" w:cs="Times New Roman"/>
          <w:b/>
          <w:bCs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bCs/>
          <w:sz w:val="28"/>
          <w:szCs w:val="28"/>
        </w:rPr>
        <w:t>концессионеров</w:t>
      </w:r>
      <w:r>
        <w:rPr>
          <w:rFonts w:ascii="Times New Roman" w:hAnsi="Times New Roman" w:cs="Times New Roman"/>
          <w:sz w:val="28"/>
          <w:szCs w:val="28"/>
        </w:rPr>
        <w:t xml:space="preserve"> размер штрафных санкций </w:t>
      </w:r>
      <w:r w:rsidR="00B9578A">
        <w:rPr>
          <w:rFonts w:ascii="Times New Roman" w:hAnsi="Times New Roman" w:cs="Times New Roman"/>
          <w:sz w:val="28"/>
          <w:szCs w:val="28"/>
        </w:rPr>
        <w:t xml:space="preserve">не установлен </w:t>
      </w:r>
      <w:r w:rsidR="00B957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6B1CC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6B1CC6">
        <w:rPr>
          <w:rFonts w:ascii="Times New Roman" w:hAnsi="Times New Roman" w:cs="Times New Roman"/>
          <w:sz w:val="28"/>
          <w:szCs w:val="28"/>
        </w:rPr>
        <w:t xml:space="preserve"> соглашениях </w:t>
      </w:r>
      <w:r>
        <w:rPr>
          <w:rFonts w:ascii="Times New Roman" w:hAnsi="Times New Roman" w:cs="Times New Roman"/>
          <w:sz w:val="28"/>
          <w:szCs w:val="28"/>
        </w:rPr>
        <w:t xml:space="preserve">из 52 </w:t>
      </w:r>
      <w:r w:rsidR="006B1CC6"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>0</w:t>
      </w:r>
      <w:r w:rsidR="006B1C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8 </w:t>
      </w:r>
      <w:r w:rsidR="006B1CC6">
        <w:rPr>
          <w:rFonts w:ascii="Times New Roman" w:hAnsi="Times New Roman" w:cs="Times New Roman"/>
          <w:sz w:val="28"/>
          <w:szCs w:val="28"/>
        </w:rPr>
        <w:t>%).</w:t>
      </w:r>
    </w:p>
    <w:p w:rsidR="002F1509" w:rsidRDefault="0067328A" w:rsidP="00F92D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соглашениях </w:t>
      </w:r>
      <w:r w:rsidR="00F92D34">
        <w:rPr>
          <w:rFonts w:ascii="Times New Roman" w:hAnsi="Times New Roman" w:cs="Times New Roman"/>
          <w:sz w:val="28"/>
          <w:szCs w:val="28"/>
        </w:rPr>
        <w:t xml:space="preserve">(19,2 %) для концессионеров </w:t>
      </w:r>
      <w:r>
        <w:rPr>
          <w:rFonts w:ascii="Times New Roman" w:hAnsi="Times New Roman" w:cs="Times New Roman"/>
          <w:sz w:val="28"/>
          <w:szCs w:val="28"/>
        </w:rPr>
        <w:t>установлены размеры штрафных санкций</w:t>
      </w:r>
      <w:r w:rsidR="00F92D34">
        <w:rPr>
          <w:rFonts w:ascii="Times New Roman" w:hAnsi="Times New Roman" w:cs="Times New Roman"/>
          <w:sz w:val="28"/>
          <w:szCs w:val="28"/>
        </w:rPr>
        <w:t xml:space="preserve">, выраженные в абсолютном значении для различных видов нарушений обязательств. Так, в частности, установлены штрафы от 0,1 тыс. рублей до 3,0 тыс. рублей, применяемые </w:t>
      </w:r>
      <w:r w:rsidR="00F92D34" w:rsidRPr="00F92D34">
        <w:rPr>
          <w:rFonts w:ascii="Times New Roman" w:hAnsi="Times New Roman" w:cs="Times New Roman"/>
          <w:sz w:val="28"/>
          <w:szCs w:val="28"/>
        </w:rPr>
        <w:t>за каждый день просрочки исполнения обязательства</w:t>
      </w:r>
      <w:r w:rsidR="00F92D34">
        <w:rPr>
          <w:rFonts w:ascii="Times New Roman" w:hAnsi="Times New Roman" w:cs="Times New Roman"/>
          <w:sz w:val="28"/>
          <w:szCs w:val="28"/>
        </w:rPr>
        <w:t xml:space="preserve">, а также штрафы от 1,0 тыс. рублей до 150,0 тыс. рублей применяемые при установлении факта невыполнения </w:t>
      </w:r>
      <w:r w:rsidR="00F92D34">
        <w:rPr>
          <w:rFonts w:ascii="Times New Roman" w:hAnsi="Times New Roman" w:cs="Times New Roman"/>
          <w:sz w:val="28"/>
          <w:szCs w:val="28"/>
        </w:rPr>
        <w:lastRenderedPageBreak/>
        <w:t>концессионером своих обязательств по соглашению.</w:t>
      </w:r>
      <w:r w:rsidR="002F1509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2F1509" w:rsidRPr="002F1509">
        <w:rPr>
          <w:rFonts w:ascii="Times New Roman" w:hAnsi="Times New Roman" w:cs="Times New Roman"/>
          <w:sz w:val="28"/>
          <w:szCs w:val="28"/>
        </w:rPr>
        <w:t>размер</w:t>
      </w:r>
      <w:r w:rsidR="002F1509">
        <w:rPr>
          <w:rFonts w:ascii="Times New Roman" w:hAnsi="Times New Roman" w:cs="Times New Roman"/>
          <w:sz w:val="28"/>
          <w:szCs w:val="28"/>
        </w:rPr>
        <w:t>ы</w:t>
      </w:r>
      <w:r w:rsidR="002F1509" w:rsidRPr="002F1509">
        <w:rPr>
          <w:rFonts w:ascii="Times New Roman" w:hAnsi="Times New Roman" w:cs="Times New Roman"/>
          <w:sz w:val="28"/>
          <w:szCs w:val="28"/>
        </w:rPr>
        <w:t xml:space="preserve"> </w:t>
      </w:r>
      <w:r w:rsidR="002F1509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2F1509" w:rsidRPr="002F1509">
        <w:rPr>
          <w:rFonts w:ascii="Times New Roman" w:hAnsi="Times New Roman" w:cs="Times New Roman"/>
          <w:sz w:val="28"/>
          <w:szCs w:val="28"/>
        </w:rPr>
        <w:t>штраф</w:t>
      </w:r>
      <w:r w:rsidR="002F1509">
        <w:rPr>
          <w:rFonts w:ascii="Times New Roman" w:hAnsi="Times New Roman" w:cs="Times New Roman"/>
          <w:sz w:val="28"/>
          <w:szCs w:val="28"/>
        </w:rPr>
        <w:t>ов</w:t>
      </w:r>
      <w:r w:rsidR="002F1509" w:rsidRPr="002F1509">
        <w:rPr>
          <w:rFonts w:ascii="Times New Roman" w:hAnsi="Times New Roman" w:cs="Times New Roman"/>
          <w:sz w:val="28"/>
          <w:szCs w:val="28"/>
        </w:rPr>
        <w:t xml:space="preserve"> </w:t>
      </w:r>
      <w:r w:rsidR="002F1509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2F1509" w:rsidRPr="002F1509">
        <w:rPr>
          <w:rFonts w:ascii="Times New Roman" w:hAnsi="Times New Roman" w:cs="Times New Roman"/>
          <w:sz w:val="28"/>
          <w:szCs w:val="28"/>
        </w:rPr>
        <w:t>не соответств</w:t>
      </w:r>
      <w:r w:rsidR="002F1509">
        <w:rPr>
          <w:rFonts w:ascii="Times New Roman" w:hAnsi="Times New Roman" w:cs="Times New Roman"/>
          <w:sz w:val="28"/>
          <w:szCs w:val="28"/>
        </w:rPr>
        <w:t>овать</w:t>
      </w:r>
      <w:r w:rsidR="002F1509" w:rsidRPr="002F1509">
        <w:rPr>
          <w:rFonts w:ascii="Times New Roman" w:hAnsi="Times New Roman" w:cs="Times New Roman"/>
          <w:sz w:val="28"/>
          <w:szCs w:val="28"/>
        </w:rPr>
        <w:t xml:space="preserve"> размеру </w:t>
      </w:r>
      <w:r w:rsidR="002F1509">
        <w:rPr>
          <w:rFonts w:ascii="Times New Roman" w:hAnsi="Times New Roman" w:cs="Times New Roman"/>
          <w:sz w:val="28"/>
          <w:szCs w:val="28"/>
        </w:rPr>
        <w:t>финансовых последствий от невыполнения концессионером своих обязательств.</w:t>
      </w:r>
    </w:p>
    <w:p w:rsidR="006B1CC6" w:rsidRPr="00A55B96" w:rsidRDefault="006B1CC6" w:rsidP="00FB0E9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55B96">
        <w:rPr>
          <w:rFonts w:ascii="Times New Roman" w:hAnsi="Times New Roman" w:cs="Times New Roman"/>
          <w:b/>
          <w:sz w:val="24"/>
          <w:szCs w:val="28"/>
        </w:rPr>
        <w:t xml:space="preserve">Диаграмма. Распределение КС </w:t>
      </w:r>
      <w:r>
        <w:rPr>
          <w:rFonts w:ascii="Times New Roman" w:hAnsi="Times New Roman" w:cs="Times New Roman"/>
          <w:b/>
          <w:sz w:val="24"/>
          <w:szCs w:val="28"/>
        </w:rPr>
        <w:t xml:space="preserve">в зависимости от штрафных санкций, предусмотренных в отношении </w:t>
      </w:r>
      <w:r w:rsidRPr="0067328A">
        <w:rPr>
          <w:rFonts w:ascii="Times New Roman" w:hAnsi="Times New Roman" w:cs="Times New Roman"/>
          <w:b/>
          <w:i/>
          <w:iCs/>
          <w:sz w:val="24"/>
          <w:szCs w:val="28"/>
        </w:rPr>
        <w:t>концессионеров</w:t>
      </w:r>
    </w:p>
    <w:p w:rsidR="006B1CC6" w:rsidRPr="00031700" w:rsidRDefault="006B1CC6" w:rsidP="006B1C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56C2D" wp14:editId="2293BCD0">
                <wp:simplePos x="0" y="0"/>
                <wp:positionH relativeFrom="column">
                  <wp:posOffset>684719</wp:posOffset>
                </wp:positionH>
                <wp:positionV relativeFrom="paragraph">
                  <wp:posOffset>811125</wp:posOffset>
                </wp:positionV>
                <wp:extent cx="914400" cy="294198"/>
                <wp:effectExtent l="0" t="0" r="0" b="0"/>
                <wp:wrapNone/>
                <wp:docPr id="1991268696" name="Надпись 1991268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1CC6" w:rsidRPr="00A55B96" w:rsidRDefault="006B1CC6" w:rsidP="006B1CC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52</w:t>
                            </w:r>
                            <w:r w:rsidRPr="00A55B9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856C2D" id="Надпись 1991268696" o:spid="_x0000_s1027" type="#_x0000_t202" style="position:absolute;left:0;text-align:left;margin-left:53.9pt;margin-top:63.85pt;width:1in;height:23.1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" filled="f" stroked="f" strokeweight=".5pt">
                <v:textbox>
                  <w:txbxContent>
                    <w:p w:rsidR="006B1CC6" w:rsidRPr="00A55B96" w:rsidRDefault="006B1CC6" w:rsidP="006B1CC6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52</w:t>
                      </w:r>
                      <w:r w:rsidRPr="00A55B9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КС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BF2F76" wp14:editId="798C88AC">
            <wp:extent cx="6253926" cy="1892300"/>
            <wp:effectExtent l="0" t="0" r="0" b="0"/>
            <wp:docPr id="415635606" name="Диаграмма 4156356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5C22" w:rsidRDefault="002148B8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 отобранным 52 соглашения также показал, что в качестве обеспечения исполнения обязательств по соглашению чаще всего применяется механизм банковской гарантии.</w:t>
      </w:r>
    </w:p>
    <w:p w:rsidR="002148B8" w:rsidRDefault="002148B8" w:rsidP="00E01A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применение безотзывной банковской гарантии предусмотрено в 43 соглашениях</w:t>
      </w:r>
      <w:r w:rsidR="00A8598F">
        <w:rPr>
          <w:rFonts w:ascii="Times New Roman" w:hAnsi="Times New Roman" w:cs="Times New Roman"/>
          <w:sz w:val="28"/>
          <w:szCs w:val="28"/>
        </w:rPr>
        <w:t xml:space="preserve"> (82,7 %)</w:t>
      </w:r>
      <w:r>
        <w:rPr>
          <w:rFonts w:ascii="Times New Roman" w:hAnsi="Times New Roman" w:cs="Times New Roman"/>
          <w:sz w:val="28"/>
          <w:szCs w:val="28"/>
        </w:rPr>
        <w:t xml:space="preserve">. Еще в 5 соглашениях </w:t>
      </w:r>
      <w:r w:rsidR="00A8598F">
        <w:rPr>
          <w:rFonts w:ascii="Times New Roman" w:hAnsi="Times New Roman" w:cs="Times New Roman"/>
          <w:sz w:val="28"/>
          <w:szCs w:val="28"/>
        </w:rPr>
        <w:t xml:space="preserve">(9,6 %) </w:t>
      </w:r>
      <w:r w:rsidR="00E01A06">
        <w:rPr>
          <w:rFonts w:ascii="Times New Roman" w:hAnsi="Times New Roman" w:cs="Times New Roman"/>
          <w:sz w:val="28"/>
          <w:szCs w:val="28"/>
        </w:rPr>
        <w:t xml:space="preserve">наряду с банковской гарантией может предусматриваться </w:t>
      </w:r>
      <w:r w:rsidR="00E01A06" w:rsidRPr="00E01A06">
        <w:rPr>
          <w:rFonts w:ascii="Times New Roman" w:hAnsi="Times New Roman" w:cs="Times New Roman"/>
          <w:sz w:val="28"/>
          <w:szCs w:val="28"/>
        </w:rPr>
        <w:t>страхование риска ответственности</w:t>
      </w:r>
      <w:r w:rsidR="00E01A0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01A06" w:rsidRPr="00E01A06">
        <w:rPr>
          <w:rFonts w:ascii="Times New Roman" w:hAnsi="Times New Roman" w:cs="Times New Roman"/>
          <w:sz w:val="28"/>
          <w:szCs w:val="28"/>
        </w:rPr>
        <w:t>передача</w:t>
      </w:r>
      <w:r w:rsidR="00E01A06">
        <w:rPr>
          <w:rFonts w:ascii="Times New Roman" w:hAnsi="Times New Roman" w:cs="Times New Roman"/>
          <w:sz w:val="28"/>
          <w:szCs w:val="28"/>
        </w:rPr>
        <w:t xml:space="preserve"> к</w:t>
      </w:r>
      <w:r w:rsidR="00E01A06" w:rsidRPr="00E01A06">
        <w:rPr>
          <w:rFonts w:ascii="Times New Roman" w:hAnsi="Times New Roman" w:cs="Times New Roman"/>
          <w:sz w:val="28"/>
          <w:szCs w:val="28"/>
        </w:rPr>
        <w:t xml:space="preserve">онцеденту в залог прав </w:t>
      </w:r>
      <w:r w:rsidR="00E01A06">
        <w:rPr>
          <w:rFonts w:ascii="Times New Roman" w:hAnsi="Times New Roman" w:cs="Times New Roman"/>
          <w:sz w:val="28"/>
          <w:szCs w:val="28"/>
        </w:rPr>
        <w:t>к</w:t>
      </w:r>
      <w:r w:rsidR="00E01A06" w:rsidRPr="00E01A06">
        <w:rPr>
          <w:rFonts w:ascii="Times New Roman" w:hAnsi="Times New Roman" w:cs="Times New Roman"/>
          <w:sz w:val="28"/>
          <w:szCs w:val="28"/>
        </w:rPr>
        <w:t>онцессионера по договору банковского вклада (депозита)</w:t>
      </w:r>
      <w:r w:rsidR="00E01A06">
        <w:rPr>
          <w:rFonts w:ascii="Times New Roman" w:hAnsi="Times New Roman" w:cs="Times New Roman"/>
          <w:sz w:val="28"/>
          <w:szCs w:val="28"/>
        </w:rPr>
        <w:t>.</w:t>
      </w:r>
    </w:p>
    <w:p w:rsidR="00A8598F" w:rsidRPr="00A55B96" w:rsidRDefault="00A8598F" w:rsidP="00A8598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55B96">
        <w:rPr>
          <w:rFonts w:ascii="Times New Roman" w:hAnsi="Times New Roman" w:cs="Times New Roman"/>
          <w:b/>
          <w:sz w:val="24"/>
          <w:szCs w:val="28"/>
        </w:rPr>
        <w:t xml:space="preserve">Диаграмма. Распределение КС </w:t>
      </w:r>
      <w:r>
        <w:rPr>
          <w:rFonts w:ascii="Times New Roman" w:hAnsi="Times New Roman" w:cs="Times New Roman"/>
          <w:b/>
          <w:sz w:val="24"/>
          <w:szCs w:val="28"/>
        </w:rPr>
        <w:t xml:space="preserve">в зависимости от механизма </w:t>
      </w:r>
      <w:r>
        <w:rPr>
          <w:rFonts w:ascii="Times New Roman" w:hAnsi="Times New Roman" w:cs="Times New Roman"/>
          <w:b/>
          <w:sz w:val="24"/>
          <w:szCs w:val="28"/>
        </w:rPr>
        <w:br/>
        <w:t>обеспечения исполнения обязательств концессионером</w:t>
      </w:r>
    </w:p>
    <w:p w:rsidR="00A8598F" w:rsidRPr="00031700" w:rsidRDefault="00A8598F" w:rsidP="00A8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7F5C7" wp14:editId="27CCB8AC">
                <wp:simplePos x="0" y="0"/>
                <wp:positionH relativeFrom="column">
                  <wp:posOffset>684719</wp:posOffset>
                </wp:positionH>
                <wp:positionV relativeFrom="paragraph">
                  <wp:posOffset>811125</wp:posOffset>
                </wp:positionV>
                <wp:extent cx="914400" cy="294198"/>
                <wp:effectExtent l="0" t="0" r="0" b="0"/>
                <wp:wrapNone/>
                <wp:docPr id="2091838490" name="Надпись 2091838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598F" w:rsidRPr="00A55B96" w:rsidRDefault="00A8598F" w:rsidP="00A8598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52</w:t>
                            </w:r>
                            <w:r w:rsidRPr="00A55B9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E7F5C7" id="Надпись 2091838490" o:spid="_x0000_s1028" type="#_x0000_t202" style="position:absolute;left:0;text-align:left;margin-left:53.9pt;margin-top:63.85pt;width:1in;height:23.1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" filled="f" stroked="f" strokeweight=".5pt">
                <v:textbox>
                  <w:txbxContent>
                    <w:p w:rsidR="00A8598F" w:rsidRPr="00A55B96" w:rsidRDefault="00A8598F" w:rsidP="00A8598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52</w:t>
                      </w:r>
                      <w:r w:rsidRPr="00A55B9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КС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D56F1B" wp14:editId="5E1449BB">
            <wp:extent cx="6253926" cy="1892300"/>
            <wp:effectExtent l="0" t="0" r="0" b="0"/>
            <wp:docPr id="573239062" name="Диаграмма 5732390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1A09" w:rsidRDefault="006D2247" w:rsidP="00155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DE0EC4">
        <w:rPr>
          <w:rFonts w:ascii="Times New Roman" w:hAnsi="Times New Roman" w:cs="Times New Roman"/>
          <w:sz w:val="28"/>
          <w:szCs w:val="28"/>
        </w:rPr>
        <w:t>штрафных санкциях и механизмах обеспечения исполнения обязательств</w:t>
      </w:r>
      <w:r w:rsidR="008D72E2">
        <w:rPr>
          <w:rFonts w:ascii="Times New Roman" w:hAnsi="Times New Roman" w:cs="Times New Roman"/>
          <w:sz w:val="28"/>
          <w:szCs w:val="28"/>
        </w:rPr>
        <w:t xml:space="preserve"> </w:t>
      </w:r>
      <w:r w:rsidR="00DE0EC4">
        <w:rPr>
          <w:rFonts w:ascii="Times New Roman" w:hAnsi="Times New Roman" w:cs="Times New Roman"/>
          <w:sz w:val="28"/>
          <w:szCs w:val="28"/>
        </w:rPr>
        <w:t xml:space="preserve">в разрезе </w:t>
      </w:r>
      <w:r>
        <w:rPr>
          <w:rFonts w:ascii="Times New Roman" w:hAnsi="Times New Roman" w:cs="Times New Roman"/>
          <w:sz w:val="28"/>
          <w:szCs w:val="28"/>
        </w:rPr>
        <w:t>соглашени</w:t>
      </w:r>
      <w:r w:rsidR="00DE0EC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по которым проводился анализ,</w:t>
      </w:r>
      <w:r w:rsidR="00164991">
        <w:rPr>
          <w:rFonts w:ascii="Times New Roman" w:hAnsi="Times New Roman" w:cs="Times New Roman"/>
          <w:sz w:val="28"/>
          <w:szCs w:val="28"/>
        </w:rPr>
        <w:t xml:space="preserve"> </w:t>
      </w:r>
      <w:r w:rsidR="007D5E6C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5E6C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F74ECD">
        <w:rPr>
          <w:rFonts w:ascii="Times New Roman" w:hAnsi="Times New Roman" w:cs="Times New Roman"/>
          <w:sz w:val="28"/>
          <w:szCs w:val="28"/>
        </w:rPr>
        <w:t>ниже.</w:t>
      </w:r>
    </w:p>
    <w:p w:rsidR="00E84AFA" w:rsidRDefault="00E84AFA" w:rsidP="00155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AFA" w:rsidRDefault="00E84AFA" w:rsidP="00155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84AFA" w:rsidSect="00155C22">
          <w:headerReference w:type="default" r:id="rId11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F74ECD" w:rsidRDefault="00B42B8A" w:rsidP="00B42B8A">
      <w:pPr>
        <w:spacing w:after="120" w:line="240" w:lineRule="auto"/>
        <w:ind w:firstLine="709"/>
        <w:jc w:val="center"/>
        <w:rPr>
          <w:rFonts w:ascii="Times New Roman" w:hAnsi="Times New Roman" w:cs="Times New Roman"/>
        </w:rPr>
      </w:pPr>
      <w:r w:rsidRPr="00B42B8A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штрафных санкциях и механизмах обеспечения исполнения обязательств</w:t>
      </w:r>
      <w:r w:rsidRPr="006828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в 52</w:t>
      </w:r>
      <w:r w:rsidRPr="00682814">
        <w:rPr>
          <w:rFonts w:ascii="Times New Roman" w:hAnsi="Times New Roman" w:cs="Times New Roman"/>
          <w:b/>
          <w:sz w:val="24"/>
          <w:szCs w:val="24"/>
        </w:rPr>
        <w:t xml:space="preserve"> КС с объемом инвестиций свыше 500 млн рублей</w:t>
      </w:r>
    </w:p>
    <w:tbl>
      <w:tblPr>
        <w:tblW w:w="157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1184"/>
        <w:gridCol w:w="2724"/>
        <w:gridCol w:w="3247"/>
        <w:gridCol w:w="1896"/>
        <w:gridCol w:w="2198"/>
        <w:gridCol w:w="1544"/>
      </w:tblGrid>
      <w:tr w:rsidR="00E213A6" w:rsidRPr="00E84AFA" w:rsidTr="00E213A6">
        <w:trPr>
          <w:cantSplit/>
          <w:trHeight w:val="397"/>
          <w:tblHeader/>
        </w:trPr>
        <w:tc>
          <w:tcPr>
            <w:tcW w:w="2940" w:type="dxa"/>
            <w:shd w:val="clear" w:color="auto" w:fill="auto"/>
            <w:hideMark/>
          </w:tcPr>
          <w:p w:rsidR="00E84AFA" w:rsidRPr="00E84AFA" w:rsidRDefault="00E84AFA" w:rsidP="00E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проекта</w:t>
            </w:r>
          </w:p>
        </w:tc>
        <w:tc>
          <w:tcPr>
            <w:tcW w:w="1184" w:type="dxa"/>
          </w:tcPr>
          <w:p w:rsidR="00E84AFA" w:rsidRPr="00E84AFA" w:rsidRDefault="00E84AFA" w:rsidP="00E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инвестиций всего, план</w:t>
            </w:r>
            <w:r w:rsidR="00E21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млн. руб.</w:t>
            </w:r>
          </w:p>
        </w:tc>
        <w:tc>
          <w:tcPr>
            <w:tcW w:w="2724" w:type="dxa"/>
            <w:shd w:val="clear" w:color="auto" w:fill="auto"/>
            <w:hideMark/>
          </w:tcPr>
          <w:p w:rsidR="00E84AFA" w:rsidRPr="00E84AFA" w:rsidRDefault="00E84AFA" w:rsidP="00E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E8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уплачиваемый концедентом</w:t>
            </w:r>
          </w:p>
        </w:tc>
        <w:tc>
          <w:tcPr>
            <w:tcW w:w="3247" w:type="dxa"/>
            <w:shd w:val="clear" w:color="auto" w:fill="auto"/>
            <w:hideMark/>
          </w:tcPr>
          <w:p w:rsidR="00E84AFA" w:rsidRPr="00E84AFA" w:rsidRDefault="00E84AFA" w:rsidP="00E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E8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уплачиваемый концессионером</w:t>
            </w:r>
          </w:p>
        </w:tc>
        <w:tc>
          <w:tcPr>
            <w:tcW w:w="1896" w:type="dxa"/>
            <w:shd w:val="clear" w:color="auto" w:fill="auto"/>
            <w:hideMark/>
          </w:tcPr>
          <w:p w:rsidR="00E84AFA" w:rsidRPr="00E84AFA" w:rsidRDefault="00E84AFA" w:rsidP="00E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2198" w:type="dxa"/>
            <w:shd w:val="clear" w:color="auto" w:fill="auto"/>
            <w:hideMark/>
          </w:tcPr>
          <w:p w:rsidR="00E84AFA" w:rsidRPr="00E84AFA" w:rsidRDefault="00E84AFA" w:rsidP="00E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обеспечения, тыс. рублей /%</w:t>
            </w:r>
          </w:p>
        </w:tc>
        <w:tc>
          <w:tcPr>
            <w:tcW w:w="1544" w:type="dxa"/>
            <w:shd w:val="clear" w:color="auto" w:fill="auto"/>
            <w:hideMark/>
          </w:tcPr>
          <w:p w:rsidR="00E84AFA" w:rsidRPr="00E84AFA" w:rsidRDefault="00E84AFA" w:rsidP="00E8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Период действия 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 на территории муниципального образования городского округа - города Барнаул Алтайского края от 30.06.2017 №1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1 619,5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 от прогнозируемого размера обязательств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2017-2021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23.12.2019 в отношении объектов теплоснабжения на территории муниципального образования городского округа – города Барнаула Алтайского края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536,7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5000 руб. за каждый случай неисполнения </w:t>
            </w:r>
            <w:r w:rsidR="00DB68A2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обязательств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а в случае нарушения сроков их исполнения - 5000 руб. за </w:t>
            </w:r>
            <w:r w:rsidR="00DB68A2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каждый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день просрочки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0,03% от объема инвестиций по ненадлежаще выполненным мероприятиям; 0,03% от стоимости, установленной в проектно-сметной документации; 7500 руб. за недостижение одного или нескольких плановых показателей по результатам деятельности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5% от суммы обязательств </w:t>
            </w:r>
            <w:r w:rsidR="00DB68A2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концессионера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его расходам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Объекты, предназначенные для освещения территории города Нижневартовска Ханты-Мансийского автономного округа - Югры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1 173,0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 до 5 тыс. рублей за каждый день просрочки </w:t>
            </w:r>
            <w:r w:rsidR="00DB68A2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нефинансовых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каждый факт неисполнения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10 % от размера расходов на создание и реконструкцию объекта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теплоснабжения, централизованных систем горячего водоснабжения, отдельных объектов таких систем между муниципальным образованием город Нижневартовск Ханты-Мансийского автономного округа – Югры, акционерным обществом «Городские электрические сети» и Ханты-Мансийским автономным округом – Югрой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3 728,8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1 тыс. рублей за каждый день просрочки обязательств, но не более 0,01% расходов Концессионера на создание объекта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0,001%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итогового годового предельного размера расходов Концессионера за каждый день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просрочки исполнения обязательства или 1 тыс. рублей за каждый день просрочки при устранении выявленных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нарушений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10 % от размера расходов на создание и реконструкцию объекта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теплоснабжения, находящихся в собственности городского округа "город Кизилюрт"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685,2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1 тыс. рублей за каждый день просрочки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1 тыс. рублей за каждый день просрочки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1 % от размера расходов на создание объекта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 и централизованной системы горячего водоснабжения г. Березовского Свердловской области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788,3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DB68A2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</w:t>
            </w:r>
            <w:r w:rsidR="00B42B8A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1,5% от суммы обязательства концессионера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года с последующей выдачей банковской гарантии на новый срок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в концессию муниципальных объектов централизованного теплоснабжения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3 042,0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0,1% от предельного </w:t>
            </w:r>
            <w:r w:rsidR="00DB68A2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объёма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отдельных объектов водоснабжения, водоотведения, предназначенных для водоснабжения и водоотведения находящихся в собственности муниципального образования "Гатчинский муниципальный район"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1 193,2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факт нарушения неденежного обязательства; 1/300 ставки ЦБ РФ от суммы неисполненного денежного обязательства за каждый день просрочки в случае нарушения денежного обязательства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факт нарушения неденежного обязательства; 1/300 ставки ЦБ РФ от суммы неисполненного денежного обязательства за каждый день просрочки в случае нарушения денежного обязательства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сумму не менее (316850,66+552,45)/228*n (где N - количество календарных месяцев действия соглашения в первом календарном году)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 на территории поселка городского типа Лучегорск Пожарского муниципального округа Приморского края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1 682,1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 0,5 тыс. рублей за каждое нарушение сроков исполнения обязательств и 0,5 тыс. рублей за каждый день просрочки исполнения данных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 0,5 тыс. рублей за каждое выявленное нарушение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5 % от размера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реконструкцию (модернизацию) объекта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реконструкция (модернизация) системы водоснабжения и водоотведения города Нижнего Новгорода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19 012,9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страхование риска ответственности, договор банковского вклада (депозит)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системы коммунальной инфраструктуры электроснабжения муниципального образования город Владимир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4 752,9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МРОТ за каждый день просрочки по несвоевременной регистрации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 собственности, несвоевременное согласование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ПСД, своевременное подписание с соглашения с подтверждение фактически исполненных объемов, своевременное заключение договора аренды на з/у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150 МРОТ 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каждый день просрочки за необеспечения свободного доступа к объекту и создание условий проведения работ, предоставление земельного участка, вмешательство в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хоздеятельность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концессионера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 МРОТ за каждый день просрочки по несвоевременной регистрации права собственности на имущество, не проведение работ по модернизации иного имущества,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неразработку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ПСД, несоответствие ПСД условиям соглашения, соблюдение ТЭП объектов, своевременное начало эксплуатации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150 МРОТ за а каждый день просрочки за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неподдерж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исправном состоянии объекта, непредоставление потребителям льго</w:t>
            </w:r>
            <w:r w:rsidR="00DB68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банковская гарантия/ передача прав Концеденту по договору банковского депозита/страхование риска 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100 % объёма инвестиций, предусмотренных на текущий финансовый год 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 от 07 декабря 2016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1/300 ключевой ставки ЦБ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наа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дату уплаты пени 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1/300 ключевой ставки ЦБ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наа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дату уплаты пени 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 от стоимости мероприятий, предусмотренных инвестиционной программой на каждый год, за исключением первого года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соглашения.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теплоснабжения, отдельных объектов таких систем, находящихся в муниципальной собственности Петрозаводского городского округа, от 01.01.2023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4 244,6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пени 1/300 от ставки ЦБ за каждый день просрочки исполнени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финансового обязательства и (или) штраф 20 тыс. рублей за неосуществление деятельности и нецелевое использование объекта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5 % от размера расходов на создание и реконструкцию объекта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Реконструкция системы теплоснабжения пос. Чегдомын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539,2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ставки рефинансирования ЦБ РФ, действующей на дату уплаты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штрафа от предельного (максимального) размера платы концедента, за каждый день неисполнения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ставки рефинансирования ЦБ РФ, действующей на дату уплаты штрафа от предельного (максимального) размера расходов концессионера, за каждый день неисполнения; 5% от суммы платы концедента, которая возвращается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2,65% от суммы обязательств концессионера по его расходам 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 января 2018 г.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отношении системы коммунальной инфраструктуры (объекты теплоснабжения и отдельные объекты таких систем), находящейся в собственности муниципального образования 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уравленко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енецком автономном округе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688,2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млн. руб.(пункты 4.13, 5.22); 3 млн.</w:t>
            </w:r>
            <w:r w:rsidR="00E21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руб.(</w:t>
            </w:r>
            <w:r w:rsidR="00E213A6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101); либо 20; от стоимости мероприятия производственной программы, выполнение которой не обеспечено; 1/300 ставки ЦБ РФ за каждый день неисполнения обязательств от объема предельного размера расходов на каждый год действия соглашения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E213A6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</w:t>
            </w:r>
            <w:r w:rsidR="00B42B8A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декабря 2024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тепловые сети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552,5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0,01% от размера инвестиций за год, в котором произошло нарушение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17000 тыс.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срок выполнения инвестиционных мероприятий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 и горячего водоснабжения, находящихся в муниципальной собственности Ленинск-Кузнецкого городского округа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3 009,6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 от стоимости мероприятий, предусмотренных инвестиционной программой на каждый год, за исключением первого года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соглашения.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Передача в концессию объектов водоснабжения и водоотведения для осуществления деятельности по водоподготовке, транспортировке, подаче холодной (питьевой) воды, приему, транспортировке и очистке сточных вод с созданием (реконструированием) производства, заменой морально и физически устаревшего оборудования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1 430,9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 МРОТ за неисполнение обязательств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несогласование инвестпрограммы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0,002 % от размера валовой выручки за каждый невыполненный показатель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50 МРОТ за неисполнение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160 МРОТ за неисполнение обязательств по срокам начала использования объекта, заявлении по передаче имущества, заключении договора аренды, информация об исполнении обязательств соответствии с инвестпрограммой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10 % от объема инвестиций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ценах года вложения инвестиций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период инвестиционной деятельности 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Концессионное соглашение в отношении системы теплоснабжения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823,5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сума расходов на создание и реконструкцию объектов теплоснабжения 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вступает в силу с даты заключения соглашения и действует в первом году до конца года заключения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отдельных объектов водоснабжения и водоотведения Сосновоборского городского округа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1 812,5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0,01 % от суммы от суммы неисполненных обязательств в случае нарушения сроков выплаты платы концедента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неисполнение существенных условий соглашения, неустранение замечаний в акте контроля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ежегодно не менее 50, 3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строительству канализационных очистных сооружений, мощностью 10000м3/сутки на территории Ленинградской области, Тосненского района, д. Федоровское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839,9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ставки ЦБ РФ от суммы неисполнения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ставки ЦБ РФ от суммы неисполнения или ненадлежащего исполнения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14160 тыс.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года с даты заключения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29.03.2019 № 59 в отношении объектов теплоснабжения, расположенных в границах муниципального образования "Пушкинский городской округ Московской области"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2 265,2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1/300 от ставки ЦБ за каждый день просрочки неисполнения денежных и неденежных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1/300 от ставки ЦБ за каждый день просрочки неисполнения денежных и неденежных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1 % от размера расходов на создание и реконструкцию объекта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Развитие систем теплоснабжения Северного, Южного и Западного районов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г.о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Электросталь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1 236,1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1/300 от ставки ЦБ за каждый день просрочки неисполнения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неустойка 1/300 от ставки ЦБ за каждый день просрочки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иисполнения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236 000 тыс. рублей на срок 8 лет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лет (при этом соглашение на 25 лет)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Финансирование, проектирование, строительство, содержание и эксплуатация объектов водоотведения, предназначенных для осуществления деятельности по обращению с осадком сточных вод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26 980,9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3000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индексации ИПЦ за каждый день нарушения сроков, за каждый день просрочки исполнения обязательств; 10000 руб. с учетом индексации ИПЦ за каждый день просрочки исполнения обязательств по неподписанию или просрочки подписания акта приема-передачи, несогласования проектной документации; 1/300 ставки ЦБ РФ на день расчета, увеличенной на 5% от просроченной суммы за каждый день просрочки финансовых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 ру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б.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учетом индексации на накопленный ИПЦ за каждый день нарушения или просрочки; 50000 руб. с учетом индексации на накопленный ИПЦ за каждый день просрочки исполнения обязательства по вводу в эксплуатацию, 30000 руб. с учетом индексации на накопленный ИПЦ за каждый день недостижения плановых значений показателей деятельности; 10000 руб.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учетом индексации на накопленный ИПЦ за каждый день просрочки исполнения обязательств по представлению отчетности; 25000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каждый день просрочки исполнения обязательства по передаче объекта; 15000 руб. с учетом индексации на накопленный ИПЦ за каждый день просрочки исполнения обязательства по предоставления банковских гарантий или обеспечению необходимого страхового покрытия; 10000 руб. с учетом индексации на накопленный ИПЦ за каждый день просрочки исполнения обязательств по достижению финансового закрытия; 50000 руб. с учетом индексации на накопленный ИПЦ за каждый день приостановления/остановки эксплуатации объекта; 50000 руб. с учетом индексации ИПЦ за каждый день просрочки исполнения обязательств по техническому обслуживанию или капитальному ремонту; 25000 руб. с учетом индексации ИПЦ за каждый день просрочки устранения нарушений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134904,4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(на стадии подготовки); 539617,8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(инвестиционная стадия);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134904,4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 эксплуатационной стадии)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12 месяцев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теплоснабжения, находящихся на территории Режевского городского округа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2 400,0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тыс. рублей за каждый день просрочки по неденежным обязательствам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2/365 ключевой ставки ЦБ за каждый день просрочки по денежным обязательствам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тыс. рублей за каждый день просрочки по неденежным обязательствам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2/365 ключевой ставки ЦБ за каждый день просрочки по денежным обязательствам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3,33% от предельного размера расходов на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Создание и реконструкцию Объекта соглашения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исполнения обязательств по созданию объекта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 производству, передаче и распределению тепловой энергии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518,0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размере 1/300 ставки рефинансирования ЦБ РФ от суммы неисполненных обязательства за каждый день просрочки обязательства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размере 1/300 ставки рефинансирования ЦБ РФ от суммы неисполненных обязательства за каждый день просрочки обязательства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45 млн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(2016 г.)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73 млн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(2017 г.)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 декабря 2017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централизованных систем холодного водоснабжения и водоотведения, находящихся в собственности муниципального образования "ГОРОД САРАТОВ"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13 441,5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100 000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рублей/ каждый год действия соглашения, лимит- 450 000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года с даты вступления в силу 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создания и эксплуатации объектов теплоснабжения и централизованных систем горячего водоснабжения, расположенных на территории Сахалинской области № 3.45-2/2023-КС от 18.07.2023г.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14 306,7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0,05% суммы неисполненных денежных обязательств за каждый день просрочки и (или) штраф 75 тыс. рублей за отдельные виды нарушений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от 0,1 до 2 тыс. рублей за каждый день просрочки и (или) штраф 75 тыс. рублей за отдельные виды нарушений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0,05 % Предельного размера расходов на создание - в 1 год соглашения, 1,2% - до даты ввода в эксплуатацию последнего из Элементов, 0,6% - до прекращения соглашения. Концессионер также обязан предоставить Необходимое страховое покрытие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теплоснабжения, расположенных в границах Муниципального образования "городской округ Кашира Московской области"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1 567,7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от ставки ЦБ за каждый день просрочки за неисполнения денежного или неденежного обязательства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1/300 от ставки ЦБ за каждый день просрочки за неисполнения денежного или неденежного обязательства 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банковские гарантии 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10 % от суммы инвестиций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1 000 тыс. рублей по обеспечению услуг по теплоснабжению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до исполнения обязательств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отношении системы коммунальной инфраструктуры (объекты теплоснабжения, тепловые сети, централизованные системы горячего водоснабжения, отдельные объекты таких систем), находящейся в собственности муниципального образования городской округ город-герой Волгоград 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29 573,7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noWrap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200000 тыс. рублей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года с момента предоставления первой 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теплоснабжения. находящихся в муниципальной собственности муниципального образования городской округ город Лангепас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679,8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 с момента предоставления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создания и эксплуатации объектов, на которых осуществляется захоронение твердых коммунальных отходов, расположенных на территории Республики Крым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3 373,9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пени 1/300 от ставки ЦБ за каждый день просрочки исполнени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финансового обязательства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Банковская гарантия или передача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Концеденту в залог прав Концессионера по договору банковского вклада (депозита)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5 % от предельного объема инвестиций до даты получения разрешения на ввод Объекта. После получения разрешения - 1 %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отношении объектов теплоснабжения, расположенных на территории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сельского поселения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1 032,0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1 % от расходов на реконструкцию объекта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создания и эксплуатации объектов, на которых осуществляется сбор, обработка и захоронение твердых коммунальных отходов в Республике Карелия от 01.03.2021 г.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1 452,0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страхование риска ответственности, договор банковского вклада (депозит)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 от размера инвестиций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1 года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Нижневартовск, ООО ″Нижневартовские коммунальные системы″ и Ханты-Мансийским автономным округом - Югрой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6 535,8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тыс. рублей/каждый день просрочки, но не более 0,01%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предельного размера расходов Концессионера за несвоевременную передачу земельных участков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тыс. рублей за недостижение плановых показателей, несоответствия ПСД условиям соглашения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рублей/каждый день просрочки при несвоевременном осуществлении действий по госрегистрации имущества, поддержание объектов соглашения в исправном состоянии, непредоставление банковской гарантии, несвоевременная передача иного имущества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10% от предельного размера расходов на строительства в рамках соглашения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 на территории муниципального образования городского округа – города Новосибирска Новосибирской области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623,4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 до 50 тыс. рублей за нарушение при передаче земли и имущества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150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неисполнение обязательств по созданию объекта и 20 тыс. рублей - за нарушение условий при эксплуатации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5 % от предельного размера расходов на строительства в рамках соглашения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отношении объектов системы теплоснабжения центральной части города Троицка, находящихся в муниципальной собственности 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631,0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размере 1/300 ставки рефинансирования ЦБ РФ от суммы неисполненных обязательства за каждый день просрочки обязательства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размере 1/300 ставки рефинансирования ЦБ РФ от суммы неисполненных обязательства за каждый день просрочки обязательства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10% от суммы обязательств концессионера по его расходам на создание и (или) реконструкция (модернизацию) объекта Соглашения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декабря 2017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создания и реконструкции объектов теплоснабжения Тихвинского городского поселения Тихвинского района Ленинградской области.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6 704,3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100 000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года с момента предоставления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водоснабжения и водоотведения, находящихся в муниципальной собственности муниципального образования городской округ город Лангепас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1 448,2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/ежегодно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года с момента предоставления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создания и последующей эксплуатации отдельных объектов централизованной системы водоотведения муниципального образования "Анивский городской округ" № 3.45-4/2023-КС от 26.12.2023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8 000,3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пени 1/300 от ставки ЦБ за каждый день просрочки исполнения финансового обязательства и 1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 за день просрочки неденежных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пени Концеденту 1/300 от ставки ЦБ за каждый день просрочки исполнения финансового обязательства и 1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 за день просрочки денежных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2 % от предельного объема инвестиций до даты подписания акта о создании объекта. После подписания акта - 0,05 %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Строительство, реконструкция и эксплуатация объектов теплоснабжения, централизованных систем горячего теплоснабжения, отдельных объектов таких систем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984,7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каждый день просрочки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финансовых обязательств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1/300 от ставки ЦБ за каждый день просрочки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иисполнения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финансового обязательства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 за каждый день просрочки нефинансовых обязательств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1/300 от ставки ЦБ за каждый день просрочки исполнения финансового обязательства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5 % от предельного размера расходов на строительства в рамках соглашения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горячего водоснабжения муниципального образования Славянский район Краснодарского края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586,4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1/300 ставки ЦБ РФ от общей суммы предельных расходов, которые предполагается осуществить концессионером за каждый день нарушения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убытков в полной сумме сверх неустойки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ставки ЦБ РФ от общей суммы предельных расходов, которые предполагается осуществить, за каждый день нарушения и убытков в полной сумме сверх неустойки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 от суммы инвестиционных вложений без НДС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год, в котором осуществляется обеспечение исполнения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6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отношении объектов по производству, передаче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 распределению электрической энергии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4 188,6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1 тыс. рублей за неисполнение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E213A6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B42B8A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беспечение исполнения</w:t>
            </w:r>
            <w:r w:rsidR="00B42B8A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концессионного соглашения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Перечисление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средств в размере 1% суммы инвестиций Концессионера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(2,8 тыс. рублей) на счет Концедента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указан (срок действия соглашения)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теплоснабжения Анивского городского округа № 1/23 от 31.08.2023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877,6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пени 1/300 от ставки ЦБ за каждый день просрочки исполнения финансового обязательства и 0,5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 за день просрочки неденежных 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0,001 % за каждый день непредоставления Капительного гранта, начиная с квартала,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следующего за кварталом, в котором не представлен Кап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итальный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грант (если Концессионер не обратился за получением средств Кап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итального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гранта)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0,5 % от размера расходов на создание и реконструкцию объекта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Создание объекта по обработке, утилизации и захоронению твердых коммунальных отходов "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Экотехнопарк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Липецкого района"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2 910,1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неустойка 1/365 от ставки ЦБ за каждый день просрочки исполнения финансового обязательства и 1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 за день просрочки неденежных обязательств. Максимальный размер не может превышать 2 % строительной стоимости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неустойка 1/365 от ставки ЦБ за каждый день просрочки исполнени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финансового обязательства и 1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 за день просрочки неденежных обязательств. Максимальный размер не может превышать 2 % строительной стоимости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Банковская гарантия или Договор страхования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ответственности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1% от предельного объема Инвестиций Концессионера до получения положительного заключения Государственной экспертизы, 3% - до ввода в эксплуатацию части Объекта в рамках Этапа I. Концессионер также обязан предоставить Необходимое страховое покрытие (в зависимости от этапов)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Поэтапно, на 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вода, водоотведение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574,4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5 % от предельного размера расходов на строительства в рамках соглашения за исключением 1 -года (5 000 тыс. рублей)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818,8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каждый день просрочки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обязательств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тыс.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каждый день просрочки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необходимое страховое покрытие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муниципального имущества жизнеобеспечивающих систем муниципального образования "Асиновское городское поселение" от 28.08.2020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1 076,3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ставки ЦБ РФ от суммы неисполненных обязательств за каждый день просрочки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1/300 ставки ЦБ РФ от суммы неисполненных обязательств за каждый день </w:t>
            </w:r>
            <w:r w:rsidR="00E213A6"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просрочки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необходимое страховое покрытие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 установлен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Создание и эксплуатация системы коммунальной инфраструктуры - объектов, используемых для обработки и размещения (захоронения) твердых коммунальных отходов в Тюменской области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от ставки ЦБ а дату окончания срока просрочки за непредоставление субсидии Концессионеру, вынужденный простой по вине Концедента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1/300 от ставки ЦБ на дату окончания срока просрочки за нарушение сроков исполнения обязательств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гарантия/ страхование риска / залог денежных средств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5 %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инвестиций Концессионера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10 % после завершения проектирования и в отношение к каждой из единиц имущества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централизованных систем холодного водоснабжения и водоотведения муниципального образования Тюменский муниципальный район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5 086,1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размер не установлен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10 % от предельного размера расходов на строительства в рамках соглашения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КС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отношении объектов централизованного теплоснабжения. расположенных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Няндомского муниципального округа Архангельской области, находящихся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Няндомского муниципального округа Архангельской области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1 669,2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 тыс.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каждый день просрочки нефинансового обязательства и 1/300 ключевой ставки ЦБ от суммы неисполненного денежного обязательства за каждый день просрочки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0,1 тыс. рублей 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каждый день просрочки нефинансового обязательства и 1/300 ключевой ставки ЦБ от суммы неисполненного денежного обязательства за каждый день просрочки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5% от суммы обязательств по соглашению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 со дня подписания соглашения с последующим ежегодным предоставлением новой банковской гарантии</w:t>
            </w:r>
          </w:p>
        </w:tc>
      </w:tr>
      <w:tr w:rsidR="00E213A6" w:rsidRPr="00E84AFA" w:rsidTr="00E213A6">
        <w:trPr>
          <w:cantSplit/>
          <w:trHeight w:val="397"/>
        </w:trPr>
        <w:tc>
          <w:tcPr>
            <w:tcW w:w="2940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коммунальной инфраструктуры теплоснабжения муниципального образования города Чебоксары – столицы Чувашской Республики</w:t>
            </w:r>
          </w:p>
        </w:tc>
        <w:tc>
          <w:tcPr>
            <w:tcW w:w="1184" w:type="dxa"/>
          </w:tcPr>
          <w:p w:rsidR="00B42B8A" w:rsidRPr="00B42B8A" w:rsidRDefault="00B42B8A" w:rsidP="00B42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9 991,9</w:t>
            </w:r>
          </w:p>
        </w:tc>
        <w:tc>
          <w:tcPr>
            <w:tcW w:w="272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 тыс.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</w:t>
            </w: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случае нарушения сроков исполнения обязательств или 1/300 ставки ЦБ РФ от суммы инвестиций в году, в котором допущено нарушение, уменьшенных на сумму, пропорциональную объему обязательств, предусмотренных соглашением и фактически понесённых</w:t>
            </w:r>
          </w:p>
        </w:tc>
        <w:tc>
          <w:tcPr>
            <w:tcW w:w="3247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1/300 ставки ЦБ РФ за каждый день неисполнения от суммы инвестиций в году, в котором допущено нарушение, уменьшенных на сумму, пропорциональную объему обязательств, предусмотренных соглашением и фактически исполненных в году, в котором допущено нарушение; 1 млн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случае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недостижения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одного или нескольких плановых показателей деятельности</w:t>
            </w:r>
          </w:p>
        </w:tc>
        <w:tc>
          <w:tcPr>
            <w:tcW w:w="1896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безотзывная банковская гарантия</w:t>
            </w:r>
          </w:p>
        </w:tc>
        <w:tc>
          <w:tcPr>
            <w:tcW w:w="2198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5% </w:t>
            </w:r>
            <w:proofErr w:type="spellStart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отт</w:t>
            </w:r>
            <w:proofErr w:type="spellEnd"/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суммы обязательств концессионера по его годовым расходам</w:t>
            </w:r>
          </w:p>
        </w:tc>
        <w:tc>
          <w:tcPr>
            <w:tcW w:w="1544" w:type="dxa"/>
            <w:shd w:val="clear" w:color="auto" w:fill="auto"/>
            <w:hideMark/>
          </w:tcPr>
          <w:p w:rsidR="00B42B8A" w:rsidRPr="00E84AFA" w:rsidRDefault="00B42B8A" w:rsidP="00B42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соглашения</w:t>
            </w:r>
          </w:p>
        </w:tc>
      </w:tr>
    </w:tbl>
    <w:p w:rsidR="00E84AFA" w:rsidRDefault="00E84AFA" w:rsidP="00E84AF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sectPr w:rsidR="00E84AFA" w:rsidSect="00E84AFA">
      <w:pgSz w:w="16817" w:h="11901" w:orient="landscape"/>
      <w:pgMar w:top="851" w:right="1134" w:bottom="170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58" w:rsidRDefault="007C0B58" w:rsidP="001C1888">
      <w:pPr>
        <w:spacing w:after="0" w:line="240" w:lineRule="auto"/>
      </w:pPr>
      <w:r>
        <w:separator/>
      </w:r>
    </w:p>
  </w:endnote>
  <w:endnote w:type="continuationSeparator" w:id="0">
    <w:p w:rsidR="007C0B58" w:rsidRDefault="007C0B58" w:rsidP="001C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58" w:rsidRDefault="007C0B58" w:rsidP="001C1888">
      <w:pPr>
        <w:spacing w:after="0" w:line="240" w:lineRule="auto"/>
      </w:pPr>
      <w:r>
        <w:separator/>
      </w:r>
    </w:p>
  </w:footnote>
  <w:footnote w:type="continuationSeparator" w:id="0">
    <w:p w:rsidR="007C0B58" w:rsidRDefault="007C0B58" w:rsidP="001C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589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4287" w:rsidRPr="00DC13F5" w:rsidRDefault="000D428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13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C13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C13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3C2D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DC13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4287" w:rsidRDefault="000D42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28"/>
    <w:rsid w:val="000173F7"/>
    <w:rsid w:val="00031700"/>
    <w:rsid w:val="000331BE"/>
    <w:rsid w:val="00044EDA"/>
    <w:rsid w:val="00051E45"/>
    <w:rsid w:val="0006223B"/>
    <w:rsid w:val="0009600E"/>
    <w:rsid w:val="000C1FF0"/>
    <w:rsid w:val="000D2580"/>
    <w:rsid w:val="000D4287"/>
    <w:rsid w:val="000D774B"/>
    <w:rsid w:val="000E2CCF"/>
    <w:rsid w:val="0010460B"/>
    <w:rsid w:val="001202B5"/>
    <w:rsid w:val="001408E9"/>
    <w:rsid w:val="00155C22"/>
    <w:rsid w:val="00164991"/>
    <w:rsid w:val="001A27FF"/>
    <w:rsid w:val="001B719A"/>
    <w:rsid w:val="001C1888"/>
    <w:rsid w:val="001C1EC9"/>
    <w:rsid w:val="001C49E2"/>
    <w:rsid w:val="001E2599"/>
    <w:rsid w:val="001F29F9"/>
    <w:rsid w:val="00211659"/>
    <w:rsid w:val="002148B8"/>
    <w:rsid w:val="00230D1E"/>
    <w:rsid w:val="002379B4"/>
    <w:rsid w:val="00294393"/>
    <w:rsid w:val="002C085B"/>
    <w:rsid w:val="002C7069"/>
    <w:rsid w:val="002F1509"/>
    <w:rsid w:val="003767FA"/>
    <w:rsid w:val="003846CA"/>
    <w:rsid w:val="00384CDB"/>
    <w:rsid w:val="00392CEA"/>
    <w:rsid w:val="003B2F74"/>
    <w:rsid w:val="003C3416"/>
    <w:rsid w:val="00420077"/>
    <w:rsid w:val="004503D5"/>
    <w:rsid w:val="00456028"/>
    <w:rsid w:val="0046043A"/>
    <w:rsid w:val="0046271B"/>
    <w:rsid w:val="00465076"/>
    <w:rsid w:val="00473E47"/>
    <w:rsid w:val="00486501"/>
    <w:rsid w:val="00497B00"/>
    <w:rsid w:val="004A7CFF"/>
    <w:rsid w:val="004D380F"/>
    <w:rsid w:val="004D4DDF"/>
    <w:rsid w:val="004E22DF"/>
    <w:rsid w:val="004E3AB4"/>
    <w:rsid w:val="004E4D73"/>
    <w:rsid w:val="004E5B8C"/>
    <w:rsid w:val="00515562"/>
    <w:rsid w:val="00526C2F"/>
    <w:rsid w:val="00535208"/>
    <w:rsid w:val="00577B2C"/>
    <w:rsid w:val="005C0239"/>
    <w:rsid w:val="005D0AA0"/>
    <w:rsid w:val="006269EC"/>
    <w:rsid w:val="006560EE"/>
    <w:rsid w:val="0067328A"/>
    <w:rsid w:val="00682814"/>
    <w:rsid w:val="006A1CC7"/>
    <w:rsid w:val="006A74CA"/>
    <w:rsid w:val="006B1CC6"/>
    <w:rsid w:val="006B7796"/>
    <w:rsid w:val="006D2247"/>
    <w:rsid w:val="00723721"/>
    <w:rsid w:val="00723833"/>
    <w:rsid w:val="0073295F"/>
    <w:rsid w:val="00742363"/>
    <w:rsid w:val="007472CC"/>
    <w:rsid w:val="00771F28"/>
    <w:rsid w:val="0077380C"/>
    <w:rsid w:val="007A07B0"/>
    <w:rsid w:val="007B6DA1"/>
    <w:rsid w:val="007C0B58"/>
    <w:rsid w:val="007D5E6C"/>
    <w:rsid w:val="007F5050"/>
    <w:rsid w:val="00812A5A"/>
    <w:rsid w:val="00825890"/>
    <w:rsid w:val="00861D01"/>
    <w:rsid w:val="00863DBF"/>
    <w:rsid w:val="00871C20"/>
    <w:rsid w:val="00873A4F"/>
    <w:rsid w:val="008A7080"/>
    <w:rsid w:val="008B3FB4"/>
    <w:rsid w:val="008B6F28"/>
    <w:rsid w:val="008C4837"/>
    <w:rsid w:val="008D72E2"/>
    <w:rsid w:val="008E51EB"/>
    <w:rsid w:val="008E7652"/>
    <w:rsid w:val="009061C4"/>
    <w:rsid w:val="00922063"/>
    <w:rsid w:val="00924240"/>
    <w:rsid w:val="00927CA3"/>
    <w:rsid w:val="00932DD4"/>
    <w:rsid w:val="00953C2D"/>
    <w:rsid w:val="00995D62"/>
    <w:rsid w:val="009A020B"/>
    <w:rsid w:val="009A7024"/>
    <w:rsid w:val="009A74A2"/>
    <w:rsid w:val="009D06BE"/>
    <w:rsid w:val="009D4ACA"/>
    <w:rsid w:val="009D5F1D"/>
    <w:rsid w:val="009E2831"/>
    <w:rsid w:val="009E632A"/>
    <w:rsid w:val="00A35086"/>
    <w:rsid w:val="00A46B56"/>
    <w:rsid w:val="00A55B96"/>
    <w:rsid w:val="00A672E6"/>
    <w:rsid w:val="00A72D06"/>
    <w:rsid w:val="00A73B23"/>
    <w:rsid w:val="00A8185E"/>
    <w:rsid w:val="00A8598F"/>
    <w:rsid w:val="00AF09BB"/>
    <w:rsid w:val="00AF1E05"/>
    <w:rsid w:val="00B16CD0"/>
    <w:rsid w:val="00B42B8A"/>
    <w:rsid w:val="00B67C44"/>
    <w:rsid w:val="00B861A0"/>
    <w:rsid w:val="00B9578A"/>
    <w:rsid w:val="00BA18EC"/>
    <w:rsid w:val="00BA72BB"/>
    <w:rsid w:val="00BB45B7"/>
    <w:rsid w:val="00BB72C6"/>
    <w:rsid w:val="00BC7E71"/>
    <w:rsid w:val="00C016F7"/>
    <w:rsid w:val="00C01C6B"/>
    <w:rsid w:val="00C03B2B"/>
    <w:rsid w:val="00C058E4"/>
    <w:rsid w:val="00C22577"/>
    <w:rsid w:val="00C248B5"/>
    <w:rsid w:val="00C2755B"/>
    <w:rsid w:val="00C459C5"/>
    <w:rsid w:val="00C47BE7"/>
    <w:rsid w:val="00C47D42"/>
    <w:rsid w:val="00C65300"/>
    <w:rsid w:val="00C82665"/>
    <w:rsid w:val="00C95F0D"/>
    <w:rsid w:val="00CD038F"/>
    <w:rsid w:val="00CE3DF4"/>
    <w:rsid w:val="00D07CB3"/>
    <w:rsid w:val="00D50F1E"/>
    <w:rsid w:val="00D8630B"/>
    <w:rsid w:val="00DA5D52"/>
    <w:rsid w:val="00DA7719"/>
    <w:rsid w:val="00DB68A2"/>
    <w:rsid w:val="00DC13F5"/>
    <w:rsid w:val="00DC6A10"/>
    <w:rsid w:val="00DE047D"/>
    <w:rsid w:val="00DE0EC4"/>
    <w:rsid w:val="00DF2DCD"/>
    <w:rsid w:val="00DF6AAD"/>
    <w:rsid w:val="00E01A06"/>
    <w:rsid w:val="00E11E89"/>
    <w:rsid w:val="00E213A6"/>
    <w:rsid w:val="00E30211"/>
    <w:rsid w:val="00E37250"/>
    <w:rsid w:val="00E56B50"/>
    <w:rsid w:val="00E63041"/>
    <w:rsid w:val="00E67BA9"/>
    <w:rsid w:val="00E8047D"/>
    <w:rsid w:val="00E84AFA"/>
    <w:rsid w:val="00E96FAE"/>
    <w:rsid w:val="00EB1A09"/>
    <w:rsid w:val="00EE4F88"/>
    <w:rsid w:val="00EE5855"/>
    <w:rsid w:val="00F11DB3"/>
    <w:rsid w:val="00F25823"/>
    <w:rsid w:val="00F31807"/>
    <w:rsid w:val="00F4047C"/>
    <w:rsid w:val="00F64778"/>
    <w:rsid w:val="00F74ECD"/>
    <w:rsid w:val="00F9102B"/>
    <w:rsid w:val="00F929FF"/>
    <w:rsid w:val="00F92D34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1C18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C188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1888"/>
    <w:rPr>
      <w:vertAlign w:val="superscript"/>
    </w:rPr>
  </w:style>
  <w:style w:type="paragraph" w:styleId="a7">
    <w:name w:val="List Paragraph"/>
    <w:basedOn w:val="a"/>
    <w:uiPriority w:val="34"/>
    <w:qFormat/>
    <w:rsid w:val="007D5E6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3F5"/>
  </w:style>
  <w:style w:type="paragraph" w:styleId="aa">
    <w:name w:val="footer"/>
    <w:basedOn w:val="a"/>
    <w:link w:val="ab"/>
    <w:uiPriority w:val="99"/>
    <w:unhideWhenUsed/>
    <w:rsid w:val="00D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3F5"/>
  </w:style>
  <w:style w:type="paragraph" w:styleId="ac">
    <w:name w:val="Balloon Text"/>
    <w:basedOn w:val="a"/>
    <w:link w:val="ad"/>
    <w:uiPriority w:val="99"/>
    <w:semiHidden/>
    <w:unhideWhenUsed/>
    <w:rsid w:val="0095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3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1C18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C188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1888"/>
    <w:rPr>
      <w:vertAlign w:val="superscript"/>
    </w:rPr>
  </w:style>
  <w:style w:type="paragraph" w:styleId="a7">
    <w:name w:val="List Paragraph"/>
    <w:basedOn w:val="a"/>
    <w:uiPriority w:val="34"/>
    <w:qFormat/>
    <w:rsid w:val="007D5E6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3F5"/>
  </w:style>
  <w:style w:type="paragraph" w:styleId="aa">
    <w:name w:val="footer"/>
    <w:basedOn w:val="a"/>
    <w:link w:val="ab"/>
    <w:uiPriority w:val="99"/>
    <w:unhideWhenUsed/>
    <w:rsid w:val="00D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3F5"/>
  </w:style>
  <w:style w:type="paragraph" w:styleId="ac">
    <w:name w:val="Balloon Text"/>
    <w:basedOn w:val="a"/>
    <w:link w:val="ad"/>
    <w:uiPriority w:val="99"/>
    <w:semiHidden/>
    <w:unhideWhenUsed/>
    <w:rsid w:val="0095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3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929715934167853E-2"/>
          <c:y val="0.14974792580457641"/>
          <c:w val="0.2099413446592937"/>
          <c:h val="0.69379273899487393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Штрафы концедента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D1-BF45-96EB-11DC7B96A117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D1-BF45-96EB-11DC7B96A117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D1-BF45-96EB-11DC7B96A117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AD1-BF45-96EB-11DC7B96A11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D1-BF45-96EB-11DC7B96A117}"/>
              </c:ext>
            </c:extLst>
          </c:dPt>
          <c:dLbls>
            <c:dLbl>
              <c:idx val="0"/>
              <c:layout>
                <c:manualLayout>
                  <c:x val="3.4277554257789264E-2"/>
                  <c:y val="-0.1140939597315436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AD1-BF45-96EB-11DC7B96A117}"/>
                </c:ext>
              </c:extLst>
            </c:dLbl>
            <c:dLbl>
              <c:idx val="1"/>
              <c:layout>
                <c:manualLayout>
                  <c:x val="3.6965068082443001E-2"/>
                  <c:y val="7.38255033557047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AD1-BF45-96EB-11DC7B96A117}"/>
                </c:ext>
              </c:extLst>
            </c:dLbl>
            <c:dLbl>
              <c:idx val="2"/>
              <c:layout>
                <c:manualLayout>
                  <c:x val="1.8410227904391327E-2"/>
                  <c:y val="0.1073825503355704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AD1-BF45-96EB-11DC7B96A117}"/>
                </c:ext>
              </c:extLst>
            </c:dLbl>
            <c:dLbl>
              <c:idx val="3"/>
              <c:layout>
                <c:manualLayout>
                  <c:x val="-5.1928936898451898E-2"/>
                  <c:y val="3.35570469798657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AD1-BF45-96EB-11DC7B96A117}"/>
                </c:ext>
              </c:extLst>
            </c:dLbl>
            <c:dLbl>
              <c:idx val="4"/>
              <c:layout>
                <c:manualLayout>
                  <c:x val="-4.2245692051139531E-2"/>
                  <c:y val="-7.382550335570471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AD1-BF45-96EB-11DC7B96A11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Размер не установлен</c:v>
                </c:pt>
                <c:pt idx="1">
                  <c:v>Размер установлен как процент от суммы неисполненных обязательств</c:v>
                </c:pt>
                <c:pt idx="2">
                  <c:v>Размер привязан к размеру МРОТ</c:v>
                </c:pt>
                <c:pt idx="3">
                  <c:v>Размер привязан к ключевой ставке Центробанка России</c:v>
                </c:pt>
                <c:pt idx="4">
                  <c:v>Размер задан фиксированными размерами штрафов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2</c:v>
                </c:pt>
                <c:pt idx="2">
                  <c:v>2</c:v>
                </c:pt>
                <c:pt idx="3">
                  <c:v>19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AD1-BF45-96EB-11DC7B96A1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8171122408475568"/>
          <c:y val="0.15924641970089309"/>
          <c:w val="0.71828877591524432"/>
          <c:h val="0.693102573587697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1000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929715934167853E-2"/>
          <c:y val="0.14974792580457641"/>
          <c:w val="0.2099413446592937"/>
          <c:h val="0.69379273899487393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Штрафы концесионера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749-0B4B-A0D5-FA050AB09BCF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749-0B4B-A0D5-FA050AB09BCF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749-0B4B-A0D5-FA050AB09BCF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749-0B4B-A0D5-FA050AB09BC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749-0B4B-A0D5-FA050AB09BCF}"/>
              </c:ext>
            </c:extLst>
          </c:dPt>
          <c:dLbls>
            <c:dLbl>
              <c:idx val="0"/>
              <c:layout>
                <c:manualLayout>
                  <c:x val="3.4277554257789264E-2"/>
                  <c:y val="-0.1140939597315436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749-0B4B-A0D5-FA050AB09BCF}"/>
                </c:ext>
              </c:extLst>
            </c:dLbl>
            <c:dLbl>
              <c:idx val="1"/>
              <c:layout>
                <c:manualLayout>
                  <c:x val="3.6965068082443001E-2"/>
                  <c:y val="7.38255033557047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749-0B4B-A0D5-FA050AB09BCF}"/>
                </c:ext>
              </c:extLst>
            </c:dLbl>
            <c:dLbl>
              <c:idx val="2"/>
              <c:layout>
                <c:manualLayout>
                  <c:x val="1.8410227904391327E-2"/>
                  <c:y val="0.1073825503355704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749-0B4B-A0D5-FA050AB09BCF}"/>
                </c:ext>
              </c:extLst>
            </c:dLbl>
            <c:dLbl>
              <c:idx val="3"/>
              <c:layout>
                <c:manualLayout>
                  <c:x val="-5.1928936898451898E-2"/>
                  <c:y val="3.35570469798657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749-0B4B-A0D5-FA050AB09BCF}"/>
                </c:ext>
              </c:extLst>
            </c:dLbl>
            <c:dLbl>
              <c:idx val="4"/>
              <c:layout>
                <c:manualLayout>
                  <c:x val="-4.2245692051139531E-2"/>
                  <c:y val="-7.382550335570471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749-0B4B-A0D5-FA050AB09BC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Размер не установлен</c:v>
                </c:pt>
                <c:pt idx="1">
                  <c:v>Размер установлен как процент от суммы неисполненных обязательств</c:v>
                </c:pt>
                <c:pt idx="2">
                  <c:v>Размер привязан к размеру МРОТ</c:v>
                </c:pt>
                <c:pt idx="3">
                  <c:v>Размер привязан к ключевой ставке Центробанка России</c:v>
                </c:pt>
                <c:pt idx="4">
                  <c:v>Размер задан фиксированными размерами штрафов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4</c:v>
                </c:pt>
                <c:pt idx="2">
                  <c:v>2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749-0B4B-A0D5-FA050AB09B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8171122408475568"/>
          <c:y val="0.15924641970089309"/>
          <c:w val="0.71828877591524432"/>
          <c:h val="0.693102573587697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1000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929715934167853E-2"/>
          <c:y val="0.14974792580457641"/>
          <c:w val="0.2099413446592937"/>
          <c:h val="0.69379273899487393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Штрафы концесионера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FD-FA45-A504-6D81D9ED76FD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5FD-FA45-A504-6D81D9ED76FD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5FD-FA45-A504-6D81D9ED76FD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5FD-FA45-A504-6D81D9ED76F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5FD-FA45-A504-6D81D9ED76FD}"/>
              </c:ext>
            </c:extLst>
          </c:dPt>
          <c:dLbls>
            <c:dLbl>
              <c:idx val="0"/>
              <c:layout>
                <c:manualLayout>
                  <c:x val="5.6617115590039464E-2"/>
                  <c:y val="4.697986577181208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5FD-FA45-A504-6D81D9ED76FD}"/>
                </c:ext>
              </c:extLst>
            </c:dLbl>
            <c:dLbl>
              <c:idx val="1"/>
              <c:layout>
                <c:manualLayout>
                  <c:x val="-2.802279690668236E-2"/>
                  <c:y val="-9.395973154362416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5FD-FA45-A504-6D81D9ED76FD}"/>
                </c:ext>
              </c:extLst>
            </c:dLbl>
            <c:dLbl>
              <c:idx val="2"/>
              <c:layout>
                <c:manualLayout>
                  <c:x val="-5.9602013598828172E-3"/>
                  <c:y val="-0.1006711409395973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5FD-FA45-A504-6D81D9ED76FD}"/>
                </c:ext>
              </c:extLst>
            </c:dLbl>
            <c:dLbl>
              <c:idx val="3"/>
              <c:layout>
                <c:manualLayout>
                  <c:x val="-5.1928936898451898E-2"/>
                  <c:y val="3.35570469798657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FD-FA45-A504-6D81D9ED76FD}"/>
                </c:ext>
              </c:extLst>
            </c:dLbl>
            <c:dLbl>
              <c:idx val="4"/>
              <c:layout>
                <c:manualLayout>
                  <c:x val="-4.2245692051139531E-2"/>
                  <c:y val="-7.382550335570471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5FD-FA45-A504-6D81D9ED76F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Безотзывная банковская гарантия</c:v>
                </c:pt>
                <c:pt idx="1">
                  <c:v>Безотзывная банковская гарантия или страхование риска ответственности, договор банковского вклада (депозит)</c:v>
                </c:pt>
                <c:pt idx="2">
                  <c:v>страхование риска ответственности, договор банковского вклада (депозит)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43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5FD-FA45-A504-6D81D9ED7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8171122408475568"/>
          <c:y val="0.15924641970089309"/>
          <c:w val="0.71828877591524432"/>
          <c:h val="0.693102573587697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1000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0CF9-5064-4691-96E1-785DA7B8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4430</Words>
  <Characters>25251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 Наталья Александровна</dc:creator>
  <cp:lastModifiedBy>Краснова </cp:lastModifiedBy>
  <cp:revision>5</cp:revision>
  <dcterms:created xsi:type="dcterms:W3CDTF">2025-02-09T16:58:00Z</dcterms:created>
  <dcterms:modified xsi:type="dcterms:W3CDTF">2025-03-06T08:09:00Z</dcterms:modified>
</cp:coreProperties>
</file>