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5E4E" w:rsidRPr="00A91BDC" w:rsidRDefault="00575E4E" w:rsidP="00BE3079">
      <w:pPr>
        <w:pStyle w:val="Default"/>
        <w:ind w:firstLine="709"/>
        <w:jc w:val="right"/>
      </w:pPr>
      <w:r w:rsidRPr="00A91BDC">
        <w:t>Приложение №</w:t>
      </w:r>
      <w:r w:rsidR="0006633E" w:rsidRPr="00A91BDC">
        <w:t> </w:t>
      </w:r>
      <w:r w:rsidR="00D64E82">
        <w:t>2</w:t>
      </w:r>
      <w:r w:rsidR="00E34404">
        <w:t xml:space="preserve"> к отчету</w:t>
      </w:r>
    </w:p>
    <w:p w:rsidR="00575E4E" w:rsidRPr="00A91BDC" w:rsidRDefault="00575E4E" w:rsidP="007C51C2">
      <w:pPr>
        <w:pStyle w:val="Default"/>
        <w:rPr>
          <w:sz w:val="28"/>
          <w:szCs w:val="28"/>
        </w:rPr>
      </w:pPr>
    </w:p>
    <w:p w:rsidR="003D58FA" w:rsidRDefault="003D58FA" w:rsidP="003D58FA">
      <w:pPr>
        <w:jc w:val="center"/>
        <w:rPr>
          <w:rFonts w:ascii="Times New Roman" w:hAnsi="Times New Roman" w:cs="Times New Roman"/>
          <w:b/>
          <w:bCs/>
          <w:sz w:val="24"/>
          <w:szCs w:val="24"/>
        </w:rPr>
      </w:pPr>
      <w:r w:rsidRPr="003D58FA">
        <w:rPr>
          <w:rFonts w:ascii="Times New Roman" w:hAnsi="Times New Roman" w:cs="Times New Roman"/>
          <w:b/>
          <w:bCs/>
          <w:sz w:val="24"/>
          <w:szCs w:val="24"/>
        </w:rPr>
        <w:t>Описание методов сбора и анализа фактических данных и информации для получения доказательств, включая описание ограничений данных и методов их сбора и анализа</w:t>
      </w:r>
    </w:p>
    <w:tbl>
      <w:tblPr>
        <w:tblW w:w="10201" w:type="dxa"/>
        <w:tblLook w:val="04A0" w:firstRow="1" w:lastRow="0" w:firstColumn="1" w:lastColumn="0" w:noHBand="0" w:noVBand="1"/>
      </w:tblPr>
      <w:tblGrid>
        <w:gridCol w:w="3227"/>
        <w:gridCol w:w="4706"/>
        <w:gridCol w:w="2268"/>
      </w:tblGrid>
      <w:tr w:rsidR="00D64E82" w:rsidRPr="00D64E82" w:rsidTr="000F7187">
        <w:trPr>
          <w:trHeight w:val="113"/>
          <w:tblHeader/>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0F72B6" w:rsidRPr="00D64E82" w:rsidRDefault="000F72B6" w:rsidP="005F74E9">
            <w:pPr>
              <w:spacing w:after="0" w:line="240" w:lineRule="auto"/>
              <w:jc w:val="center"/>
              <w:rPr>
                <w:rFonts w:ascii="Times New Roman" w:hAnsi="Times New Roman" w:cs="Times New Roman"/>
                <w:b/>
                <w:bCs/>
                <w:sz w:val="24"/>
                <w:szCs w:val="24"/>
              </w:rPr>
            </w:pPr>
            <w:r w:rsidRPr="00D64E82">
              <w:rPr>
                <w:rFonts w:ascii="Times New Roman" w:hAnsi="Times New Roman" w:cs="Times New Roman"/>
                <w:b/>
                <w:bCs/>
                <w:sz w:val="24"/>
                <w:szCs w:val="24"/>
              </w:rPr>
              <w:t>Вопросы мероприятия</w:t>
            </w:r>
          </w:p>
        </w:tc>
        <w:tc>
          <w:tcPr>
            <w:tcW w:w="4706" w:type="dxa"/>
            <w:tcBorders>
              <w:top w:val="single" w:sz="4" w:space="0" w:color="auto"/>
              <w:left w:val="nil"/>
              <w:bottom w:val="single" w:sz="4" w:space="0" w:color="auto"/>
              <w:right w:val="single" w:sz="4" w:space="0" w:color="auto"/>
            </w:tcBorders>
            <w:shd w:val="clear" w:color="auto" w:fill="auto"/>
            <w:vAlign w:val="center"/>
            <w:hideMark/>
          </w:tcPr>
          <w:p w:rsidR="000F72B6" w:rsidRPr="00D64E82" w:rsidRDefault="000F72B6" w:rsidP="000A7AFA">
            <w:pPr>
              <w:spacing w:after="0" w:line="240" w:lineRule="auto"/>
              <w:jc w:val="center"/>
              <w:rPr>
                <w:rFonts w:ascii="Times New Roman" w:hAnsi="Times New Roman" w:cs="Times New Roman"/>
                <w:b/>
                <w:bCs/>
                <w:sz w:val="24"/>
                <w:szCs w:val="24"/>
              </w:rPr>
            </w:pPr>
            <w:r w:rsidRPr="00D64E82">
              <w:rPr>
                <w:rFonts w:ascii="Times New Roman" w:hAnsi="Times New Roman" w:cs="Times New Roman"/>
                <w:b/>
                <w:bCs/>
                <w:sz w:val="24"/>
                <w:szCs w:val="24"/>
              </w:rPr>
              <w:t>Методы</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0F72B6" w:rsidRPr="00D64E82" w:rsidRDefault="000F72B6" w:rsidP="005F74E9">
            <w:pPr>
              <w:spacing w:after="0" w:line="240" w:lineRule="auto"/>
              <w:ind w:firstLine="369"/>
              <w:jc w:val="center"/>
              <w:rPr>
                <w:rFonts w:ascii="Times New Roman" w:hAnsi="Times New Roman" w:cs="Times New Roman"/>
                <w:b/>
                <w:bCs/>
                <w:sz w:val="24"/>
                <w:szCs w:val="24"/>
              </w:rPr>
            </w:pPr>
            <w:r w:rsidRPr="00D64E82">
              <w:rPr>
                <w:rFonts w:ascii="Times New Roman" w:hAnsi="Times New Roman" w:cs="Times New Roman"/>
                <w:b/>
                <w:bCs/>
                <w:sz w:val="24"/>
                <w:szCs w:val="24"/>
              </w:rPr>
              <w:t>Ограничения</w:t>
            </w:r>
          </w:p>
        </w:tc>
      </w:tr>
      <w:tr w:rsidR="00D64E82" w:rsidRPr="00D64E82" w:rsidTr="00D64E82">
        <w:trPr>
          <w:trHeight w:val="113"/>
        </w:trPr>
        <w:tc>
          <w:tcPr>
            <w:tcW w:w="10201" w:type="dxa"/>
            <w:gridSpan w:val="3"/>
            <w:tcBorders>
              <w:top w:val="single" w:sz="4" w:space="0" w:color="auto"/>
              <w:left w:val="single" w:sz="4" w:space="0" w:color="auto"/>
              <w:bottom w:val="single" w:sz="4" w:space="0" w:color="auto"/>
              <w:right w:val="single" w:sz="4" w:space="0" w:color="auto"/>
            </w:tcBorders>
            <w:shd w:val="clear" w:color="auto" w:fill="DAEEF3" w:themeFill="accent5" w:themeFillTint="33"/>
            <w:vAlign w:val="center"/>
          </w:tcPr>
          <w:p w:rsidR="00DB3D90" w:rsidRPr="00D64E82" w:rsidRDefault="00DB3D90" w:rsidP="00D64E82">
            <w:pPr>
              <w:spacing w:after="0" w:line="240" w:lineRule="auto"/>
              <w:ind w:left="13" w:right="7"/>
              <w:jc w:val="both"/>
              <w:rPr>
                <w:rFonts w:ascii="Times New Roman" w:hAnsi="Times New Roman" w:cs="Times New Roman"/>
                <w:b/>
                <w:bCs/>
                <w:sz w:val="24"/>
                <w:szCs w:val="24"/>
              </w:rPr>
            </w:pPr>
            <w:r w:rsidRPr="00D64E82">
              <w:rPr>
                <w:rFonts w:ascii="Times New Roman" w:eastAsia="Times New Roman" w:hAnsi="Times New Roman"/>
                <w:b/>
                <w:bCs/>
                <w:i/>
                <w:sz w:val="24"/>
                <w:szCs w:val="24"/>
                <w:lang w:eastAsia="ru-RU"/>
              </w:rPr>
              <w:t xml:space="preserve">Цель 1. </w:t>
            </w:r>
            <w:r w:rsidR="00D64E82" w:rsidRPr="00D64E82">
              <w:rPr>
                <w:rFonts w:ascii="Times New Roman" w:eastAsia="Times New Roman" w:hAnsi="Times New Roman"/>
                <w:b/>
                <w:bCs/>
                <w:i/>
                <w:sz w:val="24"/>
                <w:szCs w:val="24"/>
                <w:lang w:eastAsia="ru-RU"/>
              </w:rPr>
              <w:t xml:space="preserve">Оценить эффективность (экономность) использования бюджетных средств на реализацию мероприятий по строительству Севастопольской больницы скорой медицинской помощи (второй этап) </w:t>
            </w:r>
            <w:r w:rsidRPr="00D64E82">
              <w:rPr>
                <w:rFonts w:ascii="Times New Roman" w:eastAsia="Times New Roman" w:hAnsi="Times New Roman"/>
                <w:bCs/>
                <w:i/>
                <w:sz w:val="24"/>
                <w:szCs w:val="24"/>
                <w:lang w:eastAsia="ru-RU"/>
              </w:rPr>
              <w:t xml:space="preserve">(аудит </w:t>
            </w:r>
            <w:r w:rsidR="00D64E82" w:rsidRPr="00D64E82">
              <w:rPr>
                <w:rFonts w:ascii="Times New Roman" w:eastAsia="Times New Roman" w:hAnsi="Times New Roman"/>
                <w:bCs/>
                <w:i/>
                <w:sz w:val="24"/>
                <w:szCs w:val="24"/>
                <w:lang w:eastAsia="ru-RU"/>
              </w:rPr>
              <w:t>эффективности</w:t>
            </w:r>
            <w:r w:rsidRPr="00D64E82">
              <w:rPr>
                <w:rFonts w:ascii="Times New Roman" w:eastAsia="Times New Roman" w:hAnsi="Times New Roman"/>
                <w:bCs/>
                <w:i/>
                <w:sz w:val="24"/>
                <w:szCs w:val="24"/>
                <w:lang w:eastAsia="ru-RU"/>
              </w:rPr>
              <w:t>)</w:t>
            </w:r>
          </w:p>
        </w:tc>
      </w:tr>
      <w:tr w:rsidR="000F7187" w:rsidRPr="00D64E82" w:rsidTr="000F7187">
        <w:trPr>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0F7187" w:rsidRPr="00D64E82" w:rsidRDefault="000F7187" w:rsidP="000F7187">
            <w:pPr>
              <w:spacing w:after="0" w:line="240" w:lineRule="auto"/>
              <w:jc w:val="both"/>
              <w:rPr>
                <w:rFonts w:ascii="Times New Roman" w:hAnsi="Times New Roman" w:cs="Times New Roman"/>
                <w:iCs/>
                <w:sz w:val="24"/>
                <w:szCs w:val="24"/>
              </w:rPr>
            </w:pPr>
            <w:r w:rsidRPr="00D64E82">
              <w:rPr>
                <w:rFonts w:ascii="Times New Roman" w:hAnsi="Times New Roman" w:cs="Times New Roman"/>
                <w:iCs/>
                <w:sz w:val="24"/>
                <w:szCs w:val="24"/>
              </w:rPr>
              <w:t xml:space="preserve">1. </w:t>
            </w:r>
            <w:r w:rsidRPr="00D64E82">
              <w:rPr>
                <w:rFonts w:ascii="Times New Roman" w:hAnsi="Times New Roman" w:cs="Times New Roman"/>
                <w:sz w:val="24"/>
                <w:szCs w:val="24"/>
              </w:rPr>
              <w:t>Оценить достижение запланированных результатов реализации мероприятий по строительству Севастопольской больницы скорой медицинской помощи за счет использования бюджетных средств</w:t>
            </w:r>
            <w:r w:rsidRPr="00D64E82">
              <w:rPr>
                <w:rFonts w:ascii="Times New Roman" w:hAnsi="Times New Roman" w:cs="Times New Roman"/>
                <w:iCs/>
                <w:sz w:val="24"/>
                <w:szCs w:val="24"/>
              </w:rPr>
              <w:t>.</w:t>
            </w:r>
          </w:p>
        </w:tc>
        <w:tc>
          <w:tcPr>
            <w:tcW w:w="4706" w:type="dxa"/>
            <w:tcBorders>
              <w:top w:val="single" w:sz="4" w:space="0" w:color="auto"/>
              <w:left w:val="nil"/>
              <w:bottom w:val="single" w:sz="4" w:space="0" w:color="auto"/>
              <w:right w:val="single" w:sz="4" w:space="0" w:color="auto"/>
            </w:tcBorders>
            <w:shd w:val="clear" w:color="auto" w:fill="auto"/>
            <w:vAlign w:val="center"/>
          </w:tcPr>
          <w:p w:rsidR="000F7187" w:rsidRPr="000F7187" w:rsidRDefault="000F7187" w:rsidP="000F7187">
            <w:pPr>
              <w:spacing w:after="0" w:line="240" w:lineRule="auto"/>
              <w:jc w:val="both"/>
              <w:rPr>
                <w:rFonts w:ascii="Times New Roman" w:hAnsi="Times New Roman" w:cs="Times New Roman"/>
                <w:sz w:val="24"/>
                <w:szCs w:val="24"/>
              </w:rPr>
            </w:pPr>
            <w:r w:rsidRPr="000F7187">
              <w:rPr>
                <w:rFonts w:ascii="Times New Roman" w:hAnsi="Times New Roman" w:cs="Times New Roman"/>
                <w:sz w:val="24"/>
                <w:szCs w:val="24"/>
              </w:rPr>
              <w:t>1. Документальный и сравнительный анализ</w:t>
            </w:r>
            <w:r>
              <w:rPr>
                <w:rFonts w:ascii="Times New Roman" w:hAnsi="Times New Roman" w:cs="Times New Roman"/>
                <w:sz w:val="24"/>
                <w:szCs w:val="24"/>
              </w:rPr>
              <w:t>.</w:t>
            </w:r>
          </w:p>
          <w:p w:rsidR="000F7187" w:rsidRPr="000F7187" w:rsidRDefault="000F7187" w:rsidP="000F7187">
            <w:pPr>
              <w:spacing w:after="0" w:line="240" w:lineRule="auto"/>
              <w:jc w:val="both"/>
              <w:rPr>
                <w:rFonts w:ascii="Times New Roman" w:hAnsi="Times New Roman" w:cs="Times New Roman"/>
                <w:sz w:val="24"/>
                <w:szCs w:val="24"/>
              </w:rPr>
            </w:pPr>
            <w:r w:rsidRPr="000F7187">
              <w:rPr>
                <w:rFonts w:ascii="Times New Roman" w:hAnsi="Times New Roman" w:cs="Times New Roman"/>
                <w:sz w:val="24"/>
                <w:szCs w:val="24"/>
              </w:rPr>
              <w:t>На основании информации, полученной из разных источников (Минстрой России, электронный бюджет (РОКС)) проводилось сравнение плановых величин и фактически достигнутых.</w:t>
            </w:r>
          </w:p>
          <w:p w:rsidR="000F7187" w:rsidRPr="000F7187" w:rsidRDefault="000F7187" w:rsidP="000F7187">
            <w:pPr>
              <w:spacing w:after="0" w:line="240" w:lineRule="auto"/>
              <w:jc w:val="both"/>
              <w:rPr>
                <w:rFonts w:ascii="Times New Roman" w:hAnsi="Times New Roman" w:cs="Times New Roman"/>
                <w:sz w:val="24"/>
                <w:szCs w:val="24"/>
              </w:rPr>
            </w:pPr>
            <w:r w:rsidRPr="000F7187">
              <w:rPr>
                <w:rFonts w:ascii="Times New Roman" w:hAnsi="Times New Roman" w:cs="Times New Roman"/>
                <w:sz w:val="24"/>
                <w:szCs w:val="24"/>
              </w:rPr>
              <w:t>На основании утвержденных нормативных-правовых и правовых актов ГРБС определена потребность в финансировании, проведен сравнительный анализ с фактическими данными (проектная документация, локальные сметы, акты выполненных работ).</w:t>
            </w:r>
          </w:p>
          <w:p w:rsidR="000F7187" w:rsidRPr="00D64E82" w:rsidRDefault="000F7187" w:rsidP="000F7187">
            <w:pPr>
              <w:spacing w:after="0" w:line="240" w:lineRule="auto"/>
              <w:jc w:val="both"/>
              <w:rPr>
                <w:rFonts w:ascii="Times New Roman" w:hAnsi="Times New Roman" w:cs="Times New Roman"/>
                <w:color w:val="FF0000"/>
                <w:sz w:val="24"/>
                <w:szCs w:val="24"/>
              </w:rPr>
            </w:pPr>
            <w:r w:rsidRPr="000F7187">
              <w:rPr>
                <w:rFonts w:ascii="Times New Roman" w:hAnsi="Times New Roman" w:cs="Times New Roman"/>
                <w:sz w:val="24"/>
                <w:szCs w:val="24"/>
              </w:rPr>
              <w:t>2. Анализ данных, опубликованных в электронном бюджете (РОКС) и в ЕИС в сфере закупок.</w:t>
            </w:r>
          </w:p>
        </w:tc>
        <w:tc>
          <w:tcPr>
            <w:tcW w:w="2268" w:type="dxa"/>
            <w:tcBorders>
              <w:top w:val="single" w:sz="4" w:space="0" w:color="auto"/>
              <w:left w:val="nil"/>
              <w:bottom w:val="single" w:sz="4" w:space="0" w:color="auto"/>
              <w:right w:val="single" w:sz="4" w:space="0" w:color="auto"/>
            </w:tcBorders>
            <w:shd w:val="clear" w:color="auto" w:fill="auto"/>
            <w:vAlign w:val="center"/>
          </w:tcPr>
          <w:p w:rsidR="000F7187" w:rsidRPr="00D64E82" w:rsidRDefault="000F7187" w:rsidP="000F7187">
            <w:pPr>
              <w:spacing w:after="0" w:line="240" w:lineRule="auto"/>
              <w:ind w:left="-110"/>
              <w:jc w:val="center"/>
              <w:rPr>
                <w:rFonts w:ascii="Times New Roman" w:hAnsi="Times New Roman" w:cs="Times New Roman"/>
                <w:color w:val="FF0000"/>
                <w:sz w:val="24"/>
                <w:szCs w:val="24"/>
              </w:rPr>
            </w:pPr>
            <w:r w:rsidRPr="009671B0">
              <w:rPr>
                <w:rFonts w:ascii="Times New Roman" w:eastAsia="Times New Roman" w:hAnsi="Times New Roman"/>
                <w:sz w:val="24"/>
                <w:szCs w:val="24"/>
                <w:lang w:eastAsia="ru-RU"/>
              </w:rPr>
              <w:t>Не установлены</w:t>
            </w:r>
          </w:p>
        </w:tc>
      </w:tr>
      <w:tr w:rsidR="005C49E0" w:rsidRPr="00D64E82" w:rsidTr="000F7187">
        <w:trPr>
          <w:trHeight w:val="113"/>
        </w:trPr>
        <w:tc>
          <w:tcPr>
            <w:tcW w:w="3227" w:type="dxa"/>
            <w:tcBorders>
              <w:top w:val="single" w:sz="4" w:space="0" w:color="auto"/>
              <w:left w:val="single" w:sz="4" w:space="0" w:color="auto"/>
              <w:bottom w:val="single" w:sz="4" w:space="0" w:color="auto"/>
              <w:right w:val="single" w:sz="4" w:space="0" w:color="auto"/>
            </w:tcBorders>
            <w:shd w:val="clear" w:color="auto" w:fill="auto"/>
            <w:vAlign w:val="center"/>
          </w:tcPr>
          <w:p w:rsidR="005C49E0" w:rsidRPr="000F7187" w:rsidRDefault="005C49E0" w:rsidP="005C49E0">
            <w:pPr>
              <w:spacing w:after="0" w:line="240" w:lineRule="auto"/>
              <w:jc w:val="both"/>
              <w:rPr>
                <w:rFonts w:ascii="Times New Roman" w:hAnsi="Times New Roman" w:cs="Times New Roman"/>
                <w:sz w:val="24"/>
                <w:szCs w:val="24"/>
              </w:rPr>
            </w:pPr>
            <w:r w:rsidRPr="000F7187">
              <w:rPr>
                <w:rFonts w:ascii="Times New Roman" w:hAnsi="Times New Roman" w:cs="Times New Roman"/>
                <w:sz w:val="24"/>
                <w:szCs w:val="24"/>
              </w:rPr>
              <w:t>2. Оценить использование бюджетных средств, направленных на строительство Севастопольской больницы скорой медицинской помощи, включая экономность.</w:t>
            </w:r>
          </w:p>
        </w:tc>
        <w:tc>
          <w:tcPr>
            <w:tcW w:w="4706" w:type="dxa"/>
            <w:tcBorders>
              <w:top w:val="single" w:sz="4" w:space="0" w:color="auto"/>
              <w:left w:val="nil"/>
              <w:bottom w:val="single" w:sz="4" w:space="0" w:color="auto"/>
              <w:right w:val="single" w:sz="4" w:space="0" w:color="auto"/>
            </w:tcBorders>
            <w:shd w:val="clear" w:color="auto" w:fill="auto"/>
            <w:vAlign w:val="center"/>
          </w:tcPr>
          <w:p w:rsidR="005C49E0" w:rsidRPr="000F7187" w:rsidRDefault="005C49E0" w:rsidP="005C49E0">
            <w:pPr>
              <w:spacing w:after="0" w:line="240" w:lineRule="auto"/>
              <w:jc w:val="both"/>
              <w:rPr>
                <w:rFonts w:ascii="Times New Roman" w:eastAsia="Times New Roman" w:hAnsi="Times New Roman"/>
                <w:sz w:val="24"/>
                <w:szCs w:val="24"/>
                <w:lang w:eastAsia="ru-RU"/>
              </w:rPr>
            </w:pPr>
            <w:r w:rsidRPr="000F7187">
              <w:rPr>
                <w:rFonts w:ascii="Times New Roman" w:eastAsia="Times New Roman" w:hAnsi="Times New Roman"/>
                <w:sz w:val="24"/>
                <w:szCs w:val="24"/>
                <w:lang w:eastAsia="ru-RU"/>
              </w:rPr>
              <w:t>1. Докуме</w:t>
            </w:r>
            <w:r w:rsidR="000F7187">
              <w:rPr>
                <w:rFonts w:ascii="Times New Roman" w:eastAsia="Times New Roman" w:hAnsi="Times New Roman"/>
                <w:sz w:val="24"/>
                <w:szCs w:val="24"/>
                <w:lang w:eastAsia="ru-RU"/>
              </w:rPr>
              <w:t>нтальный и сравнительный анализ</w:t>
            </w:r>
            <w:r w:rsidR="000F7187" w:rsidRPr="000F7187">
              <w:rPr>
                <w:rFonts w:ascii="Times New Roman" w:hAnsi="Times New Roman" w:cs="Times New Roman"/>
                <w:sz w:val="24"/>
                <w:szCs w:val="24"/>
              </w:rPr>
              <w:t>, логический метод. Обследование.</w:t>
            </w:r>
          </w:p>
          <w:p w:rsidR="005C49E0" w:rsidRPr="000F7187" w:rsidRDefault="005C49E0" w:rsidP="005C49E0">
            <w:pPr>
              <w:spacing w:after="0" w:line="240" w:lineRule="auto"/>
              <w:jc w:val="both"/>
              <w:rPr>
                <w:rFonts w:ascii="Times New Roman" w:eastAsia="Times New Roman" w:hAnsi="Times New Roman"/>
                <w:sz w:val="24"/>
                <w:szCs w:val="24"/>
                <w:lang w:eastAsia="ru-RU"/>
              </w:rPr>
            </w:pPr>
            <w:r w:rsidRPr="000F7187">
              <w:rPr>
                <w:rFonts w:ascii="Times New Roman" w:eastAsia="Times New Roman" w:hAnsi="Times New Roman"/>
                <w:sz w:val="24"/>
                <w:szCs w:val="24"/>
                <w:lang w:eastAsia="ru-RU"/>
              </w:rPr>
              <w:t xml:space="preserve">Проведено сравнение первоначальных объемов, выделенных на </w:t>
            </w:r>
            <w:r w:rsidR="000F7187" w:rsidRPr="000F7187">
              <w:rPr>
                <w:rFonts w:ascii="Times New Roman" w:eastAsia="Times New Roman" w:hAnsi="Times New Roman"/>
                <w:sz w:val="24"/>
                <w:szCs w:val="24"/>
                <w:lang w:eastAsia="ru-RU"/>
              </w:rPr>
              <w:t>строительство Объекта</w:t>
            </w:r>
            <w:r w:rsidRPr="000F7187">
              <w:rPr>
                <w:rFonts w:ascii="Times New Roman" w:eastAsia="Times New Roman" w:hAnsi="Times New Roman"/>
                <w:sz w:val="24"/>
                <w:szCs w:val="24"/>
                <w:lang w:eastAsia="ru-RU"/>
              </w:rPr>
              <w:t xml:space="preserve"> и итоговых значений.</w:t>
            </w:r>
          </w:p>
          <w:p w:rsidR="005C49E0" w:rsidRPr="000F7187" w:rsidRDefault="005C49E0" w:rsidP="005C49E0">
            <w:pPr>
              <w:spacing w:after="0" w:line="240" w:lineRule="auto"/>
              <w:jc w:val="both"/>
              <w:rPr>
                <w:rFonts w:ascii="Times New Roman" w:eastAsia="Times New Roman" w:hAnsi="Times New Roman"/>
                <w:sz w:val="24"/>
                <w:szCs w:val="24"/>
                <w:lang w:eastAsia="ru-RU"/>
              </w:rPr>
            </w:pPr>
            <w:r w:rsidRPr="000F7187">
              <w:rPr>
                <w:rFonts w:ascii="Times New Roman" w:eastAsia="Times New Roman" w:hAnsi="Times New Roman"/>
                <w:sz w:val="24"/>
                <w:szCs w:val="24"/>
                <w:lang w:eastAsia="ru-RU"/>
              </w:rPr>
              <w:t>Проведен анализ цен на оборудование в проектной и сметной документации.</w:t>
            </w:r>
          </w:p>
          <w:p w:rsidR="005C49E0" w:rsidRPr="000F7187" w:rsidRDefault="005C49E0" w:rsidP="005C49E0">
            <w:pPr>
              <w:spacing w:after="0" w:line="240" w:lineRule="auto"/>
              <w:jc w:val="both"/>
              <w:rPr>
                <w:rFonts w:ascii="Times New Roman" w:eastAsia="Times New Roman" w:hAnsi="Times New Roman"/>
                <w:sz w:val="24"/>
                <w:szCs w:val="24"/>
                <w:lang w:eastAsia="ru-RU"/>
              </w:rPr>
            </w:pPr>
            <w:r w:rsidRPr="000F7187">
              <w:rPr>
                <w:rFonts w:ascii="Times New Roman" w:eastAsia="Times New Roman" w:hAnsi="Times New Roman"/>
                <w:sz w:val="24"/>
                <w:szCs w:val="24"/>
                <w:lang w:eastAsia="ru-RU"/>
              </w:rPr>
              <w:t>2. Запросы объектам контрольного мероприятия.</w:t>
            </w:r>
          </w:p>
          <w:p w:rsidR="000F7187" w:rsidRPr="000F7187" w:rsidRDefault="000F7187" w:rsidP="005C49E0">
            <w:pPr>
              <w:spacing w:after="0" w:line="240" w:lineRule="auto"/>
              <w:jc w:val="both"/>
              <w:rPr>
                <w:rFonts w:ascii="Times New Roman" w:hAnsi="Times New Roman" w:cs="Times New Roman"/>
                <w:color w:val="FF0000"/>
                <w:sz w:val="24"/>
                <w:szCs w:val="24"/>
              </w:rPr>
            </w:pPr>
            <w:r w:rsidRPr="000F7187">
              <w:rPr>
                <w:rFonts w:ascii="Times New Roman" w:hAnsi="Times New Roman" w:cs="Times New Roman"/>
                <w:sz w:val="24"/>
                <w:szCs w:val="24"/>
              </w:rPr>
              <w:t>3. Проведено обследование на предмет соответствия фактически выполненных работ документации о приемке работ.</w:t>
            </w:r>
          </w:p>
        </w:tc>
        <w:tc>
          <w:tcPr>
            <w:tcW w:w="2268" w:type="dxa"/>
            <w:tcBorders>
              <w:top w:val="single" w:sz="4" w:space="0" w:color="auto"/>
              <w:left w:val="nil"/>
              <w:bottom w:val="single" w:sz="4" w:space="0" w:color="auto"/>
              <w:right w:val="single" w:sz="4" w:space="0" w:color="auto"/>
            </w:tcBorders>
            <w:shd w:val="clear" w:color="auto" w:fill="auto"/>
            <w:vAlign w:val="center"/>
          </w:tcPr>
          <w:p w:rsidR="005C49E0" w:rsidRPr="00A91BDC" w:rsidRDefault="005C49E0" w:rsidP="005C49E0">
            <w:pPr>
              <w:spacing w:after="0" w:line="240" w:lineRule="auto"/>
              <w:ind w:left="-110"/>
              <w:jc w:val="center"/>
              <w:rPr>
                <w:rFonts w:ascii="Times New Roman" w:eastAsia="Times New Roman" w:hAnsi="Times New Roman"/>
                <w:sz w:val="24"/>
                <w:szCs w:val="24"/>
                <w:lang w:eastAsia="ru-RU"/>
              </w:rPr>
            </w:pPr>
            <w:r w:rsidRPr="009671B0">
              <w:rPr>
                <w:rFonts w:ascii="Times New Roman" w:eastAsia="Times New Roman" w:hAnsi="Times New Roman"/>
                <w:sz w:val="24"/>
                <w:szCs w:val="24"/>
                <w:lang w:eastAsia="ru-RU"/>
              </w:rPr>
              <w:t>Не установлены</w:t>
            </w:r>
          </w:p>
        </w:tc>
      </w:tr>
      <w:tr w:rsidR="00D64E82" w:rsidRPr="00D64E82" w:rsidTr="00D64E82">
        <w:trPr>
          <w:trHeight w:val="113"/>
        </w:trPr>
        <w:tc>
          <w:tcPr>
            <w:tcW w:w="10201" w:type="dxa"/>
            <w:gridSpan w:val="3"/>
            <w:tcBorders>
              <w:top w:val="nil"/>
              <w:left w:val="single" w:sz="4" w:space="0" w:color="auto"/>
              <w:bottom w:val="single" w:sz="4" w:space="0" w:color="auto"/>
              <w:right w:val="single" w:sz="4" w:space="0" w:color="auto"/>
            </w:tcBorders>
            <w:shd w:val="clear" w:color="auto" w:fill="DAEEF3" w:themeFill="accent5" w:themeFillTint="33"/>
          </w:tcPr>
          <w:p w:rsidR="00A91BDC" w:rsidRPr="00D64E82" w:rsidRDefault="00A91BDC" w:rsidP="00D64E82">
            <w:pPr>
              <w:spacing w:after="0" w:line="240" w:lineRule="auto"/>
              <w:ind w:left="13" w:right="7"/>
              <w:jc w:val="both"/>
              <w:rPr>
                <w:rFonts w:ascii="Times New Roman" w:hAnsi="Times New Roman" w:cs="Times New Roman"/>
                <w:i/>
                <w:color w:val="FF0000"/>
                <w:sz w:val="24"/>
                <w:szCs w:val="24"/>
              </w:rPr>
            </w:pPr>
            <w:r w:rsidRPr="00D64E82">
              <w:rPr>
                <w:rFonts w:ascii="Times New Roman" w:eastAsia="Times New Roman" w:hAnsi="Times New Roman"/>
                <w:b/>
                <w:bCs/>
                <w:i/>
                <w:sz w:val="24"/>
                <w:szCs w:val="24"/>
                <w:lang w:eastAsia="ru-RU"/>
              </w:rPr>
              <w:t xml:space="preserve">Цель </w:t>
            </w:r>
            <w:r w:rsidR="00C8715C" w:rsidRPr="00D64E82">
              <w:rPr>
                <w:rFonts w:ascii="Times New Roman" w:eastAsia="Times New Roman" w:hAnsi="Times New Roman"/>
                <w:b/>
                <w:bCs/>
                <w:i/>
                <w:sz w:val="24"/>
                <w:szCs w:val="24"/>
                <w:lang w:eastAsia="ru-RU"/>
              </w:rPr>
              <w:t>2</w:t>
            </w:r>
            <w:r w:rsidRPr="00D64E82">
              <w:rPr>
                <w:rFonts w:ascii="Times New Roman" w:eastAsia="Times New Roman" w:hAnsi="Times New Roman"/>
                <w:b/>
                <w:bCs/>
                <w:i/>
                <w:sz w:val="24"/>
                <w:szCs w:val="24"/>
                <w:lang w:eastAsia="ru-RU"/>
              </w:rPr>
              <w:t xml:space="preserve">. </w:t>
            </w:r>
            <w:r w:rsidR="00D64E82" w:rsidRPr="00D64E82">
              <w:rPr>
                <w:rFonts w:ascii="Times New Roman" w:eastAsia="Times New Roman" w:hAnsi="Times New Roman"/>
                <w:b/>
                <w:bCs/>
                <w:i/>
                <w:sz w:val="24"/>
                <w:szCs w:val="24"/>
                <w:lang w:eastAsia="ru-RU"/>
              </w:rPr>
              <w:t xml:space="preserve">Оценить соответствие деятельности государственного казенного учреждения города Севастополя «Единая дирекция капитального строительства» и общества с ограниченной ответственностью «РТ-СоцСтрой», направленной на строительство Севастопольской больницы скорой помощи (второй этап), в том числе на осуществление закупок работ, нормативным правовым актам и иным документам в сфере строительства и закупок, а также поручениям Президента Российской Федерации по строительству Объекта </w:t>
            </w:r>
            <w:r w:rsidR="009671B0" w:rsidRPr="00D64E82">
              <w:rPr>
                <w:rFonts w:ascii="Times New Roman" w:eastAsia="Times New Roman" w:hAnsi="Times New Roman"/>
                <w:bCs/>
                <w:i/>
                <w:sz w:val="20"/>
                <w:szCs w:val="20"/>
                <w:lang w:eastAsia="ru-RU"/>
              </w:rPr>
              <w:t xml:space="preserve">(аудит </w:t>
            </w:r>
            <w:r w:rsidR="00D64E82" w:rsidRPr="00D64E82">
              <w:rPr>
                <w:rFonts w:ascii="Times New Roman" w:eastAsia="Times New Roman" w:hAnsi="Times New Roman"/>
                <w:bCs/>
                <w:i/>
                <w:sz w:val="20"/>
                <w:szCs w:val="20"/>
                <w:lang w:eastAsia="ru-RU"/>
              </w:rPr>
              <w:t>соответствия</w:t>
            </w:r>
            <w:r w:rsidR="009671B0" w:rsidRPr="00D64E82">
              <w:rPr>
                <w:rFonts w:ascii="Times New Roman" w:eastAsia="Times New Roman" w:hAnsi="Times New Roman"/>
                <w:bCs/>
                <w:i/>
                <w:sz w:val="20"/>
                <w:szCs w:val="20"/>
                <w:lang w:eastAsia="ru-RU"/>
              </w:rPr>
              <w:t>)</w:t>
            </w:r>
          </w:p>
        </w:tc>
      </w:tr>
      <w:tr w:rsidR="003A54D2" w:rsidRPr="00D64E82" w:rsidTr="000F7187">
        <w:trPr>
          <w:trHeight w:val="113"/>
        </w:trPr>
        <w:tc>
          <w:tcPr>
            <w:tcW w:w="3227" w:type="dxa"/>
            <w:tcBorders>
              <w:top w:val="nil"/>
              <w:left w:val="single" w:sz="4" w:space="0" w:color="auto"/>
              <w:bottom w:val="single" w:sz="4" w:space="0" w:color="auto"/>
              <w:right w:val="single" w:sz="4" w:space="0" w:color="auto"/>
            </w:tcBorders>
            <w:shd w:val="clear" w:color="auto" w:fill="auto"/>
          </w:tcPr>
          <w:p w:rsidR="003A54D2" w:rsidRPr="00D64E82" w:rsidRDefault="003A54D2" w:rsidP="003A54D2">
            <w:pPr>
              <w:spacing w:after="0" w:line="240" w:lineRule="auto"/>
              <w:jc w:val="both"/>
              <w:rPr>
                <w:rFonts w:ascii="Times New Roman" w:hAnsi="Times New Roman" w:cs="Times New Roman"/>
                <w:color w:val="FF0000"/>
                <w:sz w:val="24"/>
                <w:szCs w:val="24"/>
              </w:rPr>
            </w:pPr>
            <w:r w:rsidRPr="00D64E82">
              <w:rPr>
                <w:rFonts w:ascii="Times New Roman" w:hAnsi="Times New Roman" w:cs="Times New Roman"/>
                <w:sz w:val="24"/>
                <w:szCs w:val="24"/>
              </w:rPr>
              <w:t xml:space="preserve">1. Проанализировать соответствие правоустанавливающих документов на земельные участки для строительства Объекта требованиям земельного и </w:t>
            </w:r>
            <w:r w:rsidRPr="00D64E82">
              <w:rPr>
                <w:rFonts w:ascii="Times New Roman" w:hAnsi="Times New Roman" w:cs="Times New Roman"/>
                <w:sz w:val="24"/>
                <w:szCs w:val="24"/>
              </w:rPr>
              <w:lastRenderedPageBreak/>
              <w:t>градостроительного законодательства.</w:t>
            </w:r>
          </w:p>
        </w:tc>
        <w:tc>
          <w:tcPr>
            <w:tcW w:w="4706" w:type="dxa"/>
            <w:tcBorders>
              <w:top w:val="nil"/>
              <w:left w:val="nil"/>
              <w:bottom w:val="single" w:sz="4" w:space="0" w:color="auto"/>
              <w:right w:val="single" w:sz="4" w:space="0" w:color="auto"/>
            </w:tcBorders>
            <w:shd w:val="clear" w:color="auto" w:fill="auto"/>
            <w:vAlign w:val="center"/>
          </w:tcPr>
          <w:p w:rsidR="003A54D2" w:rsidRDefault="003A54D2" w:rsidP="003A54D2">
            <w:pPr>
              <w:spacing w:after="0" w:line="240" w:lineRule="auto"/>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lastRenderedPageBreak/>
              <w:t xml:space="preserve">Документальный </w:t>
            </w:r>
            <w:r w:rsidR="000F7187">
              <w:rPr>
                <w:rFonts w:ascii="Times New Roman" w:eastAsia="Times New Roman" w:hAnsi="Times New Roman"/>
                <w:sz w:val="24"/>
                <w:szCs w:val="24"/>
                <w:lang w:eastAsia="ru-RU"/>
              </w:rPr>
              <w:t>анализ</w:t>
            </w:r>
            <w:r>
              <w:rPr>
                <w:rFonts w:ascii="Times New Roman" w:eastAsia="Times New Roman" w:hAnsi="Times New Roman"/>
                <w:sz w:val="24"/>
                <w:szCs w:val="24"/>
                <w:lang w:eastAsia="ru-RU"/>
              </w:rPr>
              <w:t>.</w:t>
            </w:r>
          </w:p>
          <w:p w:rsidR="003A54D2" w:rsidRPr="00A91BDC" w:rsidRDefault="003A54D2" w:rsidP="003A54D2">
            <w:pPr>
              <w:spacing w:after="0" w:line="240" w:lineRule="auto"/>
              <w:jc w:val="both"/>
              <w:rPr>
                <w:rFonts w:ascii="Times New Roman" w:hAnsi="Times New Roman" w:cs="Times New Roman"/>
                <w:b/>
                <w:bCs/>
                <w:sz w:val="24"/>
                <w:szCs w:val="24"/>
              </w:rPr>
            </w:pPr>
            <w:r>
              <w:rPr>
                <w:rFonts w:ascii="Times New Roman" w:eastAsia="Times New Roman" w:hAnsi="Times New Roman"/>
                <w:sz w:val="24"/>
                <w:szCs w:val="24"/>
                <w:lang w:eastAsia="ru-RU"/>
              </w:rPr>
              <w:t xml:space="preserve">Анализировались правоустанавливающие документы на соответствие их Градостроительному и Земельному кодексу. </w:t>
            </w:r>
          </w:p>
        </w:tc>
        <w:tc>
          <w:tcPr>
            <w:tcW w:w="2268" w:type="dxa"/>
            <w:tcBorders>
              <w:top w:val="nil"/>
              <w:left w:val="nil"/>
              <w:bottom w:val="single" w:sz="4" w:space="0" w:color="auto"/>
              <w:right w:val="single" w:sz="4" w:space="0" w:color="auto"/>
            </w:tcBorders>
            <w:shd w:val="clear" w:color="auto" w:fill="auto"/>
            <w:vAlign w:val="center"/>
          </w:tcPr>
          <w:p w:rsidR="003A54D2" w:rsidRPr="00A91BDC" w:rsidRDefault="003A54D2" w:rsidP="003C2780">
            <w:pPr>
              <w:spacing w:after="0" w:line="240" w:lineRule="auto"/>
              <w:jc w:val="center"/>
              <w:rPr>
                <w:rFonts w:ascii="Times New Roman" w:hAnsi="Times New Roman" w:cs="Times New Roman"/>
                <w:b/>
                <w:bCs/>
                <w:sz w:val="24"/>
                <w:szCs w:val="24"/>
              </w:rPr>
            </w:pPr>
            <w:r w:rsidRPr="009671B0">
              <w:rPr>
                <w:rFonts w:ascii="Times New Roman" w:eastAsia="Times New Roman" w:hAnsi="Times New Roman"/>
                <w:sz w:val="24"/>
                <w:szCs w:val="24"/>
                <w:lang w:eastAsia="ru-RU"/>
              </w:rPr>
              <w:t>Не установлены</w:t>
            </w:r>
          </w:p>
        </w:tc>
      </w:tr>
      <w:tr w:rsidR="003A54D2" w:rsidRPr="00D64E82" w:rsidTr="000F7187">
        <w:trPr>
          <w:trHeight w:val="113"/>
        </w:trPr>
        <w:tc>
          <w:tcPr>
            <w:tcW w:w="3227" w:type="dxa"/>
            <w:tcBorders>
              <w:top w:val="nil"/>
              <w:left w:val="single" w:sz="4" w:space="0" w:color="auto"/>
              <w:bottom w:val="single" w:sz="4" w:space="0" w:color="auto"/>
              <w:right w:val="single" w:sz="4" w:space="0" w:color="auto"/>
            </w:tcBorders>
            <w:shd w:val="clear" w:color="auto" w:fill="auto"/>
          </w:tcPr>
          <w:p w:rsidR="003A54D2" w:rsidRPr="00D64E82" w:rsidRDefault="003A54D2" w:rsidP="003A54D2">
            <w:pPr>
              <w:spacing w:after="0" w:line="240" w:lineRule="auto"/>
              <w:jc w:val="both"/>
              <w:rPr>
                <w:rFonts w:ascii="Times New Roman" w:hAnsi="Times New Roman" w:cs="Times New Roman"/>
                <w:color w:val="FF0000"/>
                <w:sz w:val="24"/>
                <w:szCs w:val="24"/>
              </w:rPr>
            </w:pPr>
            <w:r w:rsidRPr="00D64E82">
              <w:rPr>
                <w:rFonts w:ascii="Times New Roman" w:hAnsi="Times New Roman" w:cs="Times New Roman"/>
                <w:sz w:val="24"/>
                <w:szCs w:val="24"/>
              </w:rPr>
              <w:lastRenderedPageBreak/>
              <w:t>2. Проанализировать соблюдение требований Градостроительного кодекса Российской Федерации при строительстве Объекта.</w:t>
            </w:r>
          </w:p>
        </w:tc>
        <w:tc>
          <w:tcPr>
            <w:tcW w:w="4706" w:type="dxa"/>
            <w:tcBorders>
              <w:top w:val="nil"/>
              <w:left w:val="nil"/>
              <w:bottom w:val="single" w:sz="4" w:space="0" w:color="auto"/>
              <w:right w:val="single" w:sz="4" w:space="0" w:color="auto"/>
            </w:tcBorders>
            <w:shd w:val="clear" w:color="auto" w:fill="auto"/>
            <w:vAlign w:val="center"/>
          </w:tcPr>
          <w:p w:rsidR="007317A9" w:rsidRPr="007317A9" w:rsidRDefault="007317A9" w:rsidP="007317A9">
            <w:pPr>
              <w:pStyle w:val="ad"/>
              <w:spacing w:after="0" w:line="240" w:lineRule="auto"/>
              <w:ind w:left="31"/>
              <w:jc w:val="both"/>
              <w:rPr>
                <w:rFonts w:ascii="Times New Roman" w:eastAsia="Times New Roman" w:hAnsi="Times New Roman"/>
                <w:sz w:val="24"/>
                <w:szCs w:val="24"/>
                <w:lang w:eastAsia="ru-RU"/>
              </w:rPr>
            </w:pPr>
            <w:r w:rsidRPr="007317A9">
              <w:rPr>
                <w:rFonts w:ascii="Times New Roman" w:eastAsia="Times New Roman" w:hAnsi="Times New Roman"/>
                <w:sz w:val="24"/>
                <w:szCs w:val="24"/>
                <w:lang w:eastAsia="ru-RU"/>
              </w:rPr>
              <w:t>Документальный и сравнительный анализ.</w:t>
            </w:r>
          </w:p>
          <w:p w:rsidR="003A54D2" w:rsidRPr="007317A9" w:rsidRDefault="007317A9" w:rsidP="007317A9">
            <w:pPr>
              <w:pStyle w:val="ad"/>
              <w:spacing w:after="0" w:line="240" w:lineRule="auto"/>
              <w:ind w:left="31"/>
              <w:jc w:val="both"/>
              <w:rPr>
                <w:rFonts w:ascii="Times New Roman" w:hAnsi="Times New Roman" w:cs="Times New Roman"/>
                <w:bCs/>
                <w:sz w:val="24"/>
                <w:szCs w:val="24"/>
              </w:rPr>
            </w:pPr>
            <w:r w:rsidRPr="007317A9">
              <w:rPr>
                <w:rFonts w:ascii="Times New Roman" w:hAnsi="Times New Roman" w:cs="Times New Roman"/>
                <w:bCs/>
                <w:sz w:val="24"/>
                <w:szCs w:val="24"/>
              </w:rPr>
              <w:t>Проведен анализ соответствия внесенных изменений в проектно-сметную документацию требованиям Градостроительного кодекса Российской Федерации.</w:t>
            </w:r>
          </w:p>
        </w:tc>
        <w:tc>
          <w:tcPr>
            <w:tcW w:w="2268" w:type="dxa"/>
            <w:tcBorders>
              <w:top w:val="nil"/>
              <w:left w:val="nil"/>
              <w:bottom w:val="single" w:sz="4" w:space="0" w:color="auto"/>
              <w:right w:val="single" w:sz="4" w:space="0" w:color="auto"/>
            </w:tcBorders>
            <w:shd w:val="clear" w:color="auto" w:fill="auto"/>
            <w:vAlign w:val="center"/>
          </w:tcPr>
          <w:p w:rsidR="003A54D2" w:rsidRPr="00A91BDC" w:rsidRDefault="003C2780" w:rsidP="003C2780">
            <w:pPr>
              <w:spacing w:after="0" w:line="240" w:lineRule="auto"/>
              <w:jc w:val="center"/>
              <w:rPr>
                <w:rFonts w:ascii="Times New Roman" w:hAnsi="Times New Roman" w:cs="Times New Roman"/>
                <w:b/>
                <w:bCs/>
                <w:sz w:val="24"/>
                <w:szCs w:val="24"/>
              </w:rPr>
            </w:pPr>
            <w:r>
              <w:rPr>
                <w:rFonts w:ascii="Times New Roman" w:eastAsia="Times New Roman" w:hAnsi="Times New Roman"/>
                <w:sz w:val="24"/>
                <w:szCs w:val="24"/>
                <w:lang w:eastAsia="ru-RU"/>
              </w:rPr>
              <w:t>Не установлены</w:t>
            </w:r>
          </w:p>
        </w:tc>
      </w:tr>
      <w:tr w:rsidR="007317A9" w:rsidRPr="00D64E82" w:rsidTr="000F7187">
        <w:trPr>
          <w:trHeight w:val="113"/>
        </w:trPr>
        <w:tc>
          <w:tcPr>
            <w:tcW w:w="3227" w:type="dxa"/>
            <w:tcBorders>
              <w:top w:val="nil"/>
              <w:left w:val="single" w:sz="4" w:space="0" w:color="auto"/>
              <w:bottom w:val="single" w:sz="4" w:space="0" w:color="auto"/>
              <w:right w:val="single" w:sz="4" w:space="0" w:color="auto"/>
            </w:tcBorders>
            <w:shd w:val="clear" w:color="auto" w:fill="auto"/>
          </w:tcPr>
          <w:p w:rsidR="007317A9" w:rsidRPr="00D64E82" w:rsidRDefault="007317A9" w:rsidP="007317A9">
            <w:pPr>
              <w:spacing w:after="0" w:line="240" w:lineRule="auto"/>
              <w:jc w:val="both"/>
              <w:rPr>
                <w:rFonts w:ascii="Times New Roman" w:hAnsi="Times New Roman" w:cs="Times New Roman"/>
                <w:sz w:val="24"/>
                <w:szCs w:val="24"/>
              </w:rPr>
            </w:pPr>
            <w:r>
              <w:rPr>
                <w:rFonts w:ascii="Times New Roman" w:hAnsi="Times New Roman" w:cs="Times New Roman"/>
                <w:sz w:val="24"/>
                <w:szCs w:val="24"/>
              </w:rPr>
              <w:t>3</w:t>
            </w:r>
            <w:r w:rsidRPr="00D64E82">
              <w:rPr>
                <w:rFonts w:ascii="Times New Roman" w:hAnsi="Times New Roman" w:cs="Times New Roman"/>
                <w:sz w:val="24"/>
                <w:szCs w:val="24"/>
              </w:rPr>
              <w:t>. Проверить соблюдение требований законодательства о контрактной системе в сфере закупок товаров, работ, услуг при организации закупок по строительству Объекта.</w:t>
            </w:r>
          </w:p>
        </w:tc>
        <w:tc>
          <w:tcPr>
            <w:tcW w:w="4706" w:type="dxa"/>
            <w:tcBorders>
              <w:top w:val="nil"/>
              <w:left w:val="nil"/>
              <w:bottom w:val="single" w:sz="4" w:space="0" w:color="auto"/>
              <w:right w:val="single" w:sz="4" w:space="0" w:color="auto"/>
            </w:tcBorders>
            <w:shd w:val="clear" w:color="auto" w:fill="auto"/>
            <w:vAlign w:val="center"/>
          </w:tcPr>
          <w:p w:rsidR="007317A9" w:rsidRDefault="007317A9" w:rsidP="007317A9">
            <w:pPr>
              <w:spacing w:after="0" w:line="240" w:lineRule="auto"/>
              <w:jc w:val="both"/>
              <w:rPr>
                <w:rFonts w:ascii="Times New Roman" w:eastAsia="Times New Roman" w:hAnsi="Times New Roman"/>
                <w:sz w:val="24"/>
                <w:szCs w:val="24"/>
                <w:lang w:eastAsia="ru-RU"/>
              </w:rPr>
            </w:pPr>
            <w:r w:rsidRPr="00DB5003">
              <w:rPr>
                <w:rFonts w:ascii="Times New Roman" w:eastAsia="Times New Roman" w:hAnsi="Times New Roman"/>
                <w:sz w:val="24"/>
                <w:szCs w:val="24"/>
                <w:lang w:eastAsia="ru-RU"/>
              </w:rPr>
              <w:t>Документальный и сравнительный анализ.</w:t>
            </w:r>
          </w:p>
          <w:p w:rsidR="007317A9" w:rsidRPr="00E811ED" w:rsidRDefault="007317A9" w:rsidP="007317A9">
            <w:pPr>
              <w:spacing w:after="0" w:line="240" w:lineRule="auto"/>
              <w:jc w:val="both"/>
              <w:rPr>
                <w:rFonts w:ascii="Times New Roman" w:hAnsi="Times New Roman" w:cs="Times New Roman"/>
                <w:bCs/>
                <w:sz w:val="24"/>
                <w:szCs w:val="24"/>
              </w:rPr>
            </w:pPr>
            <w:r w:rsidRPr="00E811ED">
              <w:rPr>
                <w:rFonts w:ascii="Times New Roman" w:hAnsi="Times New Roman" w:cs="Times New Roman"/>
                <w:bCs/>
                <w:sz w:val="24"/>
                <w:szCs w:val="24"/>
              </w:rPr>
              <w:t>Пров</w:t>
            </w:r>
            <w:r>
              <w:rPr>
                <w:rFonts w:ascii="Times New Roman" w:hAnsi="Times New Roman" w:cs="Times New Roman"/>
                <w:bCs/>
                <w:sz w:val="24"/>
                <w:szCs w:val="24"/>
              </w:rPr>
              <w:t>е</w:t>
            </w:r>
            <w:r w:rsidRPr="00E811ED">
              <w:rPr>
                <w:rFonts w:ascii="Times New Roman" w:hAnsi="Times New Roman" w:cs="Times New Roman"/>
                <w:bCs/>
                <w:sz w:val="24"/>
                <w:szCs w:val="24"/>
              </w:rPr>
              <w:t xml:space="preserve">ден </w:t>
            </w:r>
            <w:r>
              <w:rPr>
                <w:rFonts w:ascii="Times New Roman" w:hAnsi="Times New Roman" w:cs="Times New Roman"/>
                <w:bCs/>
                <w:sz w:val="24"/>
                <w:szCs w:val="24"/>
              </w:rPr>
              <w:t>анализ соответствия закупочной деятельности объектов контрольного мероприятия о контрактной  системе в сфере закупок, на основании портала ЕИС в сфере закупок проанализированы регламентные сроки направления документов.</w:t>
            </w:r>
          </w:p>
        </w:tc>
        <w:tc>
          <w:tcPr>
            <w:tcW w:w="2268" w:type="dxa"/>
            <w:tcBorders>
              <w:top w:val="nil"/>
              <w:left w:val="nil"/>
              <w:bottom w:val="single" w:sz="4" w:space="0" w:color="auto"/>
              <w:right w:val="single" w:sz="4" w:space="0" w:color="auto"/>
            </w:tcBorders>
            <w:shd w:val="clear" w:color="auto" w:fill="auto"/>
            <w:vAlign w:val="center"/>
          </w:tcPr>
          <w:p w:rsidR="007317A9" w:rsidRPr="00A91BDC" w:rsidRDefault="007317A9" w:rsidP="003C2780">
            <w:pPr>
              <w:spacing w:after="0" w:line="240" w:lineRule="auto"/>
              <w:jc w:val="center"/>
              <w:rPr>
                <w:rFonts w:ascii="Times New Roman" w:hAnsi="Times New Roman" w:cs="Times New Roman"/>
                <w:b/>
                <w:bCs/>
                <w:sz w:val="24"/>
                <w:szCs w:val="24"/>
              </w:rPr>
            </w:pPr>
            <w:r>
              <w:rPr>
                <w:rFonts w:ascii="Times New Roman" w:eastAsia="Times New Roman" w:hAnsi="Times New Roman"/>
                <w:sz w:val="24"/>
                <w:szCs w:val="24"/>
                <w:lang w:eastAsia="ru-RU"/>
              </w:rPr>
              <w:t xml:space="preserve">Отсутствие </w:t>
            </w:r>
            <w:r w:rsidR="003C2780">
              <w:rPr>
                <w:rFonts w:ascii="Times New Roman" w:eastAsia="Times New Roman" w:hAnsi="Times New Roman"/>
                <w:sz w:val="24"/>
                <w:szCs w:val="24"/>
                <w:lang w:eastAsia="ru-RU"/>
              </w:rPr>
              <w:t>в ЕИС в сфере закупок</w:t>
            </w:r>
            <w:r w:rsidR="003C2780">
              <w:rPr>
                <w:rFonts w:ascii="Times New Roman" w:eastAsia="Times New Roman" w:hAnsi="Times New Roman"/>
                <w:sz w:val="24"/>
                <w:szCs w:val="24"/>
                <w:lang w:eastAsia="ru-RU"/>
              </w:rPr>
              <w:t xml:space="preserve"> </w:t>
            </w:r>
            <w:r>
              <w:rPr>
                <w:rFonts w:ascii="Times New Roman" w:eastAsia="Times New Roman" w:hAnsi="Times New Roman"/>
                <w:sz w:val="24"/>
                <w:szCs w:val="24"/>
                <w:lang w:eastAsia="ru-RU"/>
              </w:rPr>
              <w:t>отдельных документов, подтверждающих выполнение работ</w:t>
            </w:r>
            <w:bookmarkStart w:id="0" w:name="_GoBack"/>
            <w:bookmarkEnd w:id="0"/>
          </w:p>
        </w:tc>
      </w:tr>
    </w:tbl>
    <w:p w:rsidR="008228AE" w:rsidRDefault="008228AE" w:rsidP="007C51C2">
      <w:pPr>
        <w:pStyle w:val="Default"/>
        <w:rPr>
          <w:sz w:val="28"/>
          <w:szCs w:val="28"/>
        </w:rPr>
      </w:pPr>
    </w:p>
    <w:p w:rsidR="00D64E82" w:rsidRDefault="00D64E82" w:rsidP="007C51C2">
      <w:pPr>
        <w:pStyle w:val="Default"/>
        <w:rPr>
          <w:sz w:val="28"/>
          <w:szCs w:val="28"/>
        </w:rPr>
      </w:pPr>
    </w:p>
    <w:sectPr w:rsidR="00D64E82" w:rsidSect="009B05B6">
      <w:headerReference w:type="default" r:id="rId8"/>
      <w:pgSz w:w="11906" w:h="16838"/>
      <w:pgMar w:top="1134" w:right="850" w:bottom="1134" w:left="1276"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561B8" w:rsidRDefault="000561B8" w:rsidP="00575E4E">
      <w:pPr>
        <w:spacing w:after="0" w:line="240" w:lineRule="auto"/>
      </w:pPr>
      <w:r>
        <w:separator/>
      </w:r>
    </w:p>
  </w:endnote>
  <w:endnote w:type="continuationSeparator" w:id="0">
    <w:p w:rsidR="000561B8" w:rsidRDefault="000561B8" w:rsidP="00575E4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561B8" w:rsidRDefault="000561B8" w:rsidP="00575E4E">
      <w:pPr>
        <w:spacing w:after="0" w:line="240" w:lineRule="auto"/>
      </w:pPr>
      <w:r>
        <w:separator/>
      </w:r>
    </w:p>
  </w:footnote>
  <w:footnote w:type="continuationSeparator" w:id="0">
    <w:p w:rsidR="000561B8" w:rsidRDefault="000561B8" w:rsidP="00575E4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0"/>
        <w:szCs w:val="20"/>
      </w:rPr>
      <w:id w:val="-1075667563"/>
      <w:docPartObj>
        <w:docPartGallery w:val="Page Numbers (Top of Page)"/>
        <w:docPartUnique/>
      </w:docPartObj>
    </w:sdtPr>
    <w:sdtEndPr/>
    <w:sdtContent>
      <w:p w:rsidR="00E74941" w:rsidRPr="00BE3079" w:rsidRDefault="00E74941">
        <w:pPr>
          <w:pStyle w:val="a8"/>
          <w:jc w:val="center"/>
          <w:rPr>
            <w:rFonts w:ascii="Times New Roman" w:hAnsi="Times New Roman" w:cs="Times New Roman"/>
            <w:sz w:val="20"/>
            <w:szCs w:val="20"/>
          </w:rPr>
        </w:pPr>
        <w:r w:rsidRPr="00BE3079">
          <w:rPr>
            <w:rFonts w:ascii="Times New Roman" w:hAnsi="Times New Roman" w:cs="Times New Roman"/>
            <w:sz w:val="20"/>
            <w:szCs w:val="20"/>
          </w:rPr>
          <w:fldChar w:fldCharType="begin"/>
        </w:r>
        <w:r w:rsidRPr="00BE3079">
          <w:rPr>
            <w:rFonts w:ascii="Times New Roman" w:hAnsi="Times New Roman" w:cs="Times New Roman"/>
            <w:sz w:val="20"/>
            <w:szCs w:val="20"/>
          </w:rPr>
          <w:instrText>PAGE   \* MERGEFORMAT</w:instrText>
        </w:r>
        <w:r w:rsidRPr="00BE3079">
          <w:rPr>
            <w:rFonts w:ascii="Times New Roman" w:hAnsi="Times New Roman" w:cs="Times New Roman"/>
            <w:sz w:val="20"/>
            <w:szCs w:val="20"/>
          </w:rPr>
          <w:fldChar w:fldCharType="separate"/>
        </w:r>
        <w:r w:rsidR="003C2780">
          <w:rPr>
            <w:rFonts w:ascii="Times New Roman" w:hAnsi="Times New Roman" w:cs="Times New Roman"/>
            <w:noProof/>
            <w:sz w:val="20"/>
            <w:szCs w:val="20"/>
          </w:rPr>
          <w:t>2</w:t>
        </w:r>
        <w:r w:rsidRPr="00BE3079">
          <w:rPr>
            <w:rFonts w:ascii="Times New Roman" w:hAnsi="Times New Roman" w:cs="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04D82"/>
    <w:multiLevelType w:val="hybridMultilevel"/>
    <w:tmpl w:val="FBC8F4DE"/>
    <w:lvl w:ilvl="0" w:tplc="A9B06F58">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 w15:restartNumberingAfterBreak="0">
    <w:nsid w:val="27D256AF"/>
    <w:multiLevelType w:val="hybridMultilevel"/>
    <w:tmpl w:val="4DB8FAD0"/>
    <w:lvl w:ilvl="0" w:tplc="4356A98E">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2" w15:restartNumberingAfterBreak="0">
    <w:nsid w:val="398C70F1"/>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3" w15:restartNumberingAfterBreak="0">
    <w:nsid w:val="3AEF1C15"/>
    <w:multiLevelType w:val="hybridMultilevel"/>
    <w:tmpl w:val="135031C6"/>
    <w:lvl w:ilvl="0" w:tplc="F0905B3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4" w15:restartNumberingAfterBreak="0">
    <w:nsid w:val="3B0C6C0F"/>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5" w15:restartNumberingAfterBreak="0">
    <w:nsid w:val="47432582"/>
    <w:multiLevelType w:val="hybridMultilevel"/>
    <w:tmpl w:val="86200660"/>
    <w:lvl w:ilvl="0" w:tplc="A69E7D1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6" w15:restartNumberingAfterBreak="0">
    <w:nsid w:val="4A1558B6"/>
    <w:multiLevelType w:val="hybridMultilevel"/>
    <w:tmpl w:val="F2C29C1E"/>
    <w:lvl w:ilvl="0" w:tplc="02C21D06">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7" w15:restartNumberingAfterBreak="0">
    <w:nsid w:val="50076A30"/>
    <w:multiLevelType w:val="hybridMultilevel"/>
    <w:tmpl w:val="8716D3C0"/>
    <w:lvl w:ilvl="0" w:tplc="46ACBE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15:restartNumberingAfterBreak="0">
    <w:nsid w:val="5091226C"/>
    <w:multiLevelType w:val="hybridMultilevel"/>
    <w:tmpl w:val="DBE0AA04"/>
    <w:lvl w:ilvl="0" w:tplc="8DD00FFE">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9" w15:restartNumberingAfterBreak="0">
    <w:nsid w:val="53A24709"/>
    <w:multiLevelType w:val="hybridMultilevel"/>
    <w:tmpl w:val="4FB0674E"/>
    <w:lvl w:ilvl="0" w:tplc="B87855F6">
      <w:start w:val="1"/>
      <w:numFmt w:val="decimal"/>
      <w:lvlText w:val="%1."/>
      <w:lvlJc w:val="left"/>
      <w:pPr>
        <w:ind w:left="1089" w:hanging="360"/>
      </w:pPr>
      <w:rPr>
        <w:rFonts w:hint="default"/>
      </w:rPr>
    </w:lvl>
    <w:lvl w:ilvl="1" w:tplc="04190019" w:tentative="1">
      <w:start w:val="1"/>
      <w:numFmt w:val="lowerLetter"/>
      <w:lvlText w:val="%2."/>
      <w:lvlJc w:val="left"/>
      <w:pPr>
        <w:ind w:left="1809" w:hanging="360"/>
      </w:pPr>
    </w:lvl>
    <w:lvl w:ilvl="2" w:tplc="0419001B" w:tentative="1">
      <w:start w:val="1"/>
      <w:numFmt w:val="lowerRoman"/>
      <w:lvlText w:val="%3."/>
      <w:lvlJc w:val="right"/>
      <w:pPr>
        <w:ind w:left="2529" w:hanging="180"/>
      </w:pPr>
    </w:lvl>
    <w:lvl w:ilvl="3" w:tplc="0419000F" w:tentative="1">
      <w:start w:val="1"/>
      <w:numFmt w:val="decimal"/>
      <w:lvlText w:val="%4."/>
      <w:lvlJc w:val="left"/>
      <w:pPr>
        <w:ind w:left="3249" w:hanging="360"/>
      </w:pPr>
    </w:lvl>
    <w:lvl w:ilvl="4" w:tplc="04190019" w:tentative="1">
      <w:start w:val="1"/>
      <w:numFmt w:val="lowerLetter"/>
      <w:lvlText w:val="%5."/>
      <w:lvlJc w:val="left"/>
      <w:pPr>
        <w:ind w:left="3969" w:hanging="360"/>
      </w:pPr>
    </w:lvl>
    <w:lvl w:ilvl="5" w:tplc="0419001B" w:tentative="1">
      <w:start w:val="1"/>
      <w:numFmt w:val="lowerRoman"/>
      <w:lvlText w:val="%6."/>
      <w:lvlJc w:val="right"/>
      <w:pPr>
        <w:ind w:left="4689" w:hanging="180"/>
      </w:pPr>
    </w:lvl>
    <w:lvl w:ilvl="6" w:tplc="0419000F" w:tentative="1">
      <w:start w:val="1"/>
      <w:numFmt w:val="decimal"/>
      <w:lvlText w:val="%7."/>
      <w:lvlJc w:val="left"/>
      <w:pPr>
        <w:ind w:left="5409" w:hanging="360"/>
      </w:pPr>
    </w:lvl>
    <w:lvl w:ilvl="7" w:tplc="04190019" w:tentative="1">
      <w:start w:val="1"/>
      <w:numFmt w:val="lowerLetter"/>
      <w:lvlText w:val="%8."/>
      <w:lvlJc w:val="left"/>
      <w:pPr>
        <w:ind w:left="6129" w:hanging="360"/>
      </w:pPr>
    </w:lvl>
    <w:lvl w:ilvl="8" w:tplc="0419001B" w:tentative="1">
      <w:start w:val="1"/>
      <w:numFmt w:val="lowerRoman"/>
      <w:lvlText w:val="%9."/>
      <w:lvlJc w:val="right"/>
      <w:pPr>
        <w:ind w:left="6849" w:hanging="180"/>
      </w:pPr>
    </w:lvl>
  </w:abstractNum>
  <w:abstractNum w:abstractNumId="10" w15:restartNumberingAfterBreak="0">
    <w:nsid w:val="687A5369"/>
    <w:multiLevelType w:val="hybridMultilevel"/>
    <w:tmpl w:val="AF40CA44"/>
    <w:lvl w:ilvl="0" w:tplc="C7744B7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1" w15:restartNumberingAfterBreak="0">
    <w:nsid w:val="6BE04F8F"/>
    <w:multiLevelType w:val="hybridMultilevel"/>
    <w:tmpl w:val="91D64180"/>
    <w:lvl w:ilvl="0" w:tplc="FF5E5322">
      <w:start w:val="1"/>
      <w:numFmt w:val="decimal"/>
      <w:lvlText w:val="%1."/>
      <w:lvlJc w:val="left"/>
      <w:pPr>
        <w:ind w:left="250" w:hanging="360"/>
      </w:pPr>
      <w:rPr>
        <w:rFonts w:hint="default"/>
      </w:rPr>
    </w:lvl>
    <w:lvl w:ilvl="1" w:tplc="04190019" w:tentative="1">
      <w:start w:val="1"/>
      <w:numFmt w:val="lowerLetter"/>
      <w:lvlText w:val="%2."/>
      <w:lvlJc w:val="left"/>
      <w:pPr>
        <w:ind w:left="970" w:hanging="360"/>
      </w:pPr>
    </w:lvl>
    <w:lvl w:ilvl="2" w:tplc="0419001B" w:tentative="1">
      <w:start w:val="1"/>
      <w:numFmt w:val="lowerRoman"/>
      <w:lvlText w:val="%3."/>
      <w:lvlJc w:val="right"/>
      <w:pPr>
        <w:ind w:left="1690" w:hanging="180"/>
      </w:pPr>
    </w:lvl>
    <w:lvl w:ilvl="3" w:tplc="0419000F" w:tentative="1">
      <w:start w:val="1"/>
      <w:numFmt w:val="decimal"/>
      <w:lvlText w:val="%4."/>
      <w:lvlJc w:val="left"/>
      <w:pPr>
        <w:ind w:left="2410" w:hanging="360"/>
      </w:pPr>
    </w:lvl>
    <w:lvl w:ilvl="4" w:tplc="04190019" w:tentative="1">
      <w:start w:val="1"/>
      <w:numFmt w:val="lowerLetter"/>
      <w:lvlText w:val="%5."/>
      <w:lvlJc w:val="left"/>
      <w:pPr>
        <w:ind w:left="3130" w:hanging="360"/>
      </w:pPr>
    </w:lvl>
    <w:lvl w:ilvl="5" w:tplc="0419001B" w:tentative="1">
      <w:start w:val="1"/>
      <w:numFmt w:val="lowerRoman"/>
      <w:lvlText w:val="%6."/>
      <w:lvlJc w:val="right"/>
      <w:pPr>
        <w:ind w:left="3850" w:hanging="180"/>
      </w:pPr>
    </w:lvl>
    <w:lvl w:ilvl="6" w:tplc="0419000F" w:tentative="1">
      <w:start w:val="1"/>
      <w:numFmt w:val="decimal"/>
      <w:lvlText w:val="%7."/>
      <w:lvlJc w:val="left"/>
      <w:pPr>
        <w:ind w:left="4570" w:hanging="360"/>
      </w:pPr>
    </w:lvl>
    <w:lvl w:ilvl="7" w:tplc="04190019" w:tentative="1">
      <w:start w:val="1"/>
      <w:numFmt w:val="lowerLetter"/>
      <w:lvlText w:val="%8."/>
      <w:lvlJc w:val="left"/>
      <w:pPr>
        <w:ind w:left="5290" w:hanging="360"/>
      </w:pPr>
    </w:lvl>
    <w:lvl w:ilvl="8" w:tplc="0419001B" w:tentative="1">
      <w:start w:val="1"/>
      <w:numFmt w:val="lowerRoman"/>
      <w:lvlText w:val="%9."/>
      <w:lvlJc w:val="right"/>
      <w:pPr>
        <w:ind w:left="6010" w:hanging="180"/>
      </w:pPr>
    </w:lvl>
  </w:abstractNum>
  <w:abstractNum w:abstractNumId="12" w15:restartNumberingAfterBreak="0">
    <w:nsid w:val="6C9D182A"/>
    <w:multiLevelType w:val="hybridMultilevel"/>
    <w:tmpl w:val="2676EE40"/>
    <w:lvl w:ilvl="0" w:tplc="F4E6CD6C">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num w:numId="1">
    <w:abstractNumId w:val="7"/>
  </w:num>
  <w:num w:numId="2">
    <w:abstractNumId w:val="9"/>
  </w:num>
  <w:num w:numId="3">
    <w:abstractNumId w:val="2"/>
  </w:num>
  <w:num w:numId="4">
    <w:abstractNumId w:val="12"/>
  </w:num>
  <w:num w:numId="5">
    <w:abstractNumId w:val="4"/>
  </w:num>
  <w:num w:numId="6">
    <w:abstractNumId w:val="1"/>
  </w:num>
  <w:num w:numId="7">
    <w:abstractNumId w:val="0"/>
  </w:num>
  <w:num w:numId="8">
    <w:abstractNumId w:val="6"/>
  </w:num>
  <w:num w:numId="9">
    <w:abstractNumId w:val="11"/>
  </w:num>
  <w:num w:numId="10">
    <w:abstractNumId w:val="3"/>
  </w:num>
  <w:num w:numId="11">
    <w:abstractNumId w:val="5"/>
  </w:num>
  <w:num w:numId="12">
    <w:abstractNumId w:val="10"/>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75E4E"/>
    <w:rsid w:val="00026B33"/>
    <w:rsid w:val="000325BB"/>
    <w:rsid w:val="0004569E"/>
    <w:rsid w:val="000561B8"/>
    <w:rsid w:val="0006633E"/>
    <w:rsid w:val="000947D9"/>
    <w:rsid w:val="00097F26"/>
    <w:rsid w:val="000A7AFA"/>
    <w:rsid w:val="000B1416"/>
    <w:rsid w:val="000C348B"/>
    <w:rsid w:val="000F7187"/>
    <w:rsid w:val="000F72B6"/>
    <w:rsid w:val="00102178"/>
    <w:rsid w:val="0015571C"/>
    <w:rsid w:val="00170D0B"/>
    <w:rsid w:val="00184381"/>
    <w:rsid w:val="001C71F0"/>
    <w:rsid w:val="001E17F0"/>
    <w:rsid w:val="00240224"/>
    <w:rsid w:val="002915F8"/>
    <w:rsid w:val="002C12B0"/>
    <w:rsid w:val="002E269F"/>
    <w:rsid w:val="0034579A"/>
    <w:rsid w:val="003543F8"/>
    <w:rsid w:val="00356291"/>
    <w:rsid w:val="00357896"/>
    <w:rsid w:val="00365F3B"/>
    <w:rsid w:val="00381D6E"/>
    <w:rsid w:val="00384F90"/>
    <w:rsid w:val="003A54D2"/>
    <w:rsid w:val="003B2513"/>
    <w:rsid w:val="003B422D"/>
    <w:rsid w:val="003C2780"/>
    <w:rsid w:val="003D58FA"/>
    <w:rsid w:val="003E76DD"/>
    <w:rsid w:val="00440841"/>
    <w:rsid w:val="004417FC"/>
    <w:rsid w:val="00460B68"/>
    <w:rsid w:val="0049612B"/>
    <w:rsid w:val="004B55CE"/>
    <w:rsid w:val="004C71ED"/>
    <w:rsid w:val="004C7C27"/>
    <w:rsid w:val="00542124"/>
    <w:rsid w:val="00543A2D"/>
    <w:rsid w:val="00543D0B"/>
    <w:rsid w:val="00575E4E"/>
    <w:rsid w:val="00592AB7"/>
    <w:rsid w:val="005A0815"/>
    <w:rsid w:val="005B7D03"/>
    <w:rsid w:val="005C49E0"/>
    <w:rsid w:val="005D2F4C"/>
    <w:rsid w:val="005E236A"/>
    <w:rsid w:val="005F74E9"/>
    <w:rsid w:val="00617923"/>
    <w:rsid w:val="00647A27"/>
    <w:rsid w:val="00664C1E"/>
    <w:rsid w:val="00675E9F"/>
    <w:rsid w:val="006C26C8"/>
    <w:rsid w:val="006C456E"/>
    <w:rsid w:val="006F511B"/>
    <w:rsid w:val="007278BE"/>
    <w:rsid w:val="00730FC3"/>
    <w:rsid w:val="007317A9"/>
    <w:rsid w:val="00770D52"/>
    <w:rsid w:val="00782959"/>
    <w:rsid w:val="00792F07"/>
    <w:rsid w:val="00795E7B"/>
    <w:rsid w:val="007C51C2"/>
    <w:rsid w:val="008156BA"/>
    <w:rsid w:val="008228AE"/>
    <w:rsid w:val="00823E28"/>
    <w:rsid w:val="008502F2"/>
    <w:rsid w:val="00854EBE"/>
    <w:rsid w:val="0086447A"/>
    <w:rsid w:val="008C5438"/>
    <w:rsid w:val="008E48C1"/>
    <w:rsid w:val="00930532"/>
    <w:rsid w:val="009671B0"/>
    <w:rsid w:val="00970BBC"/>
    <w:rsid w:val="00983686"/>
    <w:rsid w:val="00997322"/>
    <w:rsid w:val="009A24C3"/>
    <w:rsid w:val="009B05B6"/>
    <w:rsid w:val="009B64B0"/>
    <w:rsid w:val="009F3B89"/>
    <w:rsid w:val="00A0483B"/>
    <w:rsid w:val="00A460CB"/>
    <w:rsid w:val="00A91BDC"/>
    <w:rsid w:val="00A96CA4"/>
    <w:rsid w:val="00AB3C2D"/>
    <w:rsid w:val="00AC5AF5"/>
    <w:rsid w:val="00AD4D0E"/>
    <w:rsid w:val="00AD524B"/>
    <w:rsid w:val="00AE7382"/>
    <w:rsid w:val="00AF5720"/>
    <w:rsid w:val="00B10954"/>
    <w:rsid w:val="00B5014B"/>
    <w:rsid w:val="00B53FA1"/>
    <w:rsid w:val="00BA4EAA"/>
    <w:rsid w:val="00BD5923"/>
    <w:rsid w:val="00BE3079"/>
    <w:rsid w:val="00C204FD"/>
    <w:rsid w:val="00C43C38"/>
    <w:rsid w:val="00C521DB"/>
    <w:rsid w:val="00C652F9"/>
    <w:rsid w:val="00C8715C"/>
    <w:rsid w:val="00CB018A"/>
    <w:rsid w:val="00CE3AE2"/>
    <w:rsid w:val="00CF6A16"/>
    <w:rsid w:val="00D03B27"/>
    <w:rsid w:val="00D06BB9"/>
    <w:rsid w:val="00D10DB7"/>
    <w:rsid w:val="00D3148C"/>
    <w:rsid w:val="00D64E82"/>
    <w:rsid w:val="00D703A4"/>
    <w:rsid w:val="00DA0202"/>
    <w:rsid w:val="00DB3D90"/>
    <w:rsid w:val="00DB5003"/>
    <w:rsid w:val="00E34404"/>
    <w:rsid w:val="00E52854"/>
    <w:rsid w:val="00E74941"/>
    <w:rsid w:val="00E811ED"/>
    <w:rsid w:val="00E85083"/>
    <w:rsid w:val="00E865AC"/>
    <w:rsid w:val="00E86B75"/>
    <w:rsid w:val="00E90588"/>
    <w:rsid w:val="00EC4D26"/>
    <w:rsid w:val="00ED4255"/>
    <w:rsid w:val="00EE097C"/>
    <w:rsid w:val="00F20CF8"/>
    <w:rsid w:val="00F33425"/>
    <w:rsid w:val="00F4110B"/>
    <w:rsid w:val="00F57F5D"/>
    <w:rsid w:val="00F83F5A"/>
    <w:rsid w:val="00FD1F62"/>
    <w:rsid w:val="00FF323B"/>
    <w:rsid w:val="00FF78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B3DE4E"/>
  <w15:docId w15:val="{4E7EEE14-87A0-406E-BE2C-D63F9BDC32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75E4E"/>
  </w:style>
  <w:style w:type="paragraph" w:styleId="2">
    <w:name w:val="heading 2"/>
    <w:basedOn w:val="a"/>
    <w:next w:val="a"/>
    <w:link w:val="20"/>
    <w:uiPriority w:val="9"/>
    <w:semiHidden/>
    <w:unhideWhenUsed/>
    <w:qFormat/>
    <w:rsid w:val="00DB3D9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DB3D90"/>
    <w:pPr>
      <w:spacing w:after="0" w:line="240" w:lineRule="auto"/>
      <w:jc w:val="center"/>
      <w:outlineLvl w:val="2"/>
    </w:pPr>
    <w:rPr>
      <w:rFonts w:ascii="Times New Roman" w:eastAsia="Times New Roman" w:hAnsi="Times New Roman" w:cs="Times New Roman"/>
      <w:b/>
      <w:snapToGrid w:val="0"/>
      <w:sz w:val="28"/>
      <w:szCs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575E4E"/>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No Spacing"/>
    <w:uiPriority w:val="1"/>
    <w:qFormat/>
    <w:rsid w:val="00575E4E"/>
    <w:pPr>
      <w:spacing w:after="0" w:line="240" w:lineRule="auto"/>
    </w:pPr>
  </w:style>
  <w:style w:type="paragraph" w:styleId="a4">
    <w:name w:val="footnote text"/>
    <w:aliases w:val="Текст сноски Знак2,Текст сноски Знак1 Знак,Текст сноски Знак Знак Знак,Текст сноски Знак Знак Знак Знак Знак,Текст сноски Знак Знак1 Знак,Текст сноски Знак1 Знак Знак Знак,Текст сноски Знак Знак Знак Знак Знак Знак Знак,Текст сноски-FN,-++"/>
    <w:basedOn w:val="a"/>
    <w:link w:val="a5"/>
    <w:uiPriority w:val="99"/>
    <w:unhideWhenUsed/>
    <w:qFormat/>
    <w:rsid w:val="00575E4E"/>
    <w:pPr>
      <w:spacing w:after="0" w:line="240" w:lineRule="auto"/>
    </w:pPr>
    <w:rPr>
      <w:sz w:val="20"/>
      <w:szCs w:val="20"/>
    </w:rPr>
  </w:style>
  <w:style w:type="character" w:customStyle="1" w:styleId="a5">
    <w:name w:val="Текст сноски Знак"/>
    <w:aliases w:val="Текст сноски Знак2 Знак,Текст сноски Знак1 Знак Знак,Текст сноски Знак Знак Знак Знак,Текст сноски Знак Знак Знак Знак Знак Знак,Текст сноски Знак Знак1 Знак Знак,Текст сноски Знак1 Знак Знак Знак Знак,Текст сноски-FN Знак,-++ Знак"/>
    <w:basedOn w:val="a0"/>
    <w:link w:val="a4"/>
    <w:uiPriority w:val="99"/>
    <w:qFormat/>
    <w:rsid w:val="00575E4E"/>
    <w:rPr>
      <w:sz w:val="20"/>
      <w:szCs w:val="20"/>
    </w:rPr>
  </w:style>
  <w:style w:type="character" w:styleId="a6">
    <w:name w:val="footnote reference"/>
    <w:aliases w:val="Знак сноски-FN,Ciae niinee-FN,Знак сноски 1,fr,Used by Word for Help footnote symbols,Referencia nota al pie,SUPERS,Ciae niinee 1,Ссылка на сноску 45,Appel note de bas de page,анкета сноска,Odwołanie przypisu,Odwo³anie przypisu,сноска,Ref,FZ"/>
    <w:basedOn w:val="a0"/>
    <w:uiPriority w:val="99"/>
    <w:unhideWhenUsed/>
    <w:qFormat/>
    <w:rsid w:val="00575E4E"/>
    <w:rPr>
      <w:vertAlign w:val="superscript"/>
    </w:rPr>
  </w:style>
  <w:style w:type="character" w:styleId="a7">
    <w:name w:val="Hyperlink"/>
    <w:basedOn w:val="a0"/>
    <w:uiPriority w:val="99"/>
    <w:unhideWhenUsed/>
    <w:rsid w:val="00A460CB"/>
    <w:rPr>
      <w:color w:val="0000FF" w:themeColor="hyperlink"/>
      <w:u w:val="single"/>
    </w:rPr>
  </w:style>
  <w:style w:type="paragraph" w:styleId="a8">
    <w:name w:val="header"/>
    <w:basedOn w:val="a"/>
    <w:link w:val="a9"/>
    <w:uiPriority w:val="99"/>
    <w:unhideWhenUsed/>
    <w:rsid w:val="00E74941"/>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E74941"/>
  </w:style>
  <w:style w:type="paragraph" w:styleId="aa">
    <w:name w:val="footer"/>
    <w:basedOn w:val="a"/>
    <w:link w:val="ab"/>
    <w:uiPriority w:val="99"/>
    <w:unhideWhenUsed/>
    <w:rsid w:val="00E74941"/>
    <w:pPr>
      <w:tabs>
        <w:tab w:val="center" w:pos="4677"/>
        <w:tab w:val="right" w:pos="9355"/>
      </w:tabs>
      <w:spacing w:after="0" w:line="240" w:lineRule="auto"/>
    </w:pPr>
  </w:style>
  <w:style w:type="character" w:customStyle="1" w:styleId="ab">
    <w:name w:val="Нижний колонтитул Знак"/>
    <w:basedOn w:val="a0"/>
    <w:link w:val="aa"/>
    <w:uiPriority w:val="99"/>
    <w:rsid w:val="00E74941"/>
  </w:style>
  <w:style w:type="character" w:customStyle="1" w:styleId="ac">
    <w:name w:val="Основной текст_"/>
    <w:basedOn w:val="a0"/>
    <w:link w:val="1"/>
    <w:rsid w:val="00B10954"/>
    <w:rPr>
      <w:sz w:val="28"/>
      <w:szCs w:val="28"/>
    </w:rPr>
  </w:style>
  <w:style w:type="paragraph" w:customStyle="1" w:styleId="1">
    <w:name w:val="Основной текст1"/>
    <w:basedOn w:val="a"/>
    <w:link w:val="ac"/>
    <w:rsid w:val="00B10954"/>
    <w:pPr>
      <w:widowControl w:val="0"/>
      <w:spacing w:after="0" w:line="240" w:lineRule="auto"/>
      <w:ind w:firstLine="400"/>
    </w:pPr>
    <w:rPr>
      <w:sz w:val="28"/>
      <w:szCs w:val="28"/>
    </w:rPr>
  </w:style>
  <w:style w:type="paragraph" w:styleId="ad">
    <w:name w:val="List Paragraph"/>
    <w:basedOn w:val="a"/>
    <w:uiPriority w:val="34"/>
    <w:qFormat/>
    <w:rsid w:val="003E76DD"/>
    <w:pPr>
      <w:ind w:left="720"/>
      <w:contextualSpacing/>
    </w:pPr>
  </w:style>
  <w:style w:type="character" w:styleId="ae">
    <w:name w:val="annotation reference"/>
    <w:basedOn w:val="a0"/>
    <w:uiPriority w:val="99"/>
    <w:semiHidden/>
    <w:unhideWhenUsed/>
    <w:rsid w:val="00184381"/>
    <w:rPr>
      <w:sz w:val="16"/>
      <w:szCs w:val="16"/>
    </w:rPr>
  </w:style>
  <w:style w:type="paragraph" w:styleId="af">
    <w:name w:val="annotation text"/>
    <w:basedOn w:val="a"/>
    <w:link w:val="af0"/>
    <w:uiPriority w:val="99"/>
    <w:semiHidden/>
    <w:unhideWhenUsed/>
    <w:rsid w:val="00184381"/>
    <w:pPr>
      <w:spacing w:line="240" w:lineRule="auto"/>
    </w:pPr>
    <w:rPr>
      <w:sz w:val="20"/>
      <w:szCs w:val="20"/>
    </w:rPr>
  </w:style>
  <w:style w:type="character" w:customStyle="1" w:styleId="af0">
    <w:name w:val="Текст примечания Знак"/>
    <w:basedOn w:val="a0"/>
    <w:link w:val="af"/>
    <w:uiPriority w:val="99"/>
    <w:semiHidden/>
    <w:rsid w:val="00184381"/>
    <w:rPr>
      <w:sz w:val="20"/>
      <w:szCs w:val="20"/>
    </w:rPr>
  </w:style>
  <w:style w:type="paragraph" w:styleId="af1">
    <w:name w:val="annotation subject"/>
    <w:basedOn w:val="af"/>
    <w:next w:val="af"/>
    <w:link w:val="af2"/>
    <w:uiPriority w:val="99"/>
    <w:semiHidden/>
    <w:unhideWhenUsed/>
    <w:rsid w:val="00184381"/>
    <w:rPr>
      <w:b/>
      <w:bCs/>
    </w:rPr>
  </w:style>
  <w:style w:type="character" w:customStyle="1" w:styleId="af2">
    <w:name w:val="Тема примечания Знак"/>
    <w:basedOn w:val="af0"/>
    <w:link w:val="af1"/>
    <w:uiPriority w:val="99"/>
    <w:semiHidden/>
    <w:rsid w:val="00184381"/>
    <w:rPr>
      <w:b/>
      <w:bCs/>
      <w:sz w:val="20"/>
      <w:szCs w:val="20"/>
    </w:rPr>
  </w:style>
  <w:style w:type="paragraph" w:styleId="af3">
    <w:name w:val="Balloon Text"/>
    <w:basedOn w:val="a"/>
    <w:link w:val="af4"/>
    <w:uiPriority w:val="99"/>
    <w:semiHidden/>
    <w:unhideWhenUsed/>
    <w:rsid w:val="00184381"/>
    <w:pPr>
      <w:spacing w:after="0" w:line="240" w:lineRule="auto"/>
    </w:pPr>
    <w:rPr>
      <w:rFonts w:ascii="Tahoma" w:hAnsi="Tahoma" w:cs="Tahoma"/>
      <w:sz w:val="16"/>
      <w:szCs w:val="16"/>
    </w:rPr>
  </w:style>
  <w:style w:type="character" w:customStyle="1" w:styleId="af4">
    <w:name w:val="Текст выноски Знак"/>
    <w:basedOn w:val="a0"/>
    <w:link w:val="af3"/>
    <w:uiPriority w:val="99"/>
    <w:semiHidden/>
    <w:rsid w:val="00184381"/>
    <w:rPr>
      <w:rFonts w:ascii="Tahoma" w:hAnsi="Tahoma" w:cs="Tahoma"/>
      <w:sz w:val="16"/>
      <w:szCs w:val="16"/>
    </w:rPr>
  </w:style>
  <w:style w:type="character" w:customStyle="1" w:styleId="30">
    <w:name w:val="Заголовок 3 Знак"/>
    <w:basedOn w:val="a0"/>
    <w:link w:val="3"/>
    <w:rsid w:val="00DB3D90"/>
    <w:rPr>
      <w:rFonts w:ascii="Times New Roman" w:eastAsia="Times New Roman" w:hAnsi="Times New Roman" w:cs="Times New Roman"/>
      <w:b/>
      <w:snapToGrid w:val="0"/>
      <w:sz w:val="28"/>
      <w:szCs w:val="28"/>
      <w:lang w:eastAsia="ru-RU"/>
    </w:rPr>
  </w:style>
  <w:style w:type="character" w:customStyle="1" w:styleId="20">
    <w:name w:val="Заголовок 2 Знак"/>
    <w:basedOn w:val="a0"/>
    <w:link w:val="2"/>
    <w:uiPriority w:val="9"/>
    <w:semiHidden/>
    <w:rsid w:val="00DB3D90"/>
    <w:rPr>
      <w:rFonts w:asciiTheme="majorHAnsi" w:eastAsiaTheme="majorEastAsia" w:hAnsiTheme="majorHAnsi" w:cstheme="majorBidi"/>
      <w:color w:val="365F91" w:themeColor="accent1" w:themeShade="BF"/>
      <w:sz w:val="26"/>
      <w:szCs w:val="26"/>
    </w:rPr>
  </w:style>
  <w:style w:type="character" w:styleId="af5">
    <w:name w:val="Emphasis"/>
    <w:basedOn w:val="20"/>
    <w:uiPriority w:val="20"/>
    <w:qFormat/>
    <w:rsid w:val="00DB3D90"/>
    <w:rPr>
      <w:rFonts w:ascii="Times New Roman" w:eastAsiaTheme="majorEastAsia" w:hAnsi="Times New Roman" w:cstheme="majorBidi"/>
      <w:i w:val="0"/>
      <w:iCs/>
      <w:color w:val="auto"/>
      <w:sz w:val="28"/>
      <w:szCs w:val="2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702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9AAD1A-3353-4DA7-8CBE-28A7DC5C5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2</Pages>
  <Words>504</Words>
  <Characters>2876</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Терехова</dc:creator>
  <cp:lastModifiedBy>Бородин Вячеслав Григорьевич</cp:lastModifiedBy>
  <cp:revision>11</cp:revision>
  <dcterms:created xsi:type="dcterms:W3CDTF">2023-09-29T05:57:00Z</dcterms:created>
  <dcterms:modified xsi:type="dcterms:W3CDTF">2025-02-12T19:11:00Z</dcterms:modified>
</cp:coreProperties>
</file>