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09" w:rsidRPr="009A1409" w:rsidRDefault="009A1409" w:rsidP="009A1409">
      <w:pPr>
        <w:widowControl w:val="0"/>
        <w:spacing w:line="240" w:lineRule="auto"/>
        <w:ind w:left="5954" w:firstLine="0"/>
        <w:contextualSpacing/>
        <w:jc w:val="center"/>
        <w:rPr>
          <w:rFonts w:ascii="Times New Roman" w:hAnsi="Times New Roman"/>
          <w:bCs/>
          <w:color w:val="auto"/>
          <w:kern w:val="0"/>
          <w:sz w:val="28"/>
          <w:szCs w:val="28"/>
          <w14:ligatures w14:val="none"/>
        </w:rPr>
      </w:pPr>
      <w:bookmarkStart w:id="0" w:name="_GoBack"/>
      <w:bookmarkEnd w:id="0"/>
      <w:r w:rsidRPr="009A1409">
        <w:rPr>
          <w:rFonts w:ascii="Times New Roman" w:hAnsi="Times New Roman"/>
          <w:bCs/>
          <w:color w:val="auto"/>
          <w:kern w:val="0"/>
          <w:sz w:val="28"/>
          <w:szCs w:val="28"/>
          <w14:ligatures w14:val="none"/>
        </w:rPr>
        <w:t xml:space="preserve">Приложение № </w:t>
      </w:r>
      <w:r w:rsidR="0075535B">
        <w:rPr>
          <w:rFonts w:ascii="Times New Roman" w:hAnsi="Times New Roman"/>
          <w:bCs/>
          <w:color w:val="auto"/>
          <w:kern w:val="0"/>
          <w:sz w:val="28"/>
          <w:szCs w:val="28"/>
          <w14:ligatures w14:val="none"/>
        </w:rPr>
        <w:t>8</w:t>
      </w:r>
    </w:p>
    <w:p w:rsidR="009A1409" w:rsidRPr="009A1409" w:rsidRDefault="009A1409" w:rsidP="009A1409">
      <w:pPr>
        <w:widowControl w:val="0"/>
        <w:spacing w:line="240" w:lineRule="auto"/>
        <w:ind w:left="5954" w:firstLine="0"/>
        <w:contextualSpacing/>
        <w:jc w:val="center"/>
        <w:rPr>
          <w:rFonts w:ascii="Times New Roman" w:hAnsi="Times New Roman"/>
          <w:bCs/>
          <w:color w:val="auto"/>
          <w:kern w:val="0"/>
          <w:sz w:val="28"/>
          <w:szCs w:val="28"/>
          <w14:ligatures w14:val="none"/>
        </w:rPr>
      </w:pPr>
      <w:r w:rsidRPr="009A1409">
        <w:rPr>
          <w:rFonts w:ascii="Times New Roman" w:hAnsi="Times New Roman"/>
          <w:bCs/>
          <w:color w:val="auto"/>
          <w:kern w:val="0"/>
          <w:sz w:val="28"/>
          <w:szCs w:val="28"/>
          <w14:ligatures w14:val="none"/>
        </w:rPr>
        <w:t>к отчету по результатам</w:t>
      </w:r>
    </w:p>
    <w:p w:rsidR="00AF7464" w:rsidRDefault="009A1409" w:rsidP="00AF7464">
      <w:pPr>
        <w:widowControl w:val="0"/>
        <w:spacing w:line="240" w:lineRule="auto"/>
        <w:ind w:left="5954" w:firstLine="0"/>
        <w:contextualSpacing/>
        <w:jc w:val="center"/>
        <w:rPr>
          <w:rFonts w:ascii="Times New Roman" w:hAnsi="Times New Roman"/>
          <w:bCs/>
          <w:color w:val="auto"/>
          <w:kern w:val="0"/>
          <w:sz w:val="28"/>
          <w:szCs w:val="28"/>
          <w14:ligatures w14:val="none"/>
        </w:rPr>
      </w:pPr>
      <w:r w:rsidRPr="009A1409">
        <w:rPr>
          <w:rFonts w:ascii="Times New Roman" w:hAnsi="Times New Roman"/>
          <w:bCs/>
          <w:color w:val="auto"/>
          <w:kern w:val="0"/>
          <w:sz w:val="28"/>
          <w:szCs w:val="28"/>
          <w14:ligatures w14:val="none"/>
        </w:rPr>
        <w:t xml:space="preserve">экспертно-аналитического мероприятия </w:t>
      </w:r>
    </w:p>
    <w:p w:rsidR="00AF7464" w:rsidRDefault="009A1409" w:rsidP="00AF7464">
      <w:pPr>
        <w:widowControl w:val="0"/>
        <w:spacing w:line="240" w:lineRule="auto"/>
        <w:ind w:left="5954" w:firstLine="0"/>
        <w:contextualSpacing/>
        <w:jc w:val="center"/>
        <w:rPr>
          <w:rFonts w:ascii="Times New Roman" w:hAnsi="Times New Roman"/>
          <w:bCs/>
          <w:color w:val="auto"/>
          <w:kern w:val="0"/>
          <w:sz w:val="28"/>
          <w:szCs w:val="28"/>
          <w14:ligatures w14:val="none"/>
        </w:rPr>
      </w:pPr>
      <w:r w:rsidRPr="009A1409">
        <w:rPr>
          <w:rFonts w:ascii="Times New Roman" w:hAnsi="Times New Roman"/>
          <w:bCs/>
          <w:color w:val="auto"/>
          <w:kern w:val="0"/>
          <w:sz w:val="28"/>
          <w:szCs w:val="28"/>
          <w14:ligatures w14:val="none"/>
        </w:rPr>
        <w:t xml:space="preserve">от </w:t>
      </w:r>
      <w:r w:rsidR="00AF7464" w:rsidRPr="00AF7464">
        <w:rPr>
          <w:rFonts w:ascii="Times New Roman" w:hAnsi="Times New Roman"/>
          <w:bCs/>
          <w:color w:val="auto"/>
          <w:kern w:val="0"/>
          <w:sz w:val="28"/>
          <w:szCs w:val="28"/>
          <w14:ligatures w14:val="none"/>
        </w:rPr>
        <w:t xml:space="preserve">5 марта 2025 г. </w:t>
      </w:r>
    </w:p>
    <w:p w:rsidR="00E22968" w:rsidRDefault="00AF7464" w:rsidP="00AF7464">
      <w:pPr>
        <w:widowControl w:val="0"/>
        <w:spacing w:line="240" w:lineRule="auto"/>
        <w:ind w:left="5954" w:firstLine="0"/>
        <w:contextualSpacing/>
        <w:jc w:val="center"/>
        <w:rPr>
          <w:rFonts w:ascii="Times New Roman" w:hAnsi="Times New Roman"/>
          <w:bCs/>
          <w:color w:val="auto"/>
          <w:kern w:val="0"/>
          <w:sz w:val="28"/>
          <w:szCs w:val="28"/>
          <w14:ligatures w14:val="none"/>
        </w:rPr>
      </w:pPr>
      <w:r w:rsidRPr="00AF7464">
        <w:rPr>
          <w:rFonts w:ascii="Times New Roman" w:hAnsi="Times New Roman"/>
          <w:bCs/>
          <w:color w:val="auto"/>
          <w:kern w:val="0"/>
          <w:sz w:val="28"/>
          <w:szCs w:val="28"/>
          <w14:ligatures w14:val="none"/>
        </w:rPr>
        <w:t>№ ОМ-14/13-04</w:t>
      </w:r>
    </w:p>
    <w:p w:rsidR="00AF7464" w:rsidRDefault="00AF7464" w:rsidP="00AF7464">
      <w:pPr>
        <w:widowControl w:val="0"/>
        <w:spacing w:line="240" w:lineRule="auto"/>
        <w:ind w:left="5954" w:firstLine="0"/>
        <w:contextualSpacing/>
        <w:jc w:val="center"/>
      </w:pPr>
    </w:p>
    <w:p w:rsidR="00C14DD4" w:rsidRPr="009A1409" w:rsidRDefault="009A1409" w:rsidP="00E22968">
      <w:pPr>
        <w:overflowPunct w:val="0"/>
        <w:autoSpaceDE w:val="0"/>
        <w:autoSpaceDN w:val="0"/>
        <w:adjustRightInd w:val="0"/>
        <w:spacing w:after="160" w:line="276" w:lineRule="auto"/>
        <w:ind w:firstLine="0"/>
        <w:jc w:val="center"/>
        <w:textAlignment w:val="baseline"/>
        <w:outlineLvl w:val="2"/>
        <w:rPr>
          <w:rFonts w:ascii="Times New Roman" w:hAnsi="Times New Roman"/>
          <w:b/>
          <w:bCs/>
          <w:color w:val="auto"/>
          <w:kern w:val="0"/>
          <w:sz w:val="28"/>
          <w:szCs w:val="28"/>
          <w14:ligatures w14:val="none"/>
        </w:rPr>
      </w:pPr>
      <w:r>
        <w:rPr>
          <w:rFonts w:ascii="Times New Roman" w:hAnsi="Times New Roman"/>
          <w:b/>
          <w:bCs/>
          <w:color w:val="auto"/>
          <w:kern w:val="0"/>
          <w:sz w:val="28"/>
          <w:szCs w:val="28"/>
          <w14:ligatures w14:val="none"/>
        </w:rPr>
        <w:t>Информация об эффектах</w:t>
      </w:r>
      <w:r w:rsidR="00E5406D" w:rsidRPr="009A1409">
        <w:rPr>
          <w:rFonts w:ascii="Times New Roman" w:hAnsi="Times New Roman"/>
          <w:b/>
          <w:bCs/>
          <w:color w:val="auto"/>
          <w:kern w:val="0"/>
          <w:sz w:val="28"/>
          <w:szCs w:val="28"/>
          <w14:ligatures w14:val="none"/>
        </w:rPr>
        <w:t xml:space="preserve"> сокращения трансакционных издержек </w:t>
      </w:r>
      <w:r>
        <w:rPr>
          <w:rFonts w:ascii="Times New Roman" w:hAnsi="Times New Roman"/>
          <w:b/>
          <w:bCs/>
          <w:color w:val="auto"/>
          <w:kern w:val="0"/>
          <w:sz w:val="28"/>
          <w:szCs w:val="28"/>
          <w14:ligatures w14:val="none"/>
        </w:rPr>
        <w:br/>
      </w:r>
      <w:r w:rsidR="00E5406D" w:rsidRPr="009A1409">
        <w:rPr>
          <w:rFonts w:ascii="Times New Roman" w:hAnsi="Times New Roman"/>
          <w:b/>
          <w:bCs/>
          <w:color w:val="auto"/>
          <w:kern w:val="0"/>
          <w:sz w:val="28"/>
          <w:szCs w:val="28"/>
          <w14:ligatures w14:val="none"/>
        </w:rPr>
        <w:t>в концессиях в сфере теплоснабжения</w:t>
      </w:r>
      <w:r w:rsidR="00747446">
        <w:rPr>
          <w:rStyle w:val="af4"/>
          <w:rFonts w:ascii="Times New Roman" w:hAnsi="Times New Roman"/>
          <w:b/>
          <w:bCs/>
          <w:color w:val="auto"/>
          <w:kern w:val="0"/>
          <w:sz w:val="28"/>
          <w:szCs w:val="28"/>
          <w14:ligatures w14:val="none"/>
        </w:rPr>
        <w:footnoteReference w:id="1"/>
      </w:r>
    </w:p>
    <w:p w:rsidR="00B46710" w:rsidRPr="009A1409" w:rsidRDefault="009A1409"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В</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случае заключения концессионных соглашений в коммунальном секторе крупными коммерческими агентами может достигаться значительное сокращение непроизводительных издержек за счет повышения эффективнос</w:t>
      </w:r>
      <w:r>
        <w:rPr>
          <w:rFonts w:ascii="Times New Roman" w:eastAsia="Times New Roman" w:hAnsi="Times New Roman" w:cs="Times New Roman"/>
          <w:snapToGrid w:val="0"/>
          <w:color w:val="auto"/>
          <w:kern w:val="0"/>
          <w:sz w:val="28"/>
          <w:szCs w:val="28"/>
          <w:lang w:eastAsia="ru-RU"/>
          <w14:ligatures w14:val="none"/>
        </w:rPr>
        <w:t>ти управленческой деятельности. Как правило, это</w:t>
      </w:r>
      <w:r w:rsidR="00B46710" w:rsidRPr="009A1409">
        <w:rPr>
          <w:rFonts w:ascii="Times New Roman" w:eastAsia="Times New Roman" w:hAnsi="Times New Roman" w:cs="Times New Roman"/>
          <w:snapToGrid w:val="0"/>
          <w:color w:val="auto"/>
          <w:kern w:val="0"/>
          <w:sz w:val="28"/>
          <w:szCs w:val="28"/>
          <w:lang w:eastAsia="ru-RU"/>
          <w14:ligatures w14:val="none"/>
        </w:rPr>
        <w:t xml:space="preserve"> проявляется при</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достижении эффектов</w:t>
      </w:r>
      <w:r w:rsidR="00B46710" w:rsidRPr="009A1409">
        <w:rPr>
          <w:rFonts w:ascii="Times New Roman" w:eastAsia="Times New Roman" w:hAnsi="Times New Roman" w:cs="Times New Roman"/>
          <w:snapToGrid w:val="0"/>
          <w:color w:val="auto"/>
          <w:kern w:val="0"/>
          <w:sz w:val="28"/>
          <w:szCs w:val="28"/>
          <w:lang w:eastAsia="ru-RU"/>
          <w14:ligatures w14:val="none"/>
        </w:rPr>
        <w:t xml:space="preserve"> экономии на масштабе</w:t>
      </w:r>
      <w:r>
        <w:rPr>
          <w:rFonts w:ascii="Times New Roman" w:eastAsia="Times New Roman" w:hAnsi="Times New Roman" w:cs="Times New Roman"/>
          <w:snapToGrid w:val="0"/>
          <w:color w:val="auto"/>
          <w:kern w:val="0"/>
          <w:sz w:val="28"/>
          <w:szCs w:val="28"/>
          <w:lang w:eastAsia="ru-RU"/>
          <w14:ligatures w14:val="none"/>
        </w:rPr>
        <w:t xml:space="preserve"> – </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за счет </w:t>
      </w:r>
      <w:r w:rsidR="00B46710" w:rsidRPr="009A1409">
        <w:rPr>
          <w:rFonts w:ascii="Times New Roman" w:eastAsia="Times New Roman" w:hAnsi="Times New Roman" w:cs="Times New Roman"/>
          <w:snapToGrid w:val="0"/>
          <w:color w:val="auto"/>
          <w:kern w:val="0"/>
          <w:sz w:val="28"/>
          <w:szCs w:val="28"/>
          <w:lang w:eastAsia="ru-RU"/>
          <w14:ligatures w14:val="none"/>
        </w:rPr>
        <w:t>увеличения объемов</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снижаются издержки по закупочной деятельности, проводится единая техническая, кадровая, информационная политика.</w:t>
      </w:r>
    </w:p>
    <w:p w:rsidR="004D19BA" w:rsidRPr="009A1409" w:rsidRDefault="009A1409"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 xml:space="preserve">Для </w:t>
      </w:r>
      <w:r w:rsidR="00D0767E">
        <w:rPr>
          <w:rFonts w:ascii="Times New Roman" w:eastAsia="Times New Roman" w:hAnsi="Times New Roman" w:cs="Times New Roman"/>
          <w:snapToGrid w:val="0"/>
          <w:color w:val="auto"/>
          <w:kern w:val="0"/>
          <w:sz w:val="28"/>
          <w:szCs w:val="28"/>
          <w:lang w:eastAsia="ru-RU"/>
          <w14:ligatures w14:val="none"/>
        </w:rPr>
        <w:t>определения объемов такой экономии</w:t>
      </w:r>
      <w:r>
        <w:rPr>
          <w:rFonts w:ascii="Times New Roman" w:eastAsia="Times New Roman" w:hAnsi="Times New Roman" w:cs="Times New Roman"/>
          <w:snapToGrid w:val="0"/>
          <w:color w:val="auto"/>
          <w:kern w:val="0"/>
          <w:sz w:val="28"/>
          <w:szCs w:val="28"/>
          <w:lang w:eastAsia="ru-RU"/>
          <w14:ligatures w14:val="none"/>
        </w:rPr>
        <w:t xml:space="preserve"> </w:t>
      </w:r>
      <w:r w:rsidR="004D19BA" w:rsidRPr="009A1409">
        <w:rPr>
          <w:rFonts w:ascii="Times New Roman" w:eastAsia="Times New Roman" w:hAnsi="Times New Roman" w:cs="Times New Roman"/>
          <w:snapToGrid w:val="0"/>
          <w:color w:val="auto"/>
          <w:kern w:val="0"/>
          <w:sz w:val="28"/>
          <w:szCs w:val="28"/>
          <w:lang w:eastAsia="ru-RU"/>
          <w14:ligatures w14:val="none"/>
        </w:rPr>
        <w:t>были выделены следующие в</w:t>
      </w:r>
      <w:r>
        <w:rPr>
          <w:rFonts w:ascii="Times New Roman" w:eastAsia="Times New Roman" w:hAnsi="Times New Roman" w:cs="Times New Roman"/>
          <w:snapToGrid w:val="0"/>
          <w:color w:val="auto"/>
          <w:kern w:val="0"/>
          <w:sz w:val="28"/>
          <w:szCs w:val="28"/>
          <w:lang w:eastAsia="ru-RU"/>
          <w14:ligatures w14:val="none"/>
        </w:rPr>
        <w:t>озможные трансакционные эффекты</w:t>
      </w:r>
      <w:r w:rsidR="00D0767E">
        <w:rPr>
          <w:rFonts w:ascii="Times New Roman" w:eastAsia="Times New Roman" w:hAnsi="Times New Roman" w:cs="Times New Roman"/>
          <w:snapToGrid w:val="0"/>
          <w:color w:val="auto"/>
          <w:kern w:val="0"/>
          <w:sz w:val="28"/>
          <w:szCs w:val="28"/>
          <w:lang w:eastAsia="ru-RU"/>
          <w14:ligatures w14:val="none"/>
        </w:rPr>
        <w:t>.</w:t>
      </w:r>
    </w:p>
    <w:p w:rsidR="00D0767E"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1. </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Снижение числа заключаемых договоров и контроля за их исполнением за счет единого владения всей инженерной системой. Этот эффект состоит из нескольких компонент: </w:t>
      </w:r>
    </w:p>
    <w:p w:rsidR="00D0767E"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 </w:t>
      </w:r>
      <w:r w:rsidR="004D19BA" w:rsidRPr="009A1409">
        <w:rPr>
          <w:rFonts w:ascii="Times New Roman" w:eastAsia="Times New Roman" w:hAnsi="Times New Roman" w:cs="Times New Roman"/>
          <w:snapToGrid w:val="0"/>
          <w:color w:val="auto"/>
          <w:kern w:val="0"/>
          <w:sz w:val="28"/>
          <w:szCs w:val="28"/>
          <w:lang w:eastAsia="ru-RU"/>
          <w14:ligatures w14:val="none"/>
        </w:rPr>
        <w:t>если ранее заключался договор между компанией, генерирующей тепловую энергию на крупной станции, и муниципальным предприятием на транспорт</w:t>
      </w:r>
      <w:r>
        <w:rPr>
          <w:rFonts w:ascii="Times New Roman" w:eastAsia="Times New Roman" w:hAnsi="Times New Roman" w:cs="Times New Roman"/>
          <w:snapToGrid w:val="0"/>
          <w:color w:val="auto"/>
          <w:kern w:val="0"/>
          <w:sz w:val="28"/>
          <w:szCs w:val="28"/>
          <w:lang w:eastAsia="ru-RU"/>
          <w14:ligatures w14:val="none"/>
        </w:rPr>
        <w:t>ировку</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тепловой энергии, то в случае к</w:t>
      </w:r>
      <w:r>
        <w:rPr>
          <w:rFonts w:ascii="Times New Roman" w:eastAsia="Times New Roman" w:hAnsi="Times New Roman" w:cs="Times New Roman"/>
          <w:snapToGrid w:val="0"/>
          <w:color w:val="auto"/>
          <w:kern w:val="0"/>
          <w:sz w:val="28"/>
          <w:szCs w:val="28"/>
          <w:lang w:eastAsia="ru-RU"/>
          <w14:ligatures w14:val="none"/>
        </w:rPr>
        <w:t>онцессии такой потребности нет (</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отпадает потребность в контроле за исполнением подобных договоров, который заключался в создании и </w:t>
      </w:r>
      <w:r w:rsidR="00174B3C" w:rsidRPr="009A1409">
        <w:rPr>
          <w:rFonts w:ascii="Times New Roman" w:eastAsia="Times New Roman" w:hAnsi="Times New Roman" w:cs="Times New Roman"/>
          <w:snapToGrid w:val="0"/>
          <w:color w:val="auto"/>
          <w:kern w:val="0"/>
          <w:sz w:val="28"/>
          <w:szCs w:val="28"/>
          <w:lang w:eastAsia="ru-RU"/>
          <w14:ligatures w14:val="none"/>
        </w:rPr>
        <w:t>обслуживании</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коммерческих </w:t>
      </w:r>
      <w:r w:rsidR="00174B3C" w:rsidRPr="009A1409">
        <w:rPr>
          <w:rFonts w:ascii="Times New Roman" w:eastAsia="Times New Roman" w:hAnsi="Times New Roman" w:cs="Times New Roman"/>
          <w:snapToGrid w:val="0"/>
          <w:color w:val="auto"/>
          <w:kern w:val="0"/>
          <w:sz w:val="28"/>
          <w:szCs w:val="28"/>
          <w:lang w:eastAsia="ru-RU"/>
          <w14:ligatures w14:val="none"/>
        </w:rPr>
        <w:t>узлов</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учета на границах </w:t>
      </w:r>
      <w:r>
        <w:rPr>
          <w:rFonts w:ascii="Times New Roman" w:eastAsia="Times New Roman" w:hAnsi="Times New Roman" w:cs="Times New Roman"/>
          <w:snapToGrid w:val="0"/>
          <w:color w:val="auto"/>
          <w:kern w:val="0"/>
          <w:sz w:val="28"/>
          <w:szCs w:val="28"/>
          <w:lang w:eastAsia="ru-RU"/>
          <w14:ligatures w14:val="none"/>
        </w:rPr>
        <w:t xml:space="preserve">ответственности предприятий); </w:t>
      </w:r>
    </w:p>
    <w:p w:rsidR="004D19BA" w:rsidRPr="009A1409"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 </w:t>
      </w:r>
      <w:r w:rsidR="004D19BA" w:rsidRPr="009A1409">
        <w:rPr>
          <w:rFonts w:ascii="Times New Roman" w:eastAsia="Times New Roman" w:hAnsi="Times New Roman" w:cs="Times New Roman"/>
          <w:snapToGrid w:val="0"/>
          <w:color w:val="auto"/>
          <w:kern w:val="0"/>
          <w:sz w:val="28"/>
          <w:szCs w:val="28"/>
          <w:lang w:eastAsia="ru-RU"/>
          <w14:ligatures w14:val="none"/>
        </w:rPr>
        <w:t>сокращается число договоров на поставку ресурсов (например, электр</w:t>
      </w:r>
      <w:r>
        <w:rPr>
          <w:rFonts w:ascii="Times New Roman" w:eastAsia="Times New Roman" w:hAnsi="Times New Roman" w:cs="Times New Roman"/>
          <w:snapToGrid w:val="0"/>
          <w:color w:val="auto"/>
          <w:kern w:val="0"/>
          <w:sz w:val="28"/>
          <w:szCs w:val="28"/>
          <w:lang w:eastAsia="ru-RU"/>
          <w14:ligatures w14:val="none"/>
        </w:rPr>
        <w:t>оэнергии) и обслуживание системы, что может привести</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к изменению цены поставляемых ресурсов.</w:t>
      </w:r>
    </w:p>
    <w:p w:rsidR="004D19BA" w:rsidRPr="009A1409"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2. </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Оптимизация структуры загрузки тепловых мощностей за счет использования свободных мощностей ТЭЦ вместо строительства или </w:t>
      </w:r>
      <w:r>
        <w:rPr>
          <w:rFonts w:ascii="Times New Roman" w:eastAsia="Times New Roman" w:hAnsi="Times New Roman" w:cs="Times New Roman"/>
          <w:snapToGrid w:val="0"/>
          <w:color w:val="auto"/>
          <w:kern w:val="0"/>
          <w:sz w:val="28"/>
          <w:szCs w:val="28"/>
          <w:lang w:eastAsia="ru-RU"/>
          <w14:ligatures w14:val="none"/>
        </w:rPr>
        <w:t xml:space="preserve">эксплуатации </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отдельных </w:t>
      </w:r>
      <w:r w:rsidR="00251418" w:rsidRPr="009A1409">
        <w:rPr>
          <w:rFonts w:ascii="Times New Roman" w:eastAsia="Times New Roman" w:hAnsi="Times New Roman" w:cs="Times New Roman"/>
          <w:snapToGrid w:val="0"/>
          <w:color w:val="auto"/>
          <w:kern w:val="0"/>
          <w:sz w:val="28"/>
          <w:szCs w:val="28"/>
          <w:lang w:eastAsia="ru-RU"/>
          <w14:ligatures w14:val="none"/>
        </w:rPr>
        <w:t>локальных</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котельных. Этот эффект связан с изменением конфи</w:t>
      </w:r>
      <w:r>
        <w:rPr>
          <w:rFonts w:ascii="Times New Roman" w:eastAsia="Times New Roman" w:hAnsi="Times New Roman" w:cs="Times New Roman"/>
          <w:snapToGrid w:val="0"/>
          <w:color w:val="auto"/>
          <w:kern w:val="0"/>
          <w:sz w:val="28"/>
          <w:szCs w:val="28"/>
          <w:lang w:eastAsia="ru-RU"/>
          <w14:ligatures w14:val="none"/>
        </w:rPr>
        <w:t>гурации сетевого хозяйства, то есть</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с инвестициями. Поэтому важно, чтобы эффект от переключения нагрузок на мощности когенерации был больше издержек по преобразованию сетевого хозяйства.</w:t>
      </w:r>
    </w:p>
    <w:p w:rsidR="004D19BA" w:rsidRPr="009A1409"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lastRenderedPageBreak/>
        <w:t>3. </w:t>
      </w:r>
      <w:r w:rsidR="004D19BA" w:rsidRPr="009A1409">
        <w:rPr>
          <w:rFonts w:ascii="Times New Roman" w:eastAsia="Times New Roman" w:hAnsi="Times New Roman" w:cs="Times New Roman"/>
          <w:snapToGrid w:val="0"/>
          <w:color w:val="auto"/>
          <w:kern w:val="0"/>
          <w:sz w:val="28"/>
          <w:szCs w:val="28"/>
          <w:lang w:eastAsia="ru-RU"/>
          <w14:ligatures w14:val="none"/>
        </w:rPr>
        <w:t>Повышение общей надежности за счет дополнительной возможнос</w:t>
      </w:r>
      <w:r>
        <w:rPr>
          <w:rFonts w:ascii="Times New Roman" w:eastAsia="Times New Roman" w:hAnsi="Times New Roman" w:cs="Times New Roman"/>
          <w:snapToGrid w:val="0"/>
          <w:color w:val="auto"/>
          <w:kern w:val="0"/>
          <w:sz w:val="28"/>
          <w:szCs w:val="28"/>
          <w:lang w:eastAsia="ru-RU"/>
          <w14:ligatures w14:val="none"/>
        </w:rPr>
        <w:t xml:space="preserve">ти для кольцевания и перетоков и </w:t>
      </w:r>
      <w:r w:rsidR="004D19BA" w:rsidRPr="009A1409">
        <w:rPr>
          <w:rFonts w:ascii="Times New Roman" w:eastAsia="Times New Roman" w:hAnsi="Times New Roman" w:cs="Times New Roman"/>
          <w:snapToGrid w:val="0"/>
          <w:color w:val="auto"/>
          <w:kern w:val="0"/>
          <w:sz w:val="28"/>
          <w:szCs w:val="28"/>
          <w:lang w:eastAsia="ru-RU"/>
          <w14:ligatures w14:val="none"/>
        </w:rPr>
        <w:t>минимизация в этой связи летни</w:t>
      </w:r>
      <w:r w:rsidR="00251418" w:rsidRPr="009A1409">
        <w:rPr>
          <w:rFonts w:ascii="Times New Roman" w:eastAsia="Times New Roman" w:hAnsi="Times New Roman" w:cs="Times New Roman"/>
          <w:snapToGrid w:val="0"/>
          <w:color w:val="auto"/>
          <w:kern w:val="0"/>
          <w:sz w:val="28"/>
          <w:szCs w:val="28"/>
          <w:lang w:eastAsia="ru-RU"/>
          <w14:ligatures w14:val="none"/>
        </w:rPr>
        <w:t>х</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перерыв</w:t>
      </w:r>
      <w:r w:rsidR="00251418" w:rsidRPr="009A1409">
        <w:rPr>
          <w:rFonts w:ascii="Times New Roman" w:eastAsia="Times New Roman" w:hAnsi="Times New Roman" w:cs="Times New Roman"/>
          <w:snapToGrid w:val="0"/>
          <w:color w:val="auto"/>
          <w:kern w:val="0"/>
          <w:sz w:val="28"/>
          <w:szCs w:val="28"/>
          <w:lang w:eastAsia="ru-RU"/>
          <w14:ligatures w14:val="none"/>
        </w:rPr>
        <w:t>ов</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с обеспечением ГВС. Этот эффект также связан с изменением конфи</w:t>
      </w:r>
      <w:r>
        <w:rPr>
          <w:rFonts w:ascii="Times New Roman" w:eastAsia="Times New Roman" w:hAnsi="Times New Roman" w:cs="Times New Roman"/>
          <w:snapToGrid w:val="0"/>
          <w:color w:val="auto"/>
          <w:kern w:val="0"/>
          <w:sz w:val="28"/>
          <w:szCs w:val="28"/>
          <w:lang w:eastAsia="ru-RU"/>
          <w14:ligatures w14:val="none"/>
        </w:rPr>
        <w:t>гурации сетевого хозяйства, то есть</w:t>
      </w:r>
      <w:r w:rsidR="004D19BA" w:rsidRPr="009A1409">
        <w:rPr>
          <w:rFonts w:ascii="Times New Roman" w:eastAsia="Times New Roman" w:hAnsi="Times New Roman" w:cs="Times New Roman"/>
          <w:snapToGrid w:val="0"/>
          <w:color w:val="auto"/>
          <w:kern w:val="0"/>
          <w:sz w:val="28"/>
          <w:szCs w:val="28"/>
          <w:lang w:eastAsia="ru-RU"/>
          <w14:ligatures w14:val="none"/>
        </w:rPr>
        <w:t xml:space="preserve"> с инвестициями. Поэтому важно, чтобы эффект повышения надежности</w:t>
      </w:r>
      <w:r w:rsidR="00251418" w:rsidRPr="009A1409">
        <w:rPr>
          <w:rFonts w:ascii="Times New Roman" w:eastAsia="Times New Roman" w:hAnsi="Times New Roman" w:cs="Times New Roman"/>
          <w:snapToGrid w:val="0"/>
          <w:color w:val="auto"/>
          <w:kern w:val="0"/>
          <w:sz w:val="28"/>
          <w:szCs w:val="28"/>
          <w:lang w:eastAsia="ru-RU"/>
          <w14:ligatures w14:val="none"/>
        </w:rPr>
        <w:t xml:space="preserve"> </w:t>
      </w:r>
      <w:r w:rsidR="004D19BA" w:rsidRPr="009A1409">
        <w:rPr>
          <w:rFonts w:ascii="Times New Roman" w:eastAsia="Times New Roman" w:hAnsi="Times New Roman" w:cs="Times New Roman"/>
          <w:snapToGrid w:val="0"/>
          <w:color w:val="auto"/>
          <w:kern w:val="0"/>
          <w:sz w:val="28"/>
          <w:szCs w:val="28"/>
          <w:lang w:eastAsia="ru-RU"/>
          <w14:ligatures w14:val="none"/>
        </w:rPr>
        <w:t>(сокращения ремонтных работ) и повышения доходов от увеличения продолжительности горячего водоснабжения был больше издержек по преобразованию сетевого хозяйства.</w:t>
      </w:r>
    </w:p>
    <w:p w:rsidR="004D19BA" w:rsidRPr="009A1409"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4. </w:t>
      </w:r>
      <w:r w:rsidR="004D19BA" w:rsidRPr="009A1409">
        <w:rPr>
          <w:rFonts w:ascii="Times New Roman" w:eastAsia="Times New Roman" w:hAnsi="Times New Roman" w:cs="Times New Roman"/>
          <w:snapToGrid w:val="0"/>
          <w:color w:val="auto"/>
          <w:kern w:val="0"/>
          <w:sz w:val="28"/>
          <w:szCs w:val="28"/>
          <w:lang w:eastAsia="ru-RU"/>
          <w14:ligatures w14:val="none"/>
        </w:rPr>
        <w:t>Эффект от проведения единой технической и закупочной политики на всей системе централизованного теплоснабжения. Единая техническая политика позволяет унифицировать требования к оборудованию и материалам. За счет масштабов централизованной закупки основных позиций (трубопроводы, запорная арматура и пр.) и исключения посредников достигается экономия в закупках</w:t>
      </w:r>
      <w:r>
        <w:rPr>
          <w:rStyle w:val="af4"/>
          <w:rFonts w:ascii="Times New Roman" w:eastAsia="Times New Roman" w:hAnsi="Times New Roman" w:cs="Times New Roman"/>
          <w:snapToGrid w:val="0"/>
          <w:color w:val="auto"/>
          <w:kern w:val="0"/>
          <w:sz w:val="28"/>
          <w:szCs w:val="28"/>
          <w:lang w:eastAsia="ru-RU"/>
          <w14:ligatures w14:val="none"/>
        </w:rPr>
        <w:footnoteReference w:id="2"/>
      </w:r>
      <w:r>
        <w:rPr>
          <w:rFonts w:ascii="Times New Roman" w:eastAsia="Times New Roman" w:hAnsi="Times New Roman" w:cs="Times New Roman"/>
          <w:snapToGrid w:val="0"/>
          <w:color w:val="auto"/>
          <w:kern w:val="0"/>
          <w:sz w:val="28"/>
          <w:szCs w:val="28"/>
          <w:lang w:eastAsia="ru-RU"/>
          <w14:ligatures w14:val="none"/>
        </w:rPr>
        <w:t>.</w:t>
      </w:r>
    </w:p>
    <w:p w:rsidR="004D19BA" w:rsidRPr="009A1409"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5.</w:t>
      </w:r>
      <w:r>
        <w:rPr>
          <w:rFonts w:ascii="Times New Roman" w:eastAsia="Times New Roman" w:hAnsi="Times New Roman" w:cs="Times New Roman"/>
          <w:snapToGrid w:val="0"/>
          <w:color w:val="auto"/>
          <w:kern w:val="0"/>
          <w:sz w:val="28"/>
          <w:szCs w:val="28"/>
          <w:lang w:val="en-US" w:eastAsia="ru-RU"/>
          <w14:ligatures w14:val="none"/>
        </w:rPr>
        <w:t> </w:t>
      </w:r>
      <w:r w:rsidR="004D19BA" w:rsidRPr="009A1409">
        <w:rPr>
          <w:rFonts w:ascii="Times New Roman" w:eastAsia="Times New Roman" w:hAnsi="Times New Roman" w:cs="Times New Roman"/>
          <w:snapToGrid w:val="0"/>
          <w:color w:val="auto"/>
          <w:kern w:val="0"/>
          <w:sz w:val="28"/>
          <w:szCs w:val="28"/>
          <w:lang w:eastAsia="ru-RU"/>
          <w14:ligatures w14:val="none"/>
        </w:rPr>
        <w:t>Снижение численности административно-управленческого персонала (управление, бухгалтерский учет, юридическое сопровождение, сбытовая, хозяйственная и прочая административная деятельность).</w:t>
      </w:r>
    </w:p>
    <w:p w:rsidR="004D19BA" w:rsidRPr="009A1409" w:rsidRDefault="00D0767E"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6.</w:t>
      </w:r>
      <w:r>
        <w:rPr>
          <w:rFonts w:ascii="Times New Roman" w:eastAsia="Times New Roman" w:hAnsi="Times New Roman" w:cs="Times New Roman"/>
          <w:snapToGrid w:val="0"/>
          <w:color w:val="auto"/>
          <w:kern w:val="0"/>
          <w:sz w:val="28"/>
          <w:szCs w:val="28"/>
          <w:lang w:val="en-US" w:eastAsia="ru-RU"/>
          <w14:ligatures w14:val="none"/>
        </w:rPr>
        <w:t> </w:t>
      </w:r>
      <w:r w:rsidR="004D19BA" w:rsidRPr="009A1409">
        <w:rPr>
          <w:rFonts w:ascii="Times New Roman" w:eastAsia="Times New Roman" w:hAnsi="Times New Roman" w:cs="Times New Roman"/>
          <w:snapToGrid w:val="0"/>
          <w:color w:val="auto"/>
          <w:kern w:val="0"/>
          <w:sz w:val="28"/>
          <w:szCs w:val="28"/>
          <w:lang w:eastAsia="ru-RU"/>
          <w14:ligatures w14:val="none"/>
        </w:rPr>
        <w:t>Снижение производственных издержек (оптимизация маршрутов обходов, гидравлических, температурных и прочих испытаний, диспетчерского управления, более эффективное использование ремонтных бригад и техники).</w:t>
      </w:r>
    </w:p>
    <w:p w:rsidR="004D19BA" w:rsidRPr="008E4093" w:rsidRDefault="00110A87" w:rsidP="00857743">
      <w:pPr>
        <w:overflowPunct w:val="0"/>
        <w:autoSpaceDE w:val="0"/>
        <w:autoSpaceDN w:val="0"/>
        <w:adjustRightInd w:val="0"/>
        <w:spacing w:line="276" w:lineRule="auto"/>
        <w:textAlignment w:val="baseline"/>
        <w:outlineLvl w:val="2"/>
        <w:rPr>
          <w:rFonts w:ascii="Times New Roman" w:hAnsi="Times New Roman" w:cs="Times New Roman"/>
        </w:rPr>
      </w:pPr>
      <w:r w:rsidRPr="009A1409">
        <w:rPr>
          <w:rFonts w:ascii="Times New Roman" w:eastAsia="Times New Roman" w:hAnsi="Times New Roman" w:cs="Times New Roman"/>
          <w:snapToGrid w:val="0"/>
          <w:color w:val="auto"/>
          <w:kern w:val="0"/>
          <w:sz w:val="28"/>
          <w:szCs w:val="28"/>
          <w:lang w:eastAsia="ru-RU"/>
          <w14:ligatures w14:val="none"/>
        </w:rPr>
        <w:t xml:space="preserve">Важно отметить, что </w:t>
      </w:r>
      <w:r w:rsidR="00412893" w:rsidRPr="009A1409">
        <w:rPr>
          <w:rFonts w:ascii="Times New Roman" w:eastAsia="Times New Roman" w:hAnsi="Times New Roman" w:cs="Times New Roman"/>
          <w:snapToGrid w:val="0"/>
          <w:color w:val="auto"/>
          <w:kern w:val="0"/>
          <w:sz w:val="28"/>
          <w:szCs w:val="28"/>
          <w:lang w:eastAsia="ru-RU"/>
          <w14:ligatures w14:val="none"/>
        </w:rPr>
        <w:t>перечисленные эффекты имеют долгосрочный характер. Достижение этих эффектов, которое, как правило, происходит в начальные периоды реализации концессионного соглашения</w:t>
      </w:r>
      <w:r w:rsidR="00B73A06" w:rsidRPr="009A1409">
        <w:rPr>
          <w:rFonts w:ascii="Times New Roman" w:eastAsia="Times New Roman" w:hAnsi="Times New Roman" w:cs="Times New Roman"/>
          <w:snapToGrid w:val="0"/>
          <w:color w:val="auto"/>
          <w:kern w:val="0"/>
          <w:sz w:val="28"/>
          <w:szCs w:val="28"/>
          <w:lang w:eastAsia="ru-RU"/>
          <w14:ligatures w14:val="none"/>
        </w:rPr>
        <w:t>,</w:t>
      </w:r>
      <w:r w:rsidR="00412893" w:rsidRPr="009A1409">
        <w:rPr>
          <w:rFonts w:ascii="Times New Roman" w:eastAsia="Times New Roman" w:hAnsi="Times New Roman" w:cs="Times New Roman"/>
          <w:snapToGrid w:val="0"/>
          <w:color w:val="auto"/>
          <w:kern w:val="0"/>
          <w:sz w:val="28"/>
          <w:szCs w:val="28"/>
          <w:lang w:eastAsia="ru-RU"/>
          <w14:ligatures w14:val="none"/>
        </w:rPr>
        <w:t xml:space="preserve"> приводит </w:t>
      </w:r>
      <w:r w:rsidR="0032715B" w:rsidRPr="009A1409">
        <w:rPr>
          <w:rFonts w:ascii="Times New Roman" w:eastAsia="Times New Roman" w:hAnsi="Times New Roman" w:cs="Times New Roman"/>
          <w:snapToGrid w:val="0"/>
          <w:color w:val="auto"/>
          <w:kern w:val="0"/>
          <w:sz w:val="28"/>
          <w:szCs w:val="28"/>
          <w:lang w:eastAsia="ru-RU"/>
          <w14:ligatures w14:val="none"/>
        </w:rPr>
        <w:t>к</w:t>
      </w:r>
      <w:r w:rsidR="00412893" w:rsidRPr="009A1409">
        <w:rPr>
          <w:rFonts w:ascii="Times New Roman" w:eastAsia="Times New Roman" w:hAnsi="Times New Roman" w:cs="Times New Roman"/>
          <w:snapToGrid w:val="0"/>
          <w:color w:val="auto"/>
          <w:kern w:val="0"/>
          <w:sz w:val="28"/>
          <w:szCs w:val="28"/>
          <w:lang w:eastAsia="ru-RU"/>
          <w14:ligatures w14:val="none"/>
        </w:rPr>
        <w:t xml:space="preserve"> устойчивому долгосрочному сокращению операционных расходов. Следовательно, фиксация этих эффектов дает возможность рассматривать их как долгосрочный источник инвестиций</w:t>
      </w:r>
      <w:r w:rsidR="00D0767E">
        <w:rPr>
          <w:rStyle w:val="af4"/>
          <w:rFonts w:ascii="Times New Roman" w:eastAsia="Times New Roman" w:hAnsi="Times New Roman" w:cs="Times New Roman"/>
          <w:snapToGrid w:val="0"/>
          <w:color w:val="auto"/>
          <w:kern w:val="0"/>
          <w:sz w:val="28"/>
          <w:szCs w:val="28"/>
          <w:lang w:eastAsia="ru-RU"/>
          <w14:ligatures w14:val="none"/>
        </w:rPr>
        <w:footnoteReference w:id="3"/>
      </w:r>
      <w:r w:rsidR="00412893" w:rsidRPr="008E4093">
        <w:rPr>
          <w:rFonts w:ascii="Times New Roman" w:hAnsi="Times New Roman" w:cs="Times New Roman"/>
        </w:rPr>
        <w:t>.</w:t>
      </w:r>
    </w:p>
    <w:p w:rsidR="00B73A06" w:rsidRPr="00415889" w:rsidRDefault="00B73A06"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D0767E">
        <w:rPr>
          <w:rFonts w:ascii="Times New Roman" w:eastAsia="Times New Roman" w:hAnsi="Times New Roman" w:cs="Times New Roman"/>
          <w:snapToGrid w:val="0"/>
          <w:color w:val="auto"/>
          <w:kern w:val="0"/>
          <w:sz w:val="28"/>
          <w:szCs w:val="28"/>
          <w:lang w:eastAsia="ru-RU"/>
          <w14:ligatures w14:val="none"/>
        </w:rPr>
        <w:t>Выделенные потенциальные эффекты были проанализированы и оценены для случая конц</w:t>
      </w:r>
      <w:r w:rsidR="00415889">
        <w:rPr>
          <w:rFonts w:ascii="Times New Roman" w:eastAsia="Times New Roman" w:hAnsi="Times New Roman" w:cs="Times New Roman"/>
          <w:snapToGrid w:val="0"/>
          <w:color w:val="auto"/>
          <w:kern w:val="0"/>
          <w:sz w:val="28"/>
          <w:szCs w:val="28"/>
          <w:lang w:eastAsia="ru-RU"/>
          <w14:ligatures w14:val="none"/>
        </w:rPr>
        <w:t>ессий, заключаемых ПАО «Т Плюс»</w:t>
      </w:r>
      <w:r w:rsidR="00415889" w:rsidRPr="00415889">
        <w:rPr>
          <w:rFonts w:ascii="Times New Roman" w:eastAsia="Times New Roman" w:hAnsi="Times New Roman" w:cs="Times New Roman"/>
          <w:snapToGrid w:val="0"/>
          <w:color w:val="auto"/>
          <w:kern w:val="0"/>
          <w:sz w:val="28"/>
          <w:szCs w:val="28"/>
          <w:lang w:eastAsia="ru-RU"/>
          <w14:ligatures w14:val="none"/>
        </w:rPr>
        <w:t>.</w:t>
      </w:r>
    </w:p>
    <w:p w:rsidR="004D19BA" w:rsidRPr="00415889" w:rsidRDefault="004D19B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D0767E">
        <w:rPr>
          <w:rFonts w:ascii="Times New Roman" w:eastAsia="Times New Roman" w:hAnsi="Times New Roman" w:cs="Times New Roman"/>
          <w:snapToGrid w:val="0"/>
          <w:color w:val="auto"/>
          <w:kern w:val="0"/>
          <w:sz w:val="28"/>
          <w:szCs w:val="28"/>
          <w:lang w:eastAsia="ru-RU"/>
          <w14:ligatures w14:val="none"/>
        </w:rPr>
        <w:t xml:space="preserve">В ПАО </w:t>
      </w:r>
      <w:r w:rsidR="008F496E" w:rsidRPr="00D0767E">
        <w:rPr>
          <w:rFonts w:ascii="Times New Roman" w:eastAsia="Times New Roman" w:hAnsi="Times New Roman" w:cs="Times New Roman"/>
          <w:snapToGrid w:val="0"/>
          <w:color w:val="auto"/>
          <w:kern w:val="0"/>
          <w:sz w:val="28"/>
          <w:szCs w:val="28"/>
          <w:lang w:eastAsia="ru-RU"/>
          <w14:ligatures w14:val="none"/>
        </w:rPr>
        <w:t>«</w:t>
      </w:r>
      <w:r w:rsidRPr="00D0767E">
        <w:rPr>
          <w:rFonts w:ascii="Times New Roman" w:eastAsia="Times New Roman" w:hAnsi="Times New Roman" w:cs="Times New Roman"/>
          <w:snapToGrid w:val="0"/>
          <w:color w:val="auto"/>
          <w:kern w:val="0"/>
          <w:sz w:val="28"/>
          <w:szCs w:val="28"/>
          <w:lang w:eastAsia="ru-RU"/>
          <w14:ligatures w14:val="none"/>
        </w:rPr>
        <w:t>Т Плюс</w:t>
      </w:r>
      <w:r w:rsidR="008F496E" w:rsidRPr="00D0767E">
        <w:rPr>
          <w:rFonts w:ascii="Times New Roman" w:eastAsia="Times New Roman" w:hAnsi="Times New Roman" w:cs="Times New Roman"/>
          <w:snapToGrid w:val="0"/>
          <w:color w:val="auto"/>
          <w:kern w:val="0"/>
          <w:sz w:val="28"/>
          <w:szCs w:val="28"/>
          <w:lang w:eastAsia="ru-RU"/>
          <w14:ligatures w14:val="none"/>
        </w:rPr>
        <w:t>»</w:t>
      </w:r>
      <w:r w:rsidRPr="00D0767E">
        <w:rPr>
          <w:rFonts w:ascii="Times New Roman" w:eastAsia="Times New Roman" w:hAnsi="Times New Roman" w:cs="Times New Roman"/>
          <w:snapToGrid w:val="0"/>
          <w:color w:val="auto"/>
          <w:kern w:val="0"/>
          <w:sz w:val="28"/>
          <w:szCs w:val="28"/>
          <w:lang w:eastAsia="ru-RU"/>
          <w14:ligatures w14:val="none"/>
        </w:rPr>
        <w:t xml:space="preserve"> были проанализированы 28 концессионных соглашений</w:t>
      </w:r>
      <w:r w:rsidR="008F496E" w:rsidRPr="00D0767E">
        <w:rPr>
          <w:rFonts w:ascii="Times New Roman" w:eastAsia="Times New Roman" w:hAnsi="Times New Roman" w:cs="Times New Roman"/>
          <w:snapToGrid w:val="0"/>
          <w:color w:val="auto"/>
          <w:kern w:val="0"/>
          <w:sz w:val="28"/>
          <w:szCs w:val="28"/>
          <w:lang w:eastAsia="ru-RU"/>
          <w14:ligatures w14:val="none"/>
        </w:rPr>
        <w:t>, проведена серия экспертных интервью и консультаций</w:t>
      </w:r>
      <w:r w:rsidRPr="00D0767E">
        <w:rPr>
          <w:rFonts w:ascii="Times New Roman" w:eastAsia="Times New Roman" w:hAnsi="Times New Roman" w:cs="Times New Roman"/>
          <w:snapToGrid w:val="0"/>
          <w:color w:val="auto"/>
          <w:kern w:val="0"/>
          <w:sz w:val="28"/>
          <w:szCs w:val="28"/>
          <w:lang w:eastAsia="ru-RU"/>
          <w14:ligatures w14:val="none"/>
        </w:rPr>
        <w:t xml:space="preserve"> с</w:t>
      </w:r>
      <w:r w:rsidR="00415889">
        <w:rPr>
          <w:rFonts w:ascii="Times New Roman" w:eastAsia="Times New Roman" w:hAnsi="Times New Roman" w:cs="Times New Roman"/>
          <w:snapToGrid w:val="0"/>
          <w:color w:val="auto"/>
          <w:kern w:val="0"/>
          <w:sz w:val="28"/>
          <w:szCs w:val="28"/>
          <w:lang w:eastAsia="ru-RU"/>
          <w14:ligatures w14:val="none"/>
        </w:rPr>
        <w:t xml:space="preserve"> руководящим составом компании.</w:t>
      </w:r>
    </w:p>
    <w:p w:rsidR="00EE6E5A" w:rsidRDefault="00EE6E5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2C6916">
        <w:rPr>
          <w:rFonts w:ascii="Times New Roman" w:eastAsia="Times New Roman" w:hAnsi="Times New Roman" w:cs="Times New Roman"/>
          <w:snapToGrid w:val="0"/>
          <w:color w:val="auto"/>
          <w:kern w:val="0"/>
          <w:sz w:val="28"/>
          <w:szCs w:val="28"/>
          <w:lang w:eastAsia="ru-RU"/>
          <w14:ligatures w14:val="none"/>
        </w:rPr>
        <w:t>В настоящее время ПАО «Т Плюс» участвует в 28 концессионных соглашениях в 22 городах России с суммарным объемом инвестиционных обязательств в 135,7 млрд руб</w:t>
      </w:r>
      <w:r w:rsidR="002C6916">
        <w:rPr>
          <w:rFonts w:ascii="Times New Roman" w:eastAsia="Times New Roman" w:hAnsi="Times New Roman" w:cs="Times New Roman"/>
          <w:snapToGrid w:val="0"/>
          <w:color w:val="auto"/>
          <w:kern w:val="0"/>
          <w:sz w:val="28"/>
          <w:szCs w:val="28"/>
          <w:lang w:eastAsia="ru-RU"/>
          <w14:ligatures w14:val="none"/>
        </w:rPr>
        <w:t>лей</w:t>
      </w:r>
      <w:r w:rsidRPr="002C6916">
        <w:rPr>
          <w:rFonts w:ascii="Times New Roman" w:eastAsia="Times New Roman" w:hAnsi="Times New Roman" w:cs="Times New Roman"/>
          <w:snapToGrid w:val="0"/>
          <w:color w:val="auto"/>
          <w:kern w:val="0"/>
          <w:sz w:val="28"/>
          <w:szCs w:val="28"/>
          <w:lang w:eastAsia="ru-RU"/>
          <w14:ligatures w14:val="none"/>
        </w:rPr>
        <w:t>. Базовые характеристика рассматривались по всем действующим соглашениям, для более подробного изучения была сформирована база из 22 соглашений с использованием материалов, размещенных в системе ГАС «Управление». Полный перечень концессий ПАО «Т Плюс» с указанием соглашений, включенных в выборку для детального анализа, представлен в таблице 1.</w:t>
      </w:r>
    </w:p>
    <w:p w:rsidR="002C6916" w:rsidRPr="00E22968" w:rsidRDefault="002C6916"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2C6916">
        <w:rPr>
          <w:rFonts w:ascii="Times New Roman" w:eastAsia="Times New Roman" w:hAnsi="Times New Roman" w:cs="Times New Roman"/>
          <w:snapToGrid w:val="0"/>
          <w:color w:val="auto"/>
          <w:kern w:val="0"/>
          <w:sz w:val="28"/>
          <w:szCs w:val="28"/>
          <w:lang w:eastAsia="ru-RU"/>
          <w14:ligatures w14:val="none"/>
        </w:rPr>
        <w:t>Из рассматриваемых 22 городов, только в 3 из них концессионные соглашения заключены без наличия ТЭЦ (ГРЭС), как основного актива компании в городе присутствия. Для ПАО «Т Плюс» это ровно половина городов, где у компании представлены мощности когенерации – ещё 19 городов России имеют ТЭЦ, но на сегодняшний день не используют инстру</w:t>
      </w:r>
      <w:r>
        <w:rPr>
          <w:rFonts w:ascii="Times New Roman" w:eastAsia="Times New Roman" w:hAnsi="Times New Roman" w:cs="Times New Roman"/>
          <w:snapToGrid w:val="0"/>
          <w:color w:val="auto"/>
          <w:kern w:val="0"/>
          <w:sz w:val="28"/>
          <w:szCs w:val="28"/>
          <w:lang w:eastAsia="ru-RU"/>
          <w14:ligatures w14:val="none"/>
        </w:rPr>
        <w:t>мент концессионного соглашения.</w:t>
      </w:r>
    </w:p>
    <w:p w:rsidR="00EE6E5A" w:rsidRPr="008E4093" w:rsidRDefault="002C6916" w:rsidP="002C6916">
      <w:pPr>
        <w:jc w:val="right"/>
        <w:rPr>
          <w:rFonts w:ascii="Times New Roman" w:hAnsi="Times New Roman" w:cs="Times New Roman"/>
        </w:rPr>
      </w:pPr>
      <w:r>
        <w:rPr>
          <w:rFonts w:ascii="Times New Roman" w:hAnsi="Times New Roman" w:cs="Times New Roman"/>
        </w:rPr>
        <w:t>Таблица 1</w:t>
      </w:r>
    </w:p>
    <w:tbl>
      <w:tblPr>
        <w:tblW w:w="9378" w:type="dxa"/>
        <w:tblCellMar>
          <w:left w:w="28" w:type="dxa"/>
          <w:right w:w="28" w:type="dxa"/>
        </w:tblCellMar>
        <w:tblLook w:val="04A0" w:firstRow="1" w:lastRow="0" w:firstColumn="1" w:lastColumn="0" w:noHBand="0" w:noVBand="1"/>
      </w:tblPr>
      <w:tblGrid>
        <w:gridCol w:w="312"/>
        <w:gridCol w:w="1809"/>
        <w:gridCol w:w="1677"/>
        <w:gridCol w:w="1040"/>
        <w:gridCol w:w="424"/>
        <w:gridCol w:w="1570"/>
        <w:gridCol w:w="1506"/>
        <w:gridCol w:w="1040"/>
      </w:tblGrid>
      <w:tr w:rsidR="00EE6E5A" w:rsidRPr="002C6916" w:rsidTr="002C6916">
        <w:trPr>
          <w:trHeight w:val="11"/>
          <w:tblHeader/>
        </w:trPr>
        <w:tc>
          <w:tcPr>
            <w:tcW w:w="312" w:type="dxa"/>
            <w:tcBorders>
              <w:top w:val="single" w:sz="4" w:space="0" w:color="000000"/>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w:t>
            </w:r>
          </w:p>
        </w:tc>
        <w:tc>
          <w:tcPr>
            <w:tcW w:w="1809" w:type="dxa"/>
            <w:tcBorders>
              <w:top w:val="single" w:sz="4" w:space="0" w:color="000000"/>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Субъект РФ</w:t>
            </w:r>
          </w:p>
        </w:tc>
        <w:tc>
          <w:tcPr>
            <w:tcW w:w="1677" w:type="dxa"/>
            <w:tcBorders>
              <w:top w:val="single" w:sz="4" w:space="0" w:color="000000"/>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Город</w:t>
            </w:r>
          </w:p>
        </w:tc>
        <w:tc>
          <w:tcPr>
            <w:tcW w:w="1040" w:type="dxa"/>
            <w:tcBorders>
              <w:top w:val="single" w:sz="4" w:space="0" w:color="000000"/>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 xml:space="preserve">Включен </w:t>
            </w:r>
            <w:r w:rsidRPr="002C6916">
              <w:rPr>
                <w:rFonts w:ascii="Times New Roman" w:eastAsia="Times New Roman" w:hAnsi="Times New Roman" w:cs="Times New Roman"/>
                <w:color w:val="auto"/>
                <w:kern w:val="0"/>
                <w:sz w:val="20"/>
                <w:szCs w:val="20"/>
                <w:lang w:eastAsia="ru-RU"/>
                <w14:ligatures w14:val="none"/>
              </w:rPr>
              <w:br/>
              <w:t>в выборку</w:t>
            </w:r>
          </w:p>
        </w:tc>
        <w:tc>
          <w:tcPr>
            <w:tcW w:w="424" w:type="dxa"/>
            <w:tcBorders>
              <w:top w:val="single" w:sz="4" w:space="0" w:color="000000"/>
              <w:left w:val="nil"/>
              <w:bottom w:val="single" w:sz="4" w:space="0" w:color="000000"/>
              <w:right w:val="single" w:sz="4" w:space="0" w:color="000000"/>
            </w:tcBorders>
            <w:shd w:val="clear" w:color="auto" w:fill="auto"/>
            <w:noWrap/>
            <w:vAlign w:val="center"/>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w:t>
            </w:r>
          </w:p>
        </w:tc>
        <w:tc>
          <w:tcPr>
            <w:tcW w:w="1570" w:type="dxa"/>
            <w:tcBorders>
              <w:top w:val="single" w:sz="4" w:space="0" w:color="000000"/>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Субъект РФ</w:t>
            </w:r>
          </w:p>
        </w:tc>
        <w:tc>
          <w:tcPr>
            <w:tcW w:w="1506" w:type="dxa"/>
            <w:tcBorders>
              <w:top w:val="single" w:sz="4" w:space="0" w:color="000000"/>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Город</w:t>
            </w:r>
          </w:p>
        </w:tc>
        <w:tc>
          <w:tcPr>
            <w:tcW w:w="1040" w:type="dxa"/>
            <w:tcBorders>
              <w:top w:val="single" w:sz="4" w:space="0" w:color="000000"/>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 xml:space="preserve">Включен </w:t>
            </w:r>
            <w:r w:rsidRPr="002C6916">
              <w:rPr>
                <w:rFonts w:ascii="Times New Roman" w:eastAsia="Times New Roman" w:hAnsi="Times New Roman" w:cs="Times New Roman"/>
                <w:color w:val="auto"/>
                <w:kern w:val="0"/>
                <w:sz w:val="20"/>
                <w:szCs w:val="20"/>
                <w:lang w:eastAsia="ru-RU"/>
                <w14:ligatures w14:val="none"/>
              </w:rPr>
              <w:br/>
              <w:t>в выборку</w:t>
            </w:r>
          </w:p>
        </w:tc>
      </w:tr>
      <w:tr w:rsidR="00EE6E5A" w:rsidRPr="002C6916" w:rsidTr="002C6916">
        <w:trPr>
          <w:trHeight w:val="12"/>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Владимирская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Владимир</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vAlign w:val="center"/>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15</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Лысьва</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0"/>
          <w:tblHeader/>
        </w:trPr>
        <w:tc>
          <w:tcPr>
            <w:tcW w:w="312" w:type="dxa"/>
            <w:tcBorders>
              <w:top w:val="nil"/>
              <w:left w:val="single" w:sz="4" w:space="0" w:color="000000"/>
              <w:bottom w:val="single" w:sz="4" w:space="0" w:color="000000"/>
              <w:right w:val="single" w:sz="4" w:space="0" w:color="000000"/>
            </w:tcBorders>
            <w:shd w:val="clear" w:color="auto" w:fill="auto"/>
            <w:noWrap/>
            <w:vAlign w:val="center"/>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w:t>
            </w:r>
          </w:p>
        </w:tc>
        <w:tc>
          <w:tcPr>
            <w:tcW w:w="1809" w:type="dxa"/>
            <w:tcBorders>
              <w:top w:val="nil"/>
              <w:left w:val="nil"/>
              <w:bottom w:val="single" w:sz="4" w:space="0" w:color="000000"/>
              <w:right w:val="single" w:sz="4" w:space="0" w:color="000000"/>
            </w:tcBorders>
            <w:shd w:val="clear" w:color="auto" w:fill="auto"/>
            <w:vAlign w:val="center"/>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Владимирская область</w:t>
            </w:r>
          </w:p>
        </w:tc>
        <w:tc>
          <w:tcPr>
            <w:tcW w:w="1677" w:type="dxa"/>
            <w:tcBorders>
              <w:top w:val="nil"/>
              <w:left w:val="nil"/>
              <w:bottom w:val="single" w:sz="4" w:space="0" w:color="000000"/>
              <w:right w:val="single" w:sz="4" w:space="0" w:color="000000"/>
            </w:tcBorders>
            <w:shd w:val="clear" w:color="auto" w:fill="auto"/>
            <w:vAlign w:val="center"/>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Юрьев-Польский</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highlight w:val="lightGray"/>
                <w:lang w:eastAsia="ru-RU"/>
                <w14:ligatures w14:val="none"/>
              </w:rPr>
              <w:t>нет</w:t>
            </w:r>
            <w:r w:rsidRPr="002C6916">
              <w:rPr>
                <w:rFonts w:ascii="Times New Roman" w:eastAsia="Times New Roman" w:hAnsi="Times New Roman" w:cs="Times New Roman"/>
                <w:color w:val="000000"/>
                <w:kern w:val="0"/>
                <w:sz w:val="20"/>
                <w:szCs w:val="20"/>
                <w:lang w:eastAsia="ru-RU"/>
                <w14:ligatures w14:val="none"/>
              </w:rPr>
              <w:t>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16</w:t>
            </w:r>
          </w:p>
        </w:tc>
        <w:tc>
          <w:tcPr>
            <w:tcW w:w="1570" w:type="dxa"/>
            <w:tcBorders>
              <w:top w:val="nil"/>
              <w:left w:val="nil"/>
              <w:bottom w:val="single" w:sz="4" w:space="0" w:color="000000"/>
              <w:right w:val="single" w:sz="4" w:space="0" w:color="000000"/>
            </w:tcBorders>
            <w:shd w:val="clear" w:color="auto" w:fill="auto"/>
            <w:vAlign w:val="center"/>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506" w:type="dxa"/>
            <w:tcBorders>
              <w:top w:val="nil"/>
              <w:left w:val="nil"/>
              <w:bottom w:val="single" w:sz="4" w:space="0" w:color="000000"/>
              <w:right w:val="single" w:sz="4" w:space="0" w:color="000000"/>
            </w:tcBorders>
            <w:shd w:val="clear" w:color="auto" w:fill="auto"/>
            <w:vAlign w:val="center"/>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Пермь, 2019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highlight w:val="lightGray"/>
                <w:lang w:eastAsia="ru-RU"/>
                <w14:ligatures w14:val="none"/>
              </w:rPr>
              <w:t>нет</w:t>
            </w:r>
            <w:r w:rsidRPr="002C6916">
              <w:rPr>
                <w:rFonts w:ascii="Times New Roman" w:eastAsia="Times New Roman" w:hAnsi="Times New Roman" w:cs="Times New Roman"/>
                <w:color w:val="000000"/>
                <w:kern w:val="0"/>
                <w:sz w:val="20"/>
                <w:szCs w:val="20"/>
                <w:lang w:eastAsia="ru-RU"/>
                <w14:ligatures w14:val="none"/>
              </w:rPr>
              <w:t> </w:t>
            </w:r>
          </w:p>
        </w:tc>
      </w:tr>
      <w:tr w:rsidR="00EE6E5A" w:rsidRPr="002C6916" w:rsidTr="002C6916">
        <w:trPr>
          <w:trHeight w:val="10"/>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3</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Кировская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Киров</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highlight w:val="lightGray"/>
                <w:lang w:eastAsia="ru-RU"/>
                <w14:ligatures w14:val="none"/>
              </w:rPr>
              <w:t>нет</w:t>
            </w:r>
            <w:r w:rsidRPr="002C6916">
              <w:rPr>
                <w:rFonts w:ascii="Times New Roman" w:eastAsia="Times New Roman" w:hAnsi="Times New Roman" w:cs="Times New Roman"/>
                <w:color w:val="000000"/>
                <w:kern w:val="0"/>
                <w:sz w:val="20"/>
                <w:szCs w:val="20"/>
                <w:lang w:eastAsia="ru-RU"/>
                <w14:ligatures w14:val="none"/>
              </w:rPr>
              <w:t>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17</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Пермь, 2022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0"/>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4</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Кировская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Кирово-Чепецк, 2021 г. (1)</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18</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Чайковский, 2022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0"/>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5</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Кировская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Кирово-Чепецк, 2021 г. (2)</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19</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Чайковский, 2023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0"/>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6</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Кировская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Кирс</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highlight w:val="lightGray"/>
                <w:lang w:eastAsia="ru-RU"/>
                <w14:ligatures w14:val="none"/>
              </w:rPr>
              <w:t>нет</w:t>
            </w:r>
            <w:r w:rsidRPr="002C6916">
              <w:rPr>
                <w:rFonts w:ascii="Times New Roman" w:eastAsia="Times New Roman" w:hAnsi="Times New Roman" w:cs="Times New Roman"/>
                <w:color w:val="000000"/>
                <w:kern w:val="0"/>
                <w:sz w:val="20"/>
                <w:szCs w:val="20"/>
                <w:lang w:eastAsia="ru-RU"/>
                <w14:ligatures w14:val="none"/>
              </w:rPr>
              <w:t>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20</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Краснокамск</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6"/>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7</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Республика Чувашия</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Новочебоксарск</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21</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Саратовская область</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Балаково</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0"/>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8</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Республика Чувашия</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Чебоксары</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22</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Саратовская область</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Саратов</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7"/>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9</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Мордовская Республика</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Саранск</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23</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Свердловская область</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Березовский</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highlight w:val="lightGray"/>
                <w:lang w:eastAsia="ru-RU"/>
                <w14:ligatures w14:val="none"/>
              </w:rPr>
              <w:t>нет</w:t>
            </w:r>
            <w:r w:rsidRPr="002C6916">
              <w:rPr>
                <w:rFonts w:ascii="Times New Roman" w:eastAsia="Times New Roman" w:hAnsi="Times New Roman" w:cs="Times New Roman"/>
                <w:color w:val="000000"/>
                <w:kern w:val="0"/>
                <w:sz w:val="20"/>
                <w:szCs w:val="20"/>
                <w:lang w:eastAsia="ru-RU"/>
                <w14:ligatures w14:val="none"/>
              </w:rPr>
              <w:t> </w:t>
            </w:r>
          </w:p>
        </w:tc>
      </w:tr>
      <w:tr w:rsidR="00EE6E5A" w:rsidRPr="002C6916" w:rsidTr="002C6916">
        <w:trPr>
          <w:trHeight w:val="5"/>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10</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Нижегородская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Дзержинск, 2017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24</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Свердловская область</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Лесной</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highlight w:val="lightGray"/>
                <w:lang w:eastAsia="ru-RU"/>
                <w14:ligatures w14:val="none"/>
              </w:rPr>
              <w:t>нет</w:t>
            </w:r>
            <w:r w:rsidRPr="002C6916">
              <w:rPr>
                <w:rFonts w:ascii="Times New Roman" w:eastAsia="Times New Roman" w:hAnsi="Times New Roman" w:cs="Times New Roman"/>
                <w:color w:val="000000"/>
                <w:kern w:val="0"/>
                <w:sz w:val="20"/>
                <w:szCs w:val="20"/>
                <w:lang w:eastAsia="ru-RU"/>
                <w14:ligatures w14:val="none"/>
              </w:rPr>
              <w:t> </w:t>
            </w:r>
          </w:p>
        </w:tc>
      </w:tr>
      <w:tr w:rsidR="00EE6E5A" w:rsidRPr="002C6916" w:rsidTr="002C6916">
        <w:trPr>
          <w:trHeight w:val="15"/>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11</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Нижегородская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Дзержинск, 2022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25</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Свердловская область</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Нижняя Тура</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3"/>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12</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Нижегородская область</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Кстово</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26</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Свердловская область</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Первоуральск</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2"/>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13</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Березники, 2019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27</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Удмуртская Республика</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Ижевск, 2016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r w:rsidR="00EE6E5A" w:rsidRPr="002C6916" w:rsidTr="002C6916">
        <w:trPr>
          <w:trHeight w:val="11"/>
          <w:tblHeader/>
        </w:trPr>
        <w:tc>
          <w:tcPr>
            <w:tcW w:w="312" w:type="dxa"/>
            <w:tcBorders>
              <w:top w:val="nil"/>
              <w:left w:val="single" w:sz="4" w:space="0" w:color="000000"/>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14</w:t>
            </w:r>
          </w:p>
        </w:tc>
        <w:tc>
          <w:tcPr>
            <w:tcW w:w="1809"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Пермский край</w:t>
            </w:r>
          </w:p>
        </w:tc>
        <w:tc>
          <w:tcPr>
            <w:tcW w:w="1677"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Березники, 2024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c>
          <w:tcPr>
            <w:tcW w:w="424"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28</w:t>
            </w:r>
          </w:p>
        </w:tc>
        <w:tc>
          <w:tcPr>
            <w:tcW w:w="1570"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Удмуртская Республика</w:t>
            </w:r>
          </w:p>
        </w:tc>
        <w:tc>
          <w:tcPr>
            <w:tcW w:w="1506" w:type="dxa"/>
            <w:tcBorders>
              <w:top w:val="nil"/>
              <w:left w:val="nil"/>
              <w:bottom w:val="single" w:sz="4" w:space="0" w:color="000000"/>
              <w:right w:val="single" w:sz="4" w:space="0" w:color="000000"/>
            </w:tcBorders>
            <w:shd w:val="clear" w:color="auto" w:fill="auto"/>
            <w:hideMark/>
          </w:tcPr>
          <w:p w:rsidR="00EE6E5A" w:rsidRPr="002C6916" w:rsidRDefault="00EE6E5A" w:rsidP="00EE6E5A">
            <w:pPr>
              <w:spacing w:line="240" w:lineRule="auto"/>
              <w:ind w:firstLine="0"/>
              <w:jc w:val="left"/>
              <w:rPr>
                <w:rFonts w:ascii="Times New Roman" w:eastAsia="Times New Roman" w:hAnsi="Times New Roman" w:cs="Times New Roman"/>
                <w:color w:val="auto"/>
                <w:kern w:val="0"/>
                <w:sz w:val="20"/>
                <w:szCs w:val="20"/>
                <w:lang w:eastAsia="ru-RU"/>
                <w14:ligatures w14:val="none"/>
              </w:rPr>
            </w:pPr>
            <w:r w:rsidRPr="002C6916">
              <w:rPr>
                <w:rFonts w:ascii="Times New Roman" w:eastAsia="Times New Roman" w:hAnsi="Times New Roman" w:cs="Times New Roman"/>
                <w:color w:val="auto"/>
                <w:kern w:val="0"/>
                <w:sz w:val="20"/>
                <w:szCs w:val="20"/>
                <w:lang w:eastAsia="ru-RU"/>
                <w14:ligatures w14:val="none"/>
              </w:rPr>
              <w:t>Ижевск, 2019 г.</w:t>
            </w:r>
          </w:p>
        </w:tc>
        <w:tc>
          <w:tcPr>
            <w:tcW w:w="1040" w:type="dxa"/>
            <w:tcBorders>
              <w:top w:val="nil"/>
              <w:left w:val="nil"/>
              <w:bottom w:val="single" w:sz="4" w:space="0" w:color="000000"/>
              <w:right w:val="single" w:sz="4" w:space="0" w:color="000000"/>
            </w:tcBorders>
            <w:shd w:val="clear" w:color="auto" w:fill="auto"/>
            <w:noWrap/>
            <w:hideMark/>
          </w:tcPr>
          <w:p w:rsidR="00EE6E5A" w:rsidRPr="002C6916" w:rsidRDefault="00EE6E5A" w:rsidP="00EE6E5A">
            <w:pPr>
              <w:spacing w:line="240" w:lineRule="auto"/>
              <w:ind w:firstLine="0"/>
              <w:jc w:val="center"/>
              <w:rPr>
                <w:rFonts w:ascii="Times New Roman" w:eastAsia="Times New Roman" w:hAnsi="Times New Roman" w:cs="Times New Roman"/>
                <w:color w:val="000000"/>
                <w:kern w:val="0"/>
                <w:sz w:val="20"/>
                <w:szCs w:val="20"/>
                <w:lang w:eastAsia="ru-RU"/>
                <w14:ligatures w14:val="none"/>
              </w:rPr>
            </w:pPr>
            <w:r w:rsidRPr="002C6916">
              <w:rPr>
                <w:rFonts w:ascii="Times New Roman" w:eastAsia="Times New Roman" w:hAnsi="Times New Roman" w:cs="Times New Roman"/>
                <w:color w:val="000000"/>
                <w:kern w:val="0"/>
                <w:sz w:val="20"/>
                <w:szCs w:val="20"/>
                <w:lang w:eastAsia="ru-RU"/>
                <w14:ligatures w14:val="none"/>
              </w:rPr>
              <w:t>да </w:t>
            </w:r>
          </w:p>
        </w:tc>
      </w:tr>
    </w:tbl>
    <w:p w:rsidR="00EE6E5A" w:rsidRPr="002C6916" w:rsidRDefault="00EE6E5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2C6916">
        <w:rPr>
          <w:rFonts w:ascii="Times New Roman" w:eastAsia="Times New Roman" w:hAnsi="Times New Roman" w:cs="Times New Roman"/>
          <w:snapToGrid w:val="0"/>
          <w:color w:val="auto"/>
          <w:kern w:val="0"/>
          <w:sz w:val="28"/>
          <w:szCs w:val="28"/>
          <w:lang w:eastAsia="ru-RU"/>
          <w14:ligatures w14:val="none"/>
        </w:rPr>
        <w:t xml:space="preserve">Информация, доступная в системе ГАС «Управление» не всегда содержит исчерпывающую информацию о соглашениях, но, тем не менее, </w:t>
      </w:r>
      <w:r w:rsidR="002C6916">
        <w:rPr>
          <w:rFonts w:ascii="Times New Roman" w:eastAsia="Times New Roman" w:hAnsi="Times New Roman" w:cs="Times New Roman"/>
          <w:snapToGrid w:val="0"/>
          <w:color w:val="auto"/>
          <w:kern w:val="0"/>
          <w:sz w:val="28"/>
          <w:szCs w:val="28"/>
          <w:lang w:eastAsia="ru-RU"/>
          <w14:ligatures w14:val="none"/>
        </w:rPr>
        <w:t>проведенный анализ</w:t>
      </w:r>
      <w:r w:rsidRPr="002C6916">
        <w:rPr>
          <w:rFonts w:ascii="Times New Roman" w:eastAsia="Times New Roman" w:hAnsi="Times New Roman" w:cs="Times New Roman"/>
          <w:snapToGrid w:val="0"/>
          <w:color w:val="auto"/>
          <w:kern w:val="0"/>
          <w:sz w:val="28"/>
          <w:szCs w:val="28"/>
          <w:lang w:eastAsia="ru-RU"/>
          <w14:ligatures w14:val="none"/>
        </w:rPr>
        <w:t xml:space="preserve"> позволяет выявить основные тренды и специфику в сложившихся форматах реализации механизмов государственно-частного партнерства в секторе теплоснабжения на примере ПАО «Т Плюс».</w:t>
      </w:r>
    </w:p>
    <w:p w:rsidR="00EE6E5A" w:rsidRPr="002C6916" w:rsidRDefault="00EE6E5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2C6916">
        <w:rPr>
          <w:rFonts w:ascii="Times New Roman" w:eastAsia="Times New Roman" w:hAnsi="Times New Roman" w:cs="Times New Roman"/>
          <w:snapToGrid w:val="0"/>
          <w:color w:val="auto"/>
          <w:kern w:val="0"/>
          <w:sz w:val="28"/>
          <w:szCs w:val="28"/>
          <w:lang w:eastAsia="ru-RU"/>
          <w14:ligatures w14:val="none"/>
        </w:rPr>
        <w:t xml:space="preserve">Концессионные соглашений анализировались по более чем </w:t>
      </w:r>
      <w:r w:rsidR="000F26F0">
        <w:rPr>
          <w:rFonts w:ascii="Times New Roman" w:eastAsia="Times New Roman" w:hAnsi="Times New Roman" w:cs="Times New Roman"/>
          <w:snapToGrid w:val="0"/>
          <w:color w:val="auto"/>
          <w:kern w:val="0"/>
          <w:sz w:val="28"/>
          <w:szCs w:val="28"/>
          <w:lang w:eastAsia="ru-RU"/>
          <w14:ligatures w14:val="none"/>
        </w:rPr>
        <w:t xml:space="preserve">30 </w:t>
      </w:r>
      <w:r w:rsidRPr="002C6916">
        <w:rPr>
          <w:rFonts w:ascii="Times New Roman" w:eastAsia="Times New Roman" w:hAnsi="Times New Roman" w:cs="Times New Roman"/>
          <w:snapToGrid w:val="0"/>
          <w:color w:val="auto"/>
          <w:kern w:val="0"/>
          <w:sz w:val="28"/>
          <w:szCs w:val="28"/>
          <w:lang w:eastAsia="ru-RU"/>
          <w14:ligatures w14:val="none"/>
        </w:rPr>
        <w:t>критериям, основные параметры представлены в таблице 2.</w:t>
      </w:r>
    </w:p>
    <w:p w:rsidR="00EE6E5A" w:rsidRPr="002C6916" w:rsidRDefault="002C6916" w:rsidP="00857743">
      <w:pPr>
        <w:keepNext/>
        <w:keepLines/>
        <w:jc w:val="right"/>
        <w:rPr>
          <w:rFonts w:ascii="Times New Roman" w:hAnsi="Times New Roman" w:cs="Times New Roman"/>
        </w:rPr>
      </w:pPr>
      <w:r w:rsidRPr="002C6916">
        <w:rPr>
          <w:rFonts w:ascii="Times New Roman" w:hAnsi="Times New Roman" w:cs="Times New Roman"/>
        </w:rPr>
        <w:t>Таблица 2</w:t>
      </w:r>
    </w:p>
    <w:tbl>
      <w:tblPr>
        <w:tblStyle w:val="af1"/>
        <w:tblW w:w="9464" w:type="dxa"/>
        <w:tblLook w:val="04A0" w:firstRow="1" w:lastRow="0" w:firstColumn="1" w:lastColumn="0" w:noHBand="0" w:noVBand="1"/>
      </w:tblPr>
      <w:tblGrid>
        <w:gridCol w:w="2943"/>
        <w:gridCol w:w="6521"/>
      </w:tblGrid>
      <w:tr w:rsidR="00EE6E5A" w:rsidRPr="002C6916" w:rsidTr="00857743">
        <w:tc>
          <w:tcPr>
            <w:tcW w:w="2943" w:type="dxa"/>
          </w:tcPr>
          <w:p w:rsidR="00EE6E5A" w:rsidRPr="002C6916" w:rsidRDefault="00EE6E5A" w:rsidP="00857743">
            <w:pPr>
              <w:keepNext/>
              <w:keepLines/>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 xml:space="preserve">Параметр </w:t>
            </w:r>
          </w:p>
        </w:tc>
        <w:tc>
          <w:tcPr>
            <w:tcW w:w="6521" w:type="dxa"/>
          </w:tcPr>
          <w:p w:rsidR="00EE6E5A" w:rsidRPr="002C6916" w:rsidRDefault="00EE6E5A" w:rsidP="00857743">
            <w:pPr>
              <w:keepNext/>
              <w:keepLines/>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Значимость для анализа и основные граничные значения при рассмотрении</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Число заключенных концессионных соглашений в год, ед.</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Иллюстрирует изменение популярности инструментов государственно-частного партнерства в управлении развитием коммунального комплекса. Изменения и доработка концессионного законодательства влияла на наполнение соглашений. Разработка большого количества соглашений в один год в границах одного субъекта России приводило к подготовке шаблонных документов</w:t>
            </w:r>
            <w:r w:rsidR="002C6916">
              <w:rPr>
                <w:rFonts w:ascii="Times New Roman" w:hAnsi="Times New Roman" w:cs="Times New Roman"/>
                <w:bCs/>
                <w:kern w:val="2"/>
                <w:sz w:val="20"/>
                <w:szCs w:val="20"/>
                <w14:ligatures w14:val="standardContextual"/>
              </w:rPr>
              <w:t xml:space="preserve"> и тиражированию решений, в том числе</w:t>
            </w:r>
            <w:r w:rsidRPr="002C6916">
              <w:rPr>
                <w:rFonts w:ascii="Times New Roman" w:hAnsi="Times New Roman" w:cs="Times New Roman"/>
                <w:bCs/>
                <w:kern w:val="2"/>
                <w:sz w:val="20"/>
                <w:szCs w:val="20"/>
                <w14:ligatures w14:val="standardContextual"/>
              </w:rPr>
              <w:t xml:space="preserve"> ошибочных.</w:t>
            </w:r>
            <w:r w:rsidRPr="002C6916" w:rsidDel="00152A3F">
              <w:rPr>
                <w:rFonts w:ascii="Times New Roman" w:hAnsi="Times New Roman" w:cs="Times New Roman"/>
                <w:bCs/>
                <w:kern w:val="2"/>
                <w:sz w:val="20"/>
                <w:szCs w:val="20"/>
                <w14:ligatures w14:val="standardContextual"/>
              </w:rPr>
              <w:t xml:space="preserve"> </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Срок реализации концессионного соглашения, лет</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Слишком короткие (менее 10 лет) или слишком длинные соглашения (более 25 лет) имеют значительные недостатки как для частной, так и для публичной стороны соглашения</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Разработчик концессионного соглашения</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Разработчиком может выступать как частная, так и публичная сторона. Наличие информации о разработчике позволяет выдвигать гипотезы о качестве соглашения и вероятности успешной реализации.</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Количество заявок в конкурсе на заключение концессионного соглашения, ед.</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 xml:space="preserve">Наличие конкуренции за право управления коммунальной инфраструктурой способно привести к большим положительным эффектам для потребителей услуг. </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Перечень секторов коммунальной инфраструктуры, который охватывает концессия</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Рассматривались соглашения секторе теплоснабжения, однако помимо услуги отопления зачастую модернизация инфраструктуры влияет и на работу систем горячего водоснабжения (ГВС) (в открытых системах ГВС, а также при работе с инфраструктурой закрытых систем ГВС)</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Число страниц в тексте концессионного соглашения, ед.</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 xml:space="preserve">Чем длиннее текст концессионного соглашения, тем более детально раскрыты все основные разделы. В коротких соглашениях могут быть пропущены или редуцированы важные для успешной реализации соглашения условия, </w:t>
            </w:r>
            <w:r w:rsidR="000F26F0">
              <w:rPr>
                <w:rFonts w:ascii="Times New Roman" w:hAnsi="Times New Roman" w:cs="Times New Roman"/>
                <w:bCs/>
                <w:kern w:val="2"/>
                <w:sz w:val="20"/>
                <w:szCs w:val="20"/>
                <w14:ligatures w14:val="standardContextual"/>
              </w:rPr>
              <w:t xml:space="preserve">например, касающиеся намерений </w:t>
            </w:r>
            <w:r w:rsidRPr="002C6916">
              <w:rPr>
                <w:rFonts w:ascii="Times New Roman" w:hAnsi="Times New Roman" w:cs="Times New Roman"/>
                <w:bCs/>
                <w:kern w:val="2"/>
                <w:sz w:val="20"/>
                <w:szCs w:val="20"/>
                <w14:ligatures w14:val="standardContextual"/>
              </w:rPr>
              <w:t>ст</w:t>
            </w:r>
            <w:r w:rsidR="000F26F0">
              <w:rPr>
                <w:rFonts w:ascii="Times New Roman" w:hAnsi="Times New Roman" w:cs="Times New Roman"/>
                <w:bCs/>
                <w:kern w:val="2"/>
                <w:sz w:val="20"/>
                <w:szCs w:val="20"/>
                <w14:ligatures w14:val="standardContextual"/>
              </w:rPr>
              <w:t>орон, их ответственности (в том числе</w:t>
            </w:r>
            <w:r w:rsidRPr="002C6916">
              <w:rPr>
                <w:rFonts w:ascii="Times New Roman" w:hAnsi="Times New Roman" w:cs="Times New Roman"/>
                <w:bCs/>
                <w:kern w:val="2"/>
                <w:sz w:val="20"/>
                <w:szCs w:val="20"/>
                <w14:ligatures w14:val="standardContextual"/>
              </w:rPr>
              <w:t xml:space="preserve"> штрафные санкции)</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Суммарный объем инвестиций по соглашению, руб.</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 xml:space="preserve">Объем инвестиций в качественном концессионном соглашении иллюстрирует фактическое состояние коммунальных систем и потребность в привлечении финансовых средств в развитие. Однако когда речь идет о возвратности инвестиций следует принимать во внимание сроки привлечения инвестиций и реальность заявленных размеров. Если привлечение инвестиций растягивается на десятилетия, а объем многократно превышает годовую тарифную выручку, то такие инвестиции нельзя рассматривать как актуальные и реалистичные. </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Структура инвестиций по источникам финансирования, %</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Основным источником финансовых средств должна выступать частная сторона, предпочтительно привлечение заемных средств из рыночных механизмов, сильной стороной является наличие финансирования из инструментов «инфраструктурного меню». Инвестиции со стороны концедента также крайне значимы для отдельных соглашений, но они часто формируют дополнительные риски реализации соглашения.</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Распределение инвестиционных вложений по годам реализации соглашения</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Основной объем инвестиционных вложений должен быть сосредоточен в первые несколько лет (порядка 7 лет) реализации соглашения. Последующие годы работы должны обеспечить возврат концессионеру вложенных средств.</w:t>
            </w:r>
          </w:p>
        </w:tc>
      </w:tr>
      <w:tr w:rsidR="00EE6E5A" w:rsidRPr="002C6916" w:rsidTr="00857743">
        <w:tc>
          <w:tcPr>
            <w:tcW w:w="2943"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Наличие в открытом доступе информации об исполнении концессионного соглашения</w:t>
            </w:r>
          </w:p>
        </w:tc>
        <w:tc>
          <w:tcPr>
            <w:tcW w:w="6521" w:type="dxa"/>
          </w:tcPr>
          <w:p w:rsidR="00EE6E5A" w:rsidRPr="002C6916" w:rsidRDefault="00EE6E5A" w:rsidP="00857743">
            <w:pPr>
              <w:spacing w:line="240" w:lineRule="auto"/>
              <w:ind w:firstLine="0"/>
              <w:jc w:val="left"/>
              <w:rPr>
                <w:rFonts w:ascii="Times New Roman" w:hAnsi="Times New Roman" w:cs="Times New Roman"/>
                <w:bCs/>
                <w:kern w:val="2"/>
                <w:sz w:val="20"/>
                <w:szCs w:val="20"/>
                <w14:ligatures w14:val="standardContextual"/>
              </w:rPr>
            </w:pPr>
            <w:r w:rsidRPr="002C6916">
              <w:rPr>
                <w:rFonts w:ascii="Times New Roman" w:hAnsi="Times New Roman" w:cs="Times New Roman"/>
                <w:bCs/>
                <w:kern w:val="2"/>
                <w:sz w:val="20"/>
                <w:szCs w:val="20"/>
                <w14:ligatures w14:val="standardContextual"/>
              </w:rPr>
              <w:t>Прозрачность информации о реализации позволяет дать оценку эффективности соглашения</w:t>
            </w:r>
          </w:p>
        </w:tc>
      </w:tr>
    </w:tbl>
    <w:p w:rsidR="000F26F0" w:rsidRDefault="00EE6E5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0F26F0">
        <w:rPr>
          <w:rFonts w:ascii="Times New Roman" w:eastAsia="Times New Roman" w:hAnsi="Times New Roman" w:cs="Times New Roman"/>
          <w:snapToGrid w:val="0"/>
          <w:color w:val="auto"/>
          <w:kern w:val="0"/>
          <w:sz w:val="28"/>
          <w:szCs w:val="28"/>
          <w:lang w:eastAsia="ru-RU"/>
          <w14:ligatures w14:val="none"/>
        </w:rPr>
        <w:t xml:space="preserve">Наибольшее число действующих концессионных соглашений </w:t>
      </w:r>
      <w:r w:rsidR="000F26F0" w:rsidRPr="000F26F0">
        <w:rPr>
          <w:rFonts w:ascii="Times New Roman" w:eastAsia="Times New Roman" w:hAnsi="Times New Roman" w:cs="Times New Roman"/>
          <w:snapToGrid w:val="0"/>
          <w:color w:val="auto"/>
          <w:kern w:val="0"/>
          <w:sz w:val="28"/>
          <w:szCs w:val="28"/>
          <w:lang w:eastAsia="ru-RU"/>
          <w14:ligatures w14:val="none"/>
        </w:rPr>
        <w:t>компании заключено после 2020 года</w:t>
      </w:r>
      <w:r w:rsidRPr="000F26F0">
        <w:rPr>
          <w:rFonts w:ascii="Times New Roman" w:eastAsia="Times New Roman" w:hAnsi="Times New Roman" w:cs="Times New Roman"/>
          <w:snapToGrid w:val="0"/>
          <w:color w:val="auto"/>
          <w:kern w:val="0"/>
          <w:sz w:val="28"/>
          <w:szCs w:val="28"/>
          <w:lang w:eastAsia="ru-RU"/>
          <w14:ligatures w14:val="none"/>
        </w:rPr>
        <w:t xml:space="preserve"> (</w:t>
      </w:r>
      <w:r w:rsidR="000F26F0" w:rsidRPr="000F26F0">
        <w:rPr>
          <w:rFonts w:ascii="Times New Roman" w:eastAsia="Times New Roman" w:hAnsi="Times New Roman" w:cs="Times New Roman"/>
          <w:snapToGrid w:val="0"/>
          <w:color w:val="auto"/>
          <w:kern w:val="0"/>
          <w:sz w:val="28"/>
          <w:szCs w:val="28"/>
          <w:lang w:eastAsia="ru-RU"/>
          <w14:ligatures w14:val="none"/>
        </w:rPr>
        <w:t xml:space="preserve">см. </w:t>
      </w:r>
      <w:r w:rsidRPr="000F26F0">
        <w:rPr>
          <w:rFonts w:ascii="Times New Roman" w:eastAsia="Times New Roman" w:hAnsi="Times New Roman" w:cs="Times New Roman"/>
          <w:snapToGrid w:val="0"/>
          <w:color w:val="auto"/>
          <w:kern w:val="0"/>
          <w:sz w:val="28"/>
          <w:szCs w:val="28"/>
          <w:lang w:eastAsia="ru-RU"/>
          <w14:ligatures w14:val="none"/>
        </w:rPr>
        <w:t>Рисунок</w:t>
      </w:r>
      <w:r w:rsidR="000F26F0">
        <w:rPr>
          <w:rFonts w:ascii="Times New Roman" w:eastAsia="Times New Roman" w:hAnsi="Times New Roman" w:cs="Times New Roman"/>
          <w:snapToGrid w:val="0"/>
          <w:color w:val="auto"/>
          <w:kern w:val="0"/>
          <w:sz w:val="28"/>
          <w:szCs w:val="28"/>
          <w:lang w:eastAsia="ru-RU"/>
          <w14:ligatures w14:val="none"/>
        </w:rPr>
        <w:t xml:space="preserve"> 1). </w:t>
      </w:r>
      <w:r w:rsidRPr="000F26F0">
        <w:rPr>
          <w:rFonts w:ascii="Times New Roman" w:eastAsia="Times New Roman" w:hAnsi="Times New Roman" w:cs="Times New Roman"/>
          <w:snapToGrid w:val="0"/>
          <w:color w:val="auto"/>
          <w:kern w:val="0"/>
          <w:sz w:val="28"/>
          <w:szCs w:val="28"/>
          <w:lang w:eastAsia="ru-RU"/>
          <w14:ligatures w14:val="none"/>
        </w:rPr>
        <w:t>Заключение соглашений лимитировано конечным числом городов (или регионов) присутствия активов компании.</w:t>
      </w:r>
    </w:p>
    <w:p w:rsidR="00EE6E5A" w:rsidRPr="000F26F0" w:rsidRDefault="000F26F0"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В</w:t>
      </w:r>
      <w:r w:rsidR="00435046" w:rsidRPr="000F26F0">
        <w:rPr>
          <w:rFonts w:ascii="Times New Roman" w:eastAsia="Times New Roman" w:hAnsi="Times New Roman" w:cs="Times New Roman"/>
          <w:snapToGrid w:val="0"/>
          <w:color w:val="auto"/>
          <w:kern w:val="0"/>
          <w:sz w:val="28"/>
          <w:szCs w:val="28"/>
          <w:lang w:eastAsia="ru-RU"/>
          <w14:ligatures w14:val="none"/>
        </w:rPr>
        <w:t xml:space="preserve"> то же время, п</w:t>
      </w:r>
      <w:r w:rsidR="00EE6E5A" w:rsidRPr="000F26F0">
        <w:rPr>
          <w:rFonts w:ascii="Times New Roman" w:eastAsia="Times New Roman" w:hAnsi="Times New Roman" w:cs="Times New Roman"/>
          <w:snapToGrid w:val="0"/>
          <w:color w:val="auto"/>
          <w:kern w:val="0"/>
          <w:sz w:val="28"/>
          <w:szCs w:val="28"/>
          <w:lang w:eastAsia="ru-RU"/>
          <w14:ligatures w14:val="none"/>
        </w:rPr>
        <w:t>рактика работы ПАО «Т Плюс» в таких регионах как Свердловская область, Пермский край, Кировская область</w:t>
      </w:r>
      <w:r w:rsidR="00435046" w:rsidRPr="000F26F0">
        <w:rPr>
          <w:rFonts w:ascii="Times New Roman" w:eastAsia="Times New Roman" w:hAnsi="Times New Roman" w:cs="Times New Roman"/>
          <w:snapToGrid w:val="0"/>
          <w:color w:val="auto"/>
          <w:kern w:val="0"/>
          <w:sz w:val="28"/>
          <w:szCs w:val="28"/>
          <w:lang w:eastAsia="ru-RU"/>
          <w14:ligatures w14:val="none"/>
        </w:rPr>
        <w:t>, Владимирская область</w:t>
      </w:r>
      <w:r w:rsidR="00EE6E5A" w:rsidRPr="000F26F0">
        <w:rPr>
          <w:rFonts w:ascii="Times New Roman" w:eastAsia="Times New Roman" w:hAnsi="Times New Roman" w:cs="Times New Roman"/>
          <w:snapToGrid w:val="0"/>
          <w:color w:val="auto"/>
          <w:kern w:val="0"/>
          <w:sz w:val="28"/>
          <w:szCs w:val="28"/>
          <w:lang w:eastAsia="ru-RU"/>
          <w14:ligatures w14:val="none"/>
        </w:rPr>
        <w:t xml:space="preserve"> демонстрируют перспективные сценарии увеличения числа городов присутствия и заключения концессионных соглашений на системы централизованного теплоснабжения средних и ма</w:t>
      </w:r>
      <w:r>
        <w:rPr>
          <w:rFonts w:ascii="Times New Roman" w:eastAsia="Times New Roman" w:hAnsi="Times New Roman" w:cs="Times New Roman"/>
          <w:snapToGrid w:val="0"/>
          <w:color w:val="auto"/>
          <w:kern w:val="0"/>
          <w:sz w:val="28"/>
          <w:szCs w:val="28"/>
          <w:lang w:eastAsia="ru-RU"/>
          <w14:ligatures w14:val="none"/>
        </w:rPr>
        <w:t>лых городов указанных регионов.</w:t>
      </w:r>
    </w:p>
    <w:p w:rsidR="00EE6E5A" w:rsidRPr="00EE6E5A" w:rsidRDefault="00EE6E5A" w:rsidP="00EE6E5A">
      <w:pPr>
        <w:ind w:firstLine="0"/>
        <w:jc w:val="center"/>
      </w:pPr>
      <w:r w:rsidRPr="00EE6E5A">
        <w:rPr>
          <w:noProof/>
          <w:lang w:eastAsia="ru-RU"/>
        </w:rPr>
        <w:drawing>
          <wp:inline distT="0" distB="0" distL="0" distR="0" wp14:anchorId="7BAC5302" wp14:editId="67C54461">
            <wp:extent cx="6167887" cy="1664898"/>
            <wp:effectExtent l="0" t="0" r="0" b="0"/>
            <wp:docPr id="1" name="Диаграмма 1">
              <a:extLst xmlns:a="http://schemas.openxmlformats.org/drawingml/2006/main">
                <a:ext uri="{FF2B5EF4-FFF2-40B4-BE49-F238E27FC236}">
                  <a16:creationId xmlns:a16="http://schemas.microsoft.com/office/drawing/2014/main" id="{73BF18C5-6F30-09C0-EF9D-2C398701D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6E5A" w:rsidRPr="008E4093" w:rsidRDefault="00EE6E5A" w:rsidP="008E4093">
      <w:pPr>
        <w:spacing w:line="240" w:lineRule="auto"/>
        <w:ind w:firstLine="0"/>
        <w:jc w:val="center"/>
        <w:rPr>
          <w:rFonts w:ascii="Times New Roman" w:hAnsi="Times New Roman" w:cs="Times New Roman"/>
        </w:rPr>
      </w:pPr>
      <w:r w:rsidRPr="008E4093">
        <w:rPr>
          <w:rFonts w:ascii="Times New Roman" w:hAnsi="Times New Roman" w:cs="Times New Roman"/>
        </w:rPr>
        <w:t>Рисунок 1 – Динамика количества заключения концессионных соглашений в секторе теплоснабжения ПАО «Т Плюс»</w:t>
      </w:r>
    </w:p>
    <w:p w:rsidR="00EE6E5A" w:rsidRPr="008E4093" w:rsidRDefault="000F26F0" w:rsidP="00EE6E5A">
      <w:pPr>
        <w:ind w:firstLine="0"/>
        <w:rPr>
          <w:rFonts w:ascii="Times New Roman" w:hAnsi="Times New Roman" w:cs="Times New Roman"/>
        </w:rPr>
      </w:pPr>
      <w:r>
        <w:rPr>
          <w:rFonts w:ascii="Times New Roman" w:hAnsi="Times New Roman" w:cs="Times New Roman"/>
        </w:rPr>
        <w:t>Источник: данные ПАО «Т Плюс»</w:t>
      </w:r>
    </w:p>
    <w:p w:rsidR="00EE6E5A" w:rsidRPr="008E4093" w:rsidRDefault="00EE6E5A" w:rsidP="00857743">
      <w:pPr>
        <w:overflowPunct w:val="0"/>
        <w:autoSpaceDE w:val="0"/>
        <w:autoSpaceDN w:val="0"/>
        <w:adjustRightInd w:val="0"/>
        <w:spacing w:line="276" w:lineRule="auto"/>
        <w:textAlignment w:val="baseline"/>
        <w:outlineLvl w:val="2"/>
        <w:rPr>
          <w:rFonts w:ascii="Times New Roman" w:hAnsi="Times New Roman" w:cs="Times New Roman"/>
        </w:rPr>
      </w:pPr>
      <w:r w:rsidRPr="000F26F0">
        <w:rPr>
          <w:rFonts w:ascii="Times New Roman" w:eastAsia="Times New Roman" w:hAnsi="Times New Roman" w:cs="Times New Roman"/>
          <w:snapToGrid w:val="0"/>
          <w:color w:val="auto"/>
          <w:kern w:val="0"/>
          <w:sz w:val="28"/>
          <w:szCs w:val="28"/>
          <w:lang w:eastAsia="ru-RU"/>
          <w14:ligatures w14:val="none"/>
        </w:rPr>
        <w:t xml:space="preserve">Срок заключаемых соглашений обычно не превышает 25 лет, а наиболее продолжительное из действующих рассчитано на 35 лет. </w:t>
      </w:r>
      <w:r w:rsidR="000F26F0">
        <w:rPr>
          <w:rFonts w:ascii="Times New Roman" w:eastAsia="Times New Roman" w:hAnsi="Times New Roman" w:cs="Times New Roman"/>
          <w:snapToGrid w:val="0"/>
          <w:color w:val="auto"/>
          <w:kern w:val="0"/>
          <w:sz w:val="28"/>
          <w:szCs w:val="28"/>
          <w:lang w:eastAsia="ru-RU"/>
          <w14:ligatures w14:val="none"/>
        </w:rPr>
        <w:t>Следует отметить</w:t>
      </w:r>
      <w:r w:rsidRPr="000F26F0">
        <w:rPr>
          <w:rFonts w:ascii="Times New Roman" w:eastAsia="Times New Roman" w:hAnsi="Times New Roman" w:cs="Times New Roman"/>
          <w:snapToGrid w:val="0"/>
          <w:color w:val="auto"/>
          <w:kern w:val="0"/>
          <w:sz w:val="28"/>
          <w:szCs w:val="28"/>
          <w:lang w:eastAsia="ru-RU"/>
          <w14:ligatures w14:val="none"/>
        </w:rPr>
        <w:t xml:space="preserve"> отсутствие коротких соглашений с обязательствами на период менее 10 лет, минимальный срок составляет 13 лет. В среднем ПАО «Т Плюс» заключает концессии на 20 лет.</w:t>
      </w:r>
    </w:p>
    <w:p w:rsidR="00EE6E5A" w:rsidRPr="000F26F0" w:rsidRDefault="00EE6E5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0F26F0">
        <w:rPr>
          <w:rFonts w:ascii="Times New Roman" w:eastAsia="Times New Roman" w:hAnsi="Times New Roman" w:cs="Times New Roman"/>
          <w:snapToGrid w:val="0"/>
          <w:color w:val="auto"/>
          <w:kern w:val="0"/>
          <w:sz w:val="28"/>
          <w:szCs w:val="28"/>
          <w:lang w:eastAsia="ru-RU"/>
          <w14:ligatures w14:val="none"/>
        </w:rPr>
        <w:t>Наибольшая доля концессионных соглашений компании заключена на срок от 15 до 19 л</w:t>
      </w:r>
      <w:r w:rsidR="000F26F0">
        <w:rPr>
          <w:rFonts w:ascii="Times New Roman" w:eastAsia="Times New Roman" w:hAnsi="Times New Roman" w:cs="Times New Roman"/>
          <w:snapToGrid w:val="0"/>
          <w:color w:val="auto"/>
          <w:kern w:val="0"/>
          <w:sz w:val="28"/>
          <w:szCs w:val="28"/>
          <w:lang w:eastAsia="ru-RU"/>
          <w14:ligatures w14:val="none"/>
        </w:rPr>
        <w:t>ет (Рисунок 2</w:t>
      </w:r>
      <w:r w:rsidRPr="000F26F0">
        <w:rPr>
          <w:rFonts w:ascii="Times New Roman" w:eastAsia="Times New Roman" w:hAnsi="Times New Roman" w:cs="Times New Roman"/>
          <w:snapToGrid w:val="0"/>
          <w:color w:val="auto"/>
          <w:kern w:val="0"/>
          <w:sz w:val="28"/>
          <w:szCs w:val="28"/>
          <w:lang w:eastAsia="ru-RU"/>
          <w14:ligatures w14:val="none"/>
        </w:rPr>
        <w:t>). Такой период является оптимальным как для публичной стороны и потребителей услуг, которые за ограниченный временной период могут получить заметное улучшение качества предоставляемых услуг, так и для инвестора, который имеет достаточный период времени, чтобы окупить инвестиционные вложения. Последние концессионные соглашения компании рассчитаны на срок реализации в 17-18 лет.</w:t>
      </w:r>
    </w:p>
    <w:p w:rsidR="00EE6E5A" w:rsidRPr="000F26F0" w:rsidRDefault="00EE6E5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0F26F0">
        <w:rPr>
          <w:rFonts w:ascii="Times New Roman" w:eastAsia="Times New Roman" w:hAnsi="Times New Roman" w:cs="Times New Roman"/>
          <w:snapToGrid w:val="0"/>
          <w:color w:val="auto"/>
          <w:kern w:val="0"/>
          <w:sz w:val="28"/>
          <w:szCs w:val="28"/>
          <w:lang w:eastAsia="ru-RU"/>
          <w14:ligatures w14:val="none"/>
        </w:rPr>
        <w:t>На фоне многих концессионных соглашений последних лет в сект</w:t>
      </w:r>
      <w:r w:rsidR="000F26F0">
        <w:rPr>
          <w:rFonts w:ascii="Times New Roman" w:eastAsia="Times New Roman" w:hAnsi="Times New Roman" w:cs="Times New Roman"/>
          <w:snapToGrid w:val="0"/>
          <w:color w:val="auto"/>
          <w:kern w:val="0"/>
          <w:sz w:val="28"/>
          <w:szCs w:val="28"/>
          <w:lang w:eastAsia="ru-RU"/>
          <w14:ligatures w14:val="none"/>
        </w:rPr>
        <w:t>оре коммунальной инфраструктуры</w:t>
      </w:r>
      <w:r w:rsidRPr="000F26F0">
        <w:rPr>
          <w:rFonts w:ascii="Times New Roman" w:eastAsia="Times New Roman" w:hAnsi="Times New Roman" w:cs="Times New Roman"/>
          <w:snapToGrid w:val="0"/>
          <w:color w:val="auto"/>
          <w:kern w:val="0"/>
          <w:sz w:val="28"/>
          <w:szCs w:val="28"/>
          <w:lang w:eastAsia="ru-RU"/>
          <w14:ligatures w14:val="none"/>
        </w:rPr>
        <w:t xml:space="preserve"> короткие соглашения являются скорее исключением. При средних значениях сроков реализации 11-12 лет в проектах ГЧП сохраняется значительное число коротких соглашений без серьезных инвестиционных обязательств (до 10 лет), а также растет число предельно длинных концессионных соглашений (до 49 лет).</w:t>
      </w:r>
    </w:p>
    <w:p w:rsidR="00EE6E5A" w:rsidRPr="000F26F0" w:rsidRDefault="00EE6E5A" w:rsidP="00857743">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0F26F0">
        <w:rPr>
          <w:rFonts w:ascii="Times New Roman" w:eastAsia="Times New Roman" w:hAnsi="Times New Roman" w:cs="Times New Roman"/>
          <w:snapToGrid w:val="0"/>
          <w:color w:val="auto"/>
          <w:kern w:val="0"/>
          <w:sz w:val="28"/>
          <w:szCs w:val="28"/>
          <w:lang w:eastAsia="ru-RU"/>
          <w14:ligatures w14:val="none"/>
        </w:rPr>
        <w:t>В секторе водоснабжения и водоотведения наблюдается преобладание краткосрочных соглашений, порядка 40% приходится на концессии со сроком до 10 лет. В соглашениях ПАО «Т Плюс» последних лет скорее наблюдается снижение периода реализации соглашений, значения также приближаются к отметке в 15-16 лет.</w:t>
      </w:r>
    </w:p>
    <w:p w:rsidR="00EE6E5A" w:rsidRPr="00EE6E5A" w:rsidRDefault="00EE6E5A" w:rsidP="00EE6E5A">
      <w:pPr>
        <w:ind w:firstLine="0"/>
        <w:jc w:val="center"/>
      </w:pPr>
      <w:r w:rsidRPr="00EE6E5A">
        <w:rPr>
          <w:noProof/>
          <w:lang w:eastAsia="ru-RU"/>
        </w:rPr>
        <w:drawing>
          <wp:inline distT="0" distB="0" distL="0" distR="0" wp14:anchorId="6289B09F" wp14:editId="2B21B088">
            <wp:extent cx="4572000" cy="1977292"/>
            <wp:effectExtent l="0" t="0" r="0" b="4445"/>
            <wp:docPr id="3" name="Диаграмма 1">
              <a:extLst xmlns:a="http://schemas.openxmlformats.org/drawingml/2006/main">
                <a:ext uri="{FF2B5EF4-FFF2-40B4-BE49-F238E27FC236}">
                  <a16:creationId xmlns:a16="http://schemas.microsoft.com/office/drawing/2014/main" id="{5DE5B093-F9F5-2FD5-6D5B-ECD091D5F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6E5A" w:rsidRPr="008E4093" w:rsidRDefault="000F26F0" w:rsidP="008E4093">
      <w:pPr>
        <w:spacing w:line="240" w:lineRule="auto"/>
        <w:ind w:firstLine="0"/>
        <w:jc w:val="center"/>
        <w:rPr>
          <w:rFonts w:ascii="Times New Roman" w:hAnsi="Times New Roman" w:cs="Times New Roman"/>
        </w:rPr>
      </w:pPr>
      <w:r>
        <w:rPr>
          <w:rFonts w:ascii="Times New Roman" w:hAnsi="Times New Roman" w:cs="Times New Roman"/>
        </w:rPr>
        <w:t>Рисунок 2</w:t>
      </w:r>
      <w:r w:rsidR="00EE6E5A" w:rsidRPr="008E4093">
        <w:rPr>
          <w:rFonts w:ascii="Times New Roman" w:hAnsi="Times New Roman" w:cs="Times New Roman"/>
        </w:rPr>
        <w:t xml:space="preserve"> – Срок реализации заключенных концессионных соглашений в секторе теплоснабжения ПАО «Т Плюс»</w:t>
      </w:r>
    </w:p>
    <w:p w:rsidR="00EE6E5A" w:rsidRDefault="000F26F0" w:rsidP="008E4093">
      <w:pPr>
        <w:spacing w:line="240" w:lineRule="auto"/>
        <w:ind w:firstLine="0"/>
        <w:rPr>
          <w:rFonts w:ascii="Times New Roman" w:hAnsi="Times New Roman" w:cs="Times New Roman"/>
        </w:rPr>
      </w:pPr>
      <w:r>
        <w:rPr>
          <w:rFonts w:ascii="Times New Roman" w:hAnsi="Times New Roman" w:cs="Times New Roman"/>
        </w:rPr>
        <w:t>Источник: данные ПАО «Т Плюс»</w:t>
      </w:r>
    </w:p>
    <w:p w:rsidR="008E4093" w:rsidRPr="008E4093" w:rsidRDefault="008E4093" w:rsidP="008E4093">
      <w:pPr>
        <w:spacing w:line="240" w:lineRule="auto"/>
        <w:ind w:firstLine="0"/>
        <w:rPr>
          <w:rFonts w:ascii="Times New Roman" w:hAnsi="Times New Roman" w:cs="Times New Roman"/>
        </w:rPr>
      </w:pPr>
    </w:p>
    <w:p w:rsidR="00EE6E5A" w:rsidRPr="000F26F0" w:rsidRDefault="00EE6E5A" w:rsidP="00B670AE">
      <w:pPr>
        <w:overflowPunct w:val="0"/>
        <w:autoSpaceDE w:val="0"/>
        <w:autoSpaceDN w:val="0"/>
        <w:adjustRightInd w:val="0"/>
        <w:spacing w:line="240"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0F26F0">
        <w:rPr>
          <w:rFonts w:ascii="Times New Roman" w:eastAsia="Times New Roman" w:hAnsi="Times New Roman" w:cs="Times New Roman"/>
          <w:snapToGrid w:val="0"/>
          <w:color w:val="auto"/>
          <w:kern w:val="0"/>
          <w:sz w:val="28"/>
          <w:szCs w:val="28"/>
          <w:lang w:eastAsia="ru-RU"/>
          <w14:ligatures w14:val="none"/>
        </w:rPr>
        <w:t>Инициатива заключения большинства анализируемых соглашений принадлежит непосредственно ПАО «Т Плюс», компания выступала разработчиком и инициатором процесса согласования почти во всех соглашениях. Даже при необходимости проведения конкурса и сбора заявок о готовности к участию в конкурсе от иных компании, зачастую предложение ПАО «Т Плюс» оставалось единственной поданн</w:t>
      </w:r>
      <w:r w:rsidR="000F26F0">
        <w:rPr>
          <w:rFonts w:ascii="Times New Roman" w:eastAsia="Times New Roman" w:hAnsi="Times New Roman" w:cs="Times New Roman"/>
          <w:snapToGrid w:val="0"/>
          <w:color w:val="auto"/>
          <w:kern w:val="0"/>
          <w:sz w:val="28"/>
          <w:szCs w:val="28"/>
          <w:lang w:eastAsia="ru-RU"/>
          <w14:ligatures w14:val="none"/>
        </w:rPr>
        <w:t>ой заявкой на конкурс (Рисунок 3</w:t>
      </w:r>
      <w:r w:rsidRPr="000F26F0">
        <w:rPr>
          <w:rFonts w:ascii="Times New Roman" w:eastAsia="Times New Roman" w:hAnsi="Times New Roman" w:cs="Times New Roman"/>
          <w:snapToGrid w:val="0"/>
          <w:color w:val="auto"/>
          <w:kern w:val="0"/>
          <w:sz w:val="28"/>
          <w:szCs w:val="28"/>
          <w:lang w:eastAsia="ru-RU"/>
          <w14:ligatures w14:val="none"/>
        </w:rPr>
        <w:t>). Почти все соглашения заключены без конкурентной борьбы.</w:t>
      </w:r>
    </w:p>
    <w:p w:rsidR="00EE6E5A" w:rsidRPr="000F26F0" w:rsidRDefault="00EE6E5A" w:rsidP="00B670AE">
      <w:pPr>
        <w:overflowPunct w:val="0"/>
        <w:autoSpaceDE w:val="0"/>
        <w:autoSpaceDN w:val="0"/>
        <w:adjustRightInd w:val="0"/>
        <w:spacing w:line="240"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0F26F0">
        <w:rPr>
          <w:rFonts w:ascii="Times New Roman" w:eastAsia="Times New Roman" w:hAnsi="Times New Roman" w:cs="Times New Roman"/>
          <w:snapToGrid w:val="0"/>
          <w:color w:val="auto"/>
          <w:kern w:val="0"/>
          <w:sz w:val="28"/>
          <w:szCs w:val="28"/>
          <w:lang w:eastAsia="ru-RU"/>
          <w14:ligatures w14:val="none"/>
        </w:rPr>
        <w:t>Без проявления интереса со стороны других организаций муниципалитет может напрямую заключать соглашения с лицом, выступающим с инициативой заключения концессионного соглашения и имеющим готовый проект соглашения. Более 50</w:t>
      </w:r>
      <w:r w:rsidR="000F26F0">
        <w:rPr>
          <w:rFonts w:ascii="Times New Roman" w:eastAsia="Times New Roman" w:hAnsi="Times New Roman" w:cs="Times New Roman"/>
          <w:snapToGrid w:val="0"/>
          <w:color w:val="auto"/>
          <w:kern w:val="0"/>
          <w:sz w:val="28"/>
          <w:szCs w:val="28"/>
          <w:lang w:eastAsia="ru-RU"/>
          <w14:ligatures w14:val="none"/>
        </w:rPr>
        <w:t xml:space="preserve"> </w:t>
      </w:r>
      <w:r w:rsidRPr="000F26F0">
        <w:rPr>
          <w:rFonts w:ascii="Times New Roman" w:eastAsia="Times New Roman" w:hAnsi="Times New Roman" w:cs="Times New Roman"/>
          <w:snapToGrid w:val="0"/>
          <w:color w:val="auto"/>
          <w:kern w:val="0"/>
          <w:sz w:val="28"/>
          <w:szCs w:val="28"/>
          <w:lang w:eastAsia="ru-RU"/>
          <w14:ligatures w14:val="none"/>
        </w:rPr>
        <w:t>% (15 соглашений) всех договором с ПАО «Т Плюс» заключены без конкурса. Несколько концессионных соглашений стали развитием существующих договорных отношений по аренде сетей теплоснабжения с муниципальными образованиями (4 соглашения, 14%), такой механизм также не требует проведения конкурса.</w:t>
      </w:r>
    </w:p>
    <w:p w:rsidR="00EE6E5A" w:rsidRPr="00EE6E5A" w:rsidRDefault="00EE6E5A" w:rsidP="00EE6E5A">
      <w:pPr>
        <w:ind w:firstLine="0"/>
        <w:jc w:val="center"/>
      </w:pPr>
      <w:r w:rsidRPr="00EE6E5A">
        <w:rPr>
          <w:noProof/>
          <w:lang w:eastAsia="ru-RU"/>
        </w:rPr>
        <w:drawing>
          <wp:inline distT="0" distB="0" distL="0" distR="0" wp14:anchorId="74AF834F" wp14:editId="5376C574">
            <wp:extent cx="5423535" cy="1617785"/>
            <wp:effectExtent l="0" t="0" r="0" b="0"/>
            <wp:docPr id="5" name="Диаграмма 1">
              <a:extLst xmlns:a="http://schemas.openxmlformats.org/drawingml/2006/main">
                <a:ext uri="{FF2B5EF4-FFF2-40B4-BE49-F238E27FC236}">
                  <a16:creationId xmlns:a16="http://schemas.microsoft.com/office/drawing/2014/main" id="{4E42BAA7-D5A7-CD56-8574-D9C6607B0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6E5A" w:rsidRPr="008E4093" w:rsidRDefault="000F26F0" w:rsidP="000F26F0">
      <w:pPr>
        <w:spacing w:line="240" w:lineRule="auto"/>
        <w:ind w:firstLine="0"/>
        <w:jc w:val="center"/>
        <w:rPr>
          <w:rFonts w:ascii="Times New Roman" w:hAnsi="Times New Roman" w:cs="Times New Roman"/>
        </w:rPr>
      </w:pPr>
      <w:r>
        <w:rPr>
          <w:rFonts w:ascii="Times New Roman" w:hAnsi="Times New Roman" w:cs="Times New Roman"/>
        </w:rPr>
        <w:t>Рисунок 3</w:t>
      </w:r>
      <w:r w:rsidR="00EE6E5A" w:rsidRPr="008E4093">
        <w:rPr>
          <w:rFonts w:ascii="Times New Roman" w:hAnsi="Times New Roman" w:cs="Times New Roman"/>
        </w:rPr>
        <w:t xml:space="preserve"> – Основания для заключения концессионного соглашения в секторе теплоснабжения с ПАО «Т Плюс»</w:t>
      </w:r>
    </w:p>
    <w:p w:rsidR="00EE6E5A" w:rsidRPr="000F26F0" w:rsidRDefault="00EE6E5A" w:rsidP="00EE6E5A">
      <w:pPr>
        <w:ind w:firstLine="0"/>
        <w:rPr>
          <w:rFonts w:ascii="Times New Roman" w:hAnsi="Times New Roman" w:cs="Times New Roman"/>
        </w:rPr>
      </w:pPr>
      <w:r w:rsidRPr="008E4093">
        <w:rPr>
          <w:rFonts w:ascii="Times New Roman" w:hAnsi="Times New Roman" w:cs="Times New Roman"/>
        </w:rPr>
        <w:t xml:space="preserve">Источник: </w:t>
      </w:r>
      <w:r w:rsidR="000F26F0">
        <w:rPr>
          <w:rFonts w:ascii="Times New Roman" w:hAnsi="Times New Roman" w:cs="Times New Roman"/>
        </w:rPr>
        <w:t>данные ПАО «Т Плюс»</w:t>
      </w:r>
    </w:p>
    <w:p w:rsidR="00EE6E5A" w:rsidRPr="000F26F0" w:rsidRDefault="00EE6E5A" w:rsidP="00B670AE">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0F26F0">
        <w:rPr>
          <w:rFonts w:ascii="Times New Roman" w:eastAsia="Times New Roman" w:hAnsi="Times New Roman" w:cs="Times New Roman"/>
          <w:snapToGrid w:val="0"/>
          <w:color w:val="auto"/>
          <w:kern w:val="0"/>
          <w:sz w:val="28"/>
          <w:szCs w:val="28"/>
          <w:lang w:eastAsia="ru-RU"/>
          <w14:ligatures w14:val="none"/>
        </w:rPr>
        <w:t xml:space="preserve">Почти все концессионные соглашения заключены на системы теплоснабжения в городах, где расположены активы компании, в первую очередь крупные источники генерации электрической и тепловой энергии. </w:t>
      </w:r>
      <w:r w:rsidR="00742FFE">
        <w:rPr>
          <w:rFonts w:ascii="Times New Roman" w:eastAsia="Times New Roman" w:hAnsi="Times New Roman" w:cs="Times New Roman"/>
          <w:snapToGrid w:val="0"/>
          <w:color w:val="auto"/>
          <w:kern w:val="0"/>
          <w:sz w:val="28"/>
          <w:szCs w:val="28"/>
          <w:lang w:eastAsia="ru-RU"/>
          <w14:ligatures w14:val="none"/>
        </w:rPr>
        <w:br/>
        <w:t>В</w:t>
      </w:r>
      <w:r w:rsidRPr="000F26F0">
        <w:rPr>
          <w:rFonts w:ascii="Times New Roman" w:eastAsia="Times New Roman" w:hAnsi="Times New Roman" w:cs="Times New Roman"/>
          <w:snapToGrid w:val="0"/>
          <w:color w:val="auto"/>
          <w:kern w:val="0"/>
          <w:sz w:val="28"/>
          <w:szCs w:val="28"/>
          <w:lang w:eastAsia="ru-RU"/>
          <w14:ligatures w14:val="none"/>
        </w:rPr>
        <w:t xml:space="preserve"> 2-х из 3-х концессиях на города, где отсутствуют источники комбинированной выработки энергии компании, соглашения разрабатывались и заключались по инициативе компании (Кирс, Кировская о</w:t>
      </w:r>
      <w:r w:rsidR="00742FFE">
        <w:rPr>
          <w:rFonts w:ascii="Times New Roman" w:eastAsia="Times New Roman" w:hAnsi="Times New Roman" w:cs="Times New Roman"/>
          <w:snapToGrid w:val="0"/>
          <w:color w:val="auto"/>
          <w:kern w:val="0"/>
          <w:sz w:val="28"/>
          <w:szCs w:val="28"/>
          <w:lang w:eastAsia="ru-RU"/>
          <w14:ligatures w14:val="none"/>
        </w:rPr>
        <w:t>бласть; Лысьва, Пермский край).</w:t>
      </w:r>
    </w:p>
    <w:p w:rsidR="00EE6E5A" w:rsidRPr="00742FFE" w:rsidRDefault="00EE6E5A" w:rsidP="00B670AE">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 xml:space="preserve">Важным параметром концессионного соглашения является полнота и глубина проработки его ключевых разделов. Косвенно об этом может свидетельствовать объем </w:t>
      </w:r>
      <w:r w:rsidR="00742FFE">
        <w:rPr>
          <w:rFonts w:ascii="Times New Roman" w:eastAsia="Times New Roman" w:hAnsi="Times New Roman" w:cs="Times New Roman"/>
          <w:snapToGrid w:val="0"/>
          <w:color w:val="auto"/>
          <w:kern w:val="0"/>
          <w:sz w:val="28"/>
          <w:szCs w:val="28"/>
          <w:lang w:eastAsia="ru-RU"/>
          <w14:ligatures w14:val="none"/>
        </w:rPr>
        <w:t>основного документа соглашения.</w:t>
      </w:r>
    </w:p>
    <w:p w:rsidR="00EE6E5A" w:rsidRPr="00742FFE" w:rsidRDefault="00EE6E5A" w:rsidP="00B670AE">
      <w:pPr>
        <w:overflowPunct w:val="0"/>
        <w:autoSpaceDE w:val="0"/>
        <w:autoSpaceDN w:val="0"/>
        <w:adjustRightInd w:val="0"/>
        <w:spacing w:line="276"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Стандартное концессионное соглашение ПАО «Т Плюс» содержит от 20 до 30 страниц текста</w:t>
      </w:r>
      <w:r w:rsidR="00742FFE" w:rsidRPr="00742FFE">
        <w:rPr>
          <w:rFonts w:ascii="Times New Roman" w:eastAsia="Times New Roman" w:hAnsi="Times New Roman" w:cs="Times New Roman"/>
          <w:snapToGrid w:val="0"/>
          <w:color w:val="auto"/>
          <w:kern w:val="0"/>
          <w:sz w:val="28"/>
          <w:szCs w:val="28"/>
          <w:lang w:eastAsia="ru-RU"/>
          <w14:ligatures w14:val="none"/>
        </w:rPr>
        <w:t xml:space="preserve"> (см. Рисунок 4)</w:t>
      </w:r>
      <w:r w:rsidRPr="00742FFE">
        <w:rPr>
          <w:rFonts w:ascii="Times New Roman" w:eastAsia="Times New Roman" w:hAnsi="Times New Roman" w:cs="Times New Roman"/>
          <w:snapToGrid w:val="0"/>
          <w:color w:val="auto"/>
          <w:kern w:val="0"/>
          <w:sz w:val="28"/>
          <w:szCs w:val="28"/>
          <w:lang w:eastAsia="ru-RU"/>
          <w14:ligatures w14:val="none"/>
        </w:rPr>
        <w:t>. В значительной степени наполнение текста договора унифицировано и соответствует рекомендуемому набору разделов, изложенному в примерном концессионном соглашении в отношении объектов коммунальной инфраструктуры</w:t>
      </w:r>
      <w:r w:rsidR="00742FFE">
        <w:rPr>
          <w:rStyle w:val="af4"/>
          <w:rFonts w:ascii="Times New Roman" w:eastAsia="Times New Roman" w:hAnsi="Times New Roman" w:cs="Times New Roman"/>
          <w:snapToGrid w:val="0"/>
          <w:color w:val="auto"/>
          <w:kern w:val="0"/>
          <w:sz w:val="28"/>
          <w:szCs w:val="28"/>
          <w:lang w:eastAsia="ru-RU"/>
          <w14:ligatures w14:val="none"/>
        </w:rPr>
        <w:footnoteReference w:id="4"/>
      </w:r>
      <w:r w:rsidRPr="00742FFE">
        <w:rPr>
          <w:rFonts w:ascii="Times New Roman" w:eastAsia="Times New Roman" w:hAnsi="Times New Roman" w:cs="Times New Roman"/>
          <w:snapToGrid w:val="0"/>
          <w:color w:val="auto"/>
          <w:kern w:val="0"/>
          <w:sz w:val="28"/>
          <w:szCs w:val="28"/>
          <w:lang w:eastAsia="ru-RU"/>
          <w14:ligatures w14:val="none"/>
        </w:rPr>
        <w:t xml:space="preserve">. Все документы дополняются набором приложений в формате таблиц и текстовых файлов, включающие подробную информацию об объектах в составе соглашения, ключевые прогнозные показатели, а также уточнения к отдельным разделам соглашения. Количество и объем приложений может существенно различаться в зависимости от величины города (наличия большого количества инфраструктуры), подробности отражения мероприятий и др. </w:t>
      </w:r>
    </w:p>
    <w:p w:rsidR="00EE6E5A" w:rsidRPr="00EE6E5A" w:rsidRDefault="00EE6E5A" w:rsidP="00EE6E5A">
      <w:pPr>
        <w:ind w:firstLine="0"/>
        <w:jc w:val="center"/>
      </w:pPr>
      <w:r w:rsidRPr="00EE6E5A">
        <w:rPr>
          <w:noProof/>
          <w:lang w:eastAsia="ru-RU"/>
        </w:rPr>
        <w:drawing>
          <wp:inline distT="0" distB="0" distL="0" distR="0" wp14:anchorId="12C899DF" wp14:editId="2CA2AF98">
            <wp:extent cx="6003984" cy="1828800"/>
            <wp:effectExtent l="0" t="0" r="0" b="0"/>
            <wp:docPr id="6" name="Диаграмма 1">
              <a:extLst xmlns:a="http://schemas.openxmlformats.org/drawingml/2006/main">
                <a:ext uri="{FF2B5EF4-FFF2-40B4-BE49-F238E27FC236}">
                  <a16:creationId xmlns:a16="http://schemas.microsoft.com/office/drawing/2014/main" id="{3F7B2C0E-79B6-D52C-E880-F1478DD237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6E5A" w:rsidRPr="008E4093" w:rsidRDefault="00742FFE" w:rsidP="008E4093">
      <w:pPr>
        <w:spacing w:line="240" w:lineRule="auto"/>
        <w:ind w:firstLine="0"/>
        <w:jc w:val="center"/>
        <w:rPr>
          <w:rFonts w:ascii="Times New Roman" w:hAnsi="Times New Roman" w:cs="Times New Roman"/>
        </w:rPr>
      </w:pPr>
      <w:r>
        <w:rPr>
          <w:rFonts w:ascii="Times New Roman" w:hAnsi="Times New Roman" w:cs="Times New Roman"/>
        </w:rPr>
        <w:t>Рисунок 4</w:t>
      </w:r>
      <w:r w:rsidR="00EE6E5A" w:rsidRPr="008E4093">
        <w:rPr>
          <w:rFonts w:ascii="Times New Roman" w:hAnsi="Times New Roman" w:cs="Times New Roman"/>
        </w:rPr>
        <w:t xml:space="preserve"> – Число страниц в документе концессионного соглашения в секторе теплоснабжения ПАО «Т Плюс»</w:t>
      </w:r>
    </w:p>
    <w:p w:rsidR="00EE6E5A" w:rsidRPr="008E4093" w:rsidRDefault="00742FFE" w:rsidP="00EE6E5A">
      <w:pPr>
        <w:ind w:firstLine="0"/>
        <w:rPr>
          <w:rFonts w:ascii="Times New Roman" w:hAnsi="Times New Roman" w:cs="Times New Roman"/>
        </w:rPr>
      </w:pPr>
      <w:r>
        <w:rPr>
          <w:rFonts w:ascii="Times New Roman" w:hAnsi="Times New Roman" w:cs="Times New Roman"/>
        </w:rPr>
        <w:t>Источник: данные</w:t>
      </w:r>
      <w:r w:rsidR="00EE6E5A" w:rsidRPr="008E4093">
        <w:rPr>
          <w:rFonts w:ascii="Times New Roman" w:hAnsi="Times New Roman" w:cs="Times New Roman"/>
        </w:rPr>
        <w:t xml:space="preserve"> ПАО «Т Плюс»</w:t>
      </w:r>
    </w:p>
    <w:p w:rsidR="00742FFE" w:rsidRDefault="00EE6E5A" w:rsidP="00B670AE">
      <w:pPr>
        <w:overflowPunct w:val="0"/>
        <w:autoSpaceDE w:val="0"/>
        <w:autoSpaceDN w:val="0"/>
        <w:adjustRightInd w:val="0"/>
        <w:spacing w:line="240"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Суммарный объем инвестиционных обязательств в рамках 28 действующих концессионных соглашений ПАО «Т Плюс» составляет 105,7 млрд руб. Основной объем инвестиций предусмотрен со стороны концессионера, вкла</w:t>
      </w:r>
      <w:r w:rsidR="00A13662">
        <w:rPr>
          <w:rFonts w:ascii="Times New Roman" w:eastAsia="Times New Roman" w:hAnsi="Times New Roman" w:cs="Times New Roman"/>
          <w:snapToGrid w:val="0"/>
          <w:color w:val="auto"/>
          <w:kern w:val="0"/>
          <w:sz w:val="28"/>
          <w:szCs w:val="28"/>
          <w:lang w:eastAsia="ru-RU"/>
          <w14:ligatures w14:val="none"/>
        </w:rPr>
        <w:t>д концедента всего 5,2 млрд рублей</w:t>
      </w:r>
      <w:r w:rsidRPr="00742FFE">
        <w:rPr>
          <w:rFonts w:ascii="Times New Roman" w:eastAsia="Times New Roman" w:hAnsi="Times New Roman" w:cs="Times New Roman"/>
          <w:snapToGrid w:val="0"/>
          <w:color w:val="auto"/>
          <w:kern w:val="0"/>
          <w:sz w:val="28"/>
          <w:szCs w:val="28"/>
          <w:lang w:eastAsia="ru-RU"/>
          <w14:ligatures w14:val="none"/>
        </w:rPr>
        <w:t xml:space="preserve"> (4,9% от общего объема)</w:t>
      </w:r>
      <w:r w:rsidR="00742FFE">
        <w:rPr>
          <w:rStyle w:val="af4"/>
          <w:rFonts w:ascii="Times New Roman" w:eastAsia="Times New Roman" w:hAnsi="Times New Roman" w:cs="Times New Roman"/>
          <w:snapToGrid w:val="0"/>
          <w:color w:val="auto"/>
          <w:kern w:val="0"/>
          <w:sz w:val="28"/>
          <w:szCs w:val="28"/>
          <w:lang w:eastAsia="ru-RU"/>
          <w14:ligatures w14:val="none"/>
        </w:rPr>
        <w:footnoteReference w:id="5"/>
      </w:r>
      <w:r w:rsidRPr="00742FFE">
        <w:rPr>
          <w:rFonts w:ascii="Times New Roman" w:eastAsia="Times New Roman" w:hAnsi="Times New Roman" w:cs="Times New Roman"/>
          <w:snapToGrid w:val="0"/>
          <w:color w:val="auto"/>
          <w:kern w:val="0"/>
          <w:sz w:val="28"/>
          <w:szCs w:val="28"/>
          <w:lang w:eastAsia="ru-RU"/>
          <w14:ligatures w14:val="none"/>
        </w:rPr>
        <w:t xml:space="preserve">. Плата концедента предусмотрена только в 5 соглашениях из действующих 28. </w:t>
      </w:r>
    </w:p>
    <w:p w:rsidR="00C263A2" w:rsidRPr="00742FFE" w:rsidRDefault="00742FFE" w:rsidP="00B670AE">
      <w:pPr>
        <w:overflowPunct w:val="0"/>
        <w:autoSpaceDE w:val="0"/>
        <w:autoSpaceDN w:val="0"/>
        <w:adjustRightInd w:val="0"/>
        <w:spacing w:line="240"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П</w:t>
      </w:r>
      <w:r w:rsidR="00C263A2" w:rsidRPr="00742FFE">
        <w:rPr>
          <w:rFonts w:ascii="Times New Roman" w:eastAsia="Times New Roman" w:hAnsi="Times New Roman" w:cs="Times New Roman"/>
          <w:snapToGrid w:val="0"/>
          <w:color w:val="auto"/>
          <w:kern w:val="0"/>
          <w:sz w:val="28"/>
          <w:szCs w:val="28"/>
          <w:lang w:eastAsia="ru-RU"/>
          <w14:ligatures w14:val="none"/>
        </w:rPr>
        <w:t>лата концедента присутствует в соглашениях на системы теплоснабжения тех городов, где ПАО «Т Плюс» не имеет собственных активов в виде объектов когенерации тепловой и электрической энергии (Кирс, Кировская область; Лысьва, Пермский край), а также в тех городах, где модернизация сетевого хозяйства призвана улучшить работу системы горячего водоснабжения – восстановление или создание циркуляционных трубопроводов в Первоуральске; модернизация сете</w:t>
      </w:r>
      <w:r w:rsidR="008F1BB7" w:rsidRPr="00742FFE">
        <w:rPr>
          <w:rFonts w:ascii="Times New Roman" w:eastAsia="Times New Roman" w:hAnsi="Times New Roman" w:cs="Times New Roman"/>
          <w:snapToGrid w:val="0"/>
          <w:color w:val="auto"/>
          <w:kern w:val="0"/>
          <w:sz w:val="28"/>
          <w:szCs w:val="28"/>
          <w:lang w:eastAsia="ru-RU"/>
          <w14:ligatures w14:val="none"/>
        </w:rPr>
        <w:t>вого хозяйства, а также перевод с открытых систем ГВС на закрытые в Нижней Туре.</w:t>
      </w:r>
    </w:p>
    <w:p w:rsidR="00EE6E5A" w:rsidRPr="00742FFE" w:rsidRDefault="00EE6E5A" w:rsidP="00B670AE">
      <w:pPr>
        <w:overflowPunct w:val="0"/>
        <w:autoSpaceDE w:val="0"/>
        <w:autoSpaceDN w:val="0"/>
        <w:adjustRightInd w:val="0"/>
        <w:spacing w:line="240" w:lineRule="auto"/>
        <w:textAlignment w:val="baseline"/>
        <w:outlineLvl w:val="2"/>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Источником финансовых средств для реализации мероприятий также являются займы Фонда развития территорий</w:t>
      </w:r>
      <w:r w:rsidR="008215DD" w:rsidRPr="00742FFE">
        <w:rPr>
          <w:rFonts w:ascii="Times New Roman" w:eastAsia="Times New Roman" w:hAnsi="Times New Roman" w:cs="Times New Roman"/>
          <w:snapToGrid w:val="0"/>
          <w:color w:val="auto"/>
          <w:kern w:val="0"/>
          <w:sz w:val="28"/>
          <w:szCs w:val="28"/>
          <w:lang w:eastAsia="ru-RU"/>
          <w14:ligatures w14:val="none"/>
        </w:rPr>
        <w:t xml:space="preserve"> (ФРТ)</w:t>
      </w:r>
      <w:r w:rsidR="00742FFE">
        <w:rPr>
          <w:rStyle w:val="af4"/>
          <w:rFonts w:ascii="Times New Roman" w:eastAsia="Times New Roman" w:hAnsi="Times New Roman" w:cs="Times New Roman"/>
          <w:snapToGrid w:val="0"/>
          <w:color w:val="auto"/>
          <w:kern w:val="0"/>
          <w:sz w:val="28"/>
          <w:szCs w:val="28"/>
          <w:lang w:eastAsia="ru-RU"/>
          <w14:ligatures w14:val="none"/>
        </w:rPr>
        <w:footnoteReference w:id="6"/>
      </w:r>
      <w:r w:rsidR="00184914" w:rsidRPr="00742FFE">
        <w:rPr>
          <w:rFonts w:ascii="Times New Roman" w:eastAsia="Times New Roman" w:hAnsi="Times New Roman" w:cs="Times New Roman"/>
          <w:snapToGrid w:val="0"/>
          <w:color w:val="auto"/>
          <w:kern w:val="0"/>
          <w:sz w:val="28"/>
          <w:szCs w:val="28"/>
          <w:lang w:eastAsia="ru-RU"/>
          <w14:ligatures w14:val="none"/>
        </w:rPr>
        <w:t>, где заемщиком выступает ПАО «Т Плюс»</w:t>
      </w:r>
      <w:r w:rsidR="00A13662">
        <w:rPr>
          <w:rFonts w:ascii="Times New Roman" w:eastAsia="Times New Roman" w:hAnsi="Times New Roman" w:cs="Times New Roman"/>
          <w:snapToGrid w:val="0"/>
          <w:color w:val="auto"/>
          <w:kern w:val="0"/>
          <w:sz w:val="28"/>
          <w:szCs w:val="28"/>
          <w:lang w:eastAsia="ru-RU"/>
          <w14:ligatures w14:val="none"/>
        </w:rPr>
        <w:t xml:space="preserve"> – 3,8 млрд рублей </w:t>
      </w:r>
      <w:r w:rsidRPr="00742FFE">
        <w:rPr>
          <w:rFonts w:ascii="Times New Roman" w:eastAsia="Times New Roman" w:hAnsi="Times New Roman" w:cs="Times New Roman"/>
          <w:snapToGrid w:val="0"/>
          <w:color w:val="auto"/>
          <w:kern w:val="0"/>
          <w:sz w:val="28"/>
          <w:szCs w:val="28"/>
          <w:lang w:eastAsia="ru-RU"/>
          <w14:ligatures w14:val="none"/>
        </w:rPr>
        <w:t>(3,6% от общего объема)</w:t>
      </w:r>
      <w:r w:rsidR="008215DD" w:rsidRPr="00742FFE">
        <w:rPr>
          <w:rFonts w:ascii="Times New Roman" w:eastAsia="Times New Roman" w:hAnsi="Times New Roman" w:cs="Times New Roman"/>
          <w:snapToGrid w:val="0"/>
          <w:color w:val="auto"/>
          <w:kern w:val="0"/>
          <w:sz w:val="28"/>
          <w:szCs w:val="28"/>
          <w:lang w:eastAsia="ru-RU"/>
          <w14:ligatures w14:val="none"/>
        </w:rPr>
        <w:t>. Займы ФРТ с относительно дешевыми заемными средствами</w:t>
      </w:r>
      <w:r w:rsidRPr="00742FFE">
        <w:rPr>
          <w:rFonts w:ascii="Times New Roman" w:eastAsia="Times New Roman" w:hAnsi="Times New Roman" w:cs="Times New Roman"/>
          <w:snapToGrid w:val="0"/>
          <w:color w:val="auto"/>
          <w:kern w:val="0"/>
          <w:sz w:val="28"/>
          <w:szCs w:val="28"/>
          <w:lang w:eastAsia="ru-RU"/>
          <w14:ligatures w14:val="none"/>
        </w:rPr>
        <w:t xml:space="preserve"> также предусмотрены для 5 соглашений, 2 из которых включают также и плату концедента.</w:t>
      </w:r>
      <w:r w:rsidR="008F1BB7" w:rsidRPr="00742FFE">
        <w:rPr>
          <w:rFonts w:ascii="Times New Roman" w:eastAsia="Times New Roman" w:hAnsi="Times New Roman" w:cs="Times New Roman"/>
          <w:snapToGrid w:val="0"/>
          <w:color w:val="auto"/>
          <w:kern w:val="0"/>
          <w:sz w:val="28"/>
          <w:szCs w:val="28"/>
          <w:lang w:eastAsia="ru-RU"/>
          <w14:ligatures w14:val="none"/>
        </w:rPr>
        <w:t xml:space="preserve"> Например, крупный займ направлен на создание и модернизацию объектов соглашения в Лысьве (Пермский край)</w:t>
      </w:r>
      <w:r w:rsidR="00C378F7" w:rsidRPr="00742FFE">
        <w:rPr>
          <w:rFonts w:ascii="Times New Roman" w:eastAsia="Times New Roman" w:hAnsi="Times New Roman" w:cs="Times New Roman"/>
          <w:snapToGrid w:val="0"/>
          <w:color w:val="auto"/>
          <w:kern w:val="0"/>
          <w:sz w:val="28"/>
          <w:szCs w:val="28"/>
          <w:lang w:eastAsia="ru-RU"/>
          <w14:ligatures w14:val="none"/>
        </w:rPr>
        <w:t xml:space="preserve"> и составляет более 50% от общего объема инвестиционных обязательств компании</w:t>
      </w:r>
      <w:r w:rsidR="008F1BB7" w:rsidRPr="00742FFE">
        <w:rPr>
          <w:rFonts w:ascii="Times New Roman" w:eastAsia="Times New Roman" w:hAnsi="Times New Roman" w:cs="Times New Roman"/>
          <w:snapToGrid w:val="0"/>
          <w:color w:val="auto"/>
          <w:kern w:val="0"/>
          <w:sz w:val="28"/>
          <w:szCs w:val="28"/>
          <w:lang w:eastAsia="ru-RU"/>
          <w14:ligatures w14:val="none"/>
        </w:rPr>
        <w:t>.</w:t>
      </w:r>
    </w:p>
    <w:p w:rsidR="00742FFE" w:rsidRDefault="00EE6E5A" w:rsidP="00B670AE">
      <w:pPr>
        <w:spacing w:line="240" w:lineRule="auto"/>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Средний размер инвестиционн</w:t>
      </w:r>
      <w:r w:rsidR="008215DD" w:rsidRPr="00742FFE">
        <w:rPr>
          <w:rFonts w:ascii="Times New Roman" w:eastAsia="Times New Roman" w:hAnsi="Times New Roman" w:cs="Times New Roman"/>
          <w:snapToGrid w:val="0"/>
          <w:color w:val="auto"/>
          <w:kern w:val="0"/>
          <w:sz w:val="28"/>
          <w:szCs w:val="28"/>
          <w:lang w:eastAsia="ru-RU"/>
          <w14:ligatures w14:val="none"/>
        </w:rPr>
        <w:t>ых обязательств в концессиях ПАО «Т Плюс»</w:t>
      </w:r>
      <w:r w:rsidR="00A13662">
        <w:rPr>
          <w:rFonts w:ascii="Times New Roman" w:eastAsia="Times New Roman" w:hAnsi="Times New Roman" w:cs="Times New Roman"/>
          <w:snapToGrid w:val="0"/>
          <w:color w:val="auto"/>
          <w:kern w:val="0"/>
          <w:sz w:val="28"/>
          <w:szCs w:val="28"/>
          <w:lang w:eastAsia="ru-RU"/>
          <w14:ligatures w14:val="none"/>
        </w:rPr>
        <w:t xml:space="preserve"> 4,8 млрд рублей.</w:t>
      </w:r>
      <w:r w:rsidR="008F1BB7" w:rsidRPr="00742FFE">
        <w:rPr>
          <w:rFonts w:ascii="Times New Roman" w:eastAsia="Times New Roman" w:hAnsi="Times New Roman" w:cs="Times New Roman"/>
          <w:snapToGrid w:val="0"/>
          <w:color w:val="auto"/>
          <w:kern w:val="0"/>
          <w:sz w:val="28"/>
          <w:szCs w:val="28"/>
          <w:lang w:eastAsia="ru-RU"/>
          <w14:ligatures w14:val="none"/>
        </w:rPr>
        <w:t xml:space="preserve"> Это</w:t>
      </w:r>
      <w:r w:rsidRPr="00742FFE">
        <w:rPr>
          <w:rFonts w:ascii="Times New Roman" w:eastAsia="Times New Roman" w:hAnsi="Times New Roman" w:cs="Times New Roman"/>
          <w:snapToGrid w:val="0"/>
          <w:color w:val="auto"/>
          <w:kern w:val="0"/>
          <w:sz w:val="28"/>
          <w:szCs w:val="28"/>
          <w:lang w:eastAsia="ru-RU"/>
          <w14:ligatures w14:val="none"/>
        </w:rPr>
        <w:t xml:space="preserve"> более чем в 3 раза выше аналогичного показателя по крупной выборке концессий в секторе водоснабжени</w:t>
      </w:r>
      <w:r w:rsidR="00A13662">
        <w:rPr>
          <w:rFonts w:ascii="Times New Roman" w:eastAsia="Times New Roman" w:hAnsi="Times New Roman" w:cs="Times New Roman"/>
          <w:snapToGrid w:val="0"/>
          <w:color w:val="auto"/>
          <w:kern w:val="0"/>
          <w:sz w:val="28"/>
          <w:szCs w:val="28"/>
          <w:lang w:eastAsia="ru-RU"/>
          <w14:ligatures w14:val="none"/>
        </w:rPr>
        <w:t>я и водоотведения (1,4 млрд рублей</w:t>
      </w:r>
      <w:r w:rsidRPr="00742FFE">
        <w:rPr>
          <w:rFonts w:ascii="Times New Roman" w:eastAsia="Times New Roman" w:hAnsi="Times New Roman" w:cs="Times New Roman"/>
          <w:snapToGrid w:val="0"/>
          <w:color w:val="auto"/>
          <w:kern w:val="0"/>
          <w:sz w:val="28"/>
          <w:szCs w:val="28"/>
          <w:lang w:eastAsia="ru-RU"/>
          <w14:ligatures w14:val="none"/>
        </w:rPr>
        <w:t>)</w:t>
      </w:r>
      <w:r w:rsidR="008F1BB7" w:rsidRPr="00742FFE">
        <w:rPr>
          <w:rFonts w:ascii="Times New Roman" w:eastAsia="Times New Roman" w:hAnsi="Times New Roman" w:cs="Times New Roman"/>
          <w:snapToGrid w:val="0"/>
          <w:color w:val="auto"/>
          <w:kern w:val="0"/>
          <w:sz w:val="28"/>
          <w:szCs w:val="28"/>
          <w:lang w:eastAsia="ru-RU"/>
          <w14:ligatures w14:val="none"/>
        </w:rPr>
        <w:t>, однако туда входило значительное число коротких и маленьких по объему инвестиций соглашений</w:t>
      </w:r>
      <w:r w:rsidRPr="00742FFE">
        <w:rPr>
          <w:rFonts w:ascii="Times New Roman" w:eastAsia="Times New Roman" w:hAnsi="Times New Roman" w:cs="Times New Roman"/>
          <w:snapToGrid w:val="0"/>
          <w:color w:val="auto"/>
          <w:kern w:val="0"/>
          <w:sz w:val="28"/>
          <w:szCs w:val="28"/>
          <w:lang w:eastAsia="ru-RU"/>
          <w14:ligatures w14:val="none"/>
        </w:rPr>
        <w:t>.</w:t>
      </w:r>
      <w:r w:rsidR="008F1BB7" w:rsidRPr="00742FFE">
        <w:rPr>
          <w:rFonts w:ascii="Times New Roman" w:eastAsia="Times New Roman" w:hAnsi="Times New Roman" w:cs="Times New Roman"/>
          <w:snapToGrid w:val="0"/>
          <w:color w:val="auto"/>
          <w:kern w:val="0"/>
          <w:sz w:val="28"/>
          <w:szCs w:val="28"/>
          <w:lang w:eastAsia="ru-RU"/>
          <w14:ligatures w14:val="none"/>
        </w:rPr>
        <w:t xml:space="preserve"> Если сравнивать </w:t>
      </w:r>
      <w:r w:rsidR="005D1D85" w:rsidRPr="00742FFE">
        <w:rPr>
          <w:rFonts w:ascii="Times New Roman" w:eastAsia="Times New Roman" w:hAnsi="Times New Roman" w:cs="Times New Roman"/>
          <w:snapToGrid w:val="0"/>
          <w:color w:val="auto"/>
          <w:kern w:val="0"/>
          <w:sz w:val="28"/>
          <w:szCs w:val="28"/>
          <w:lang w:eastAsia="ru-RU"/>
          <w14:ligatures w14:val="none"/>
        </w:rPr>
        <w:t xml:space="preserve">со средним объемом инвестиционных обязательств по концессионным соглашениям в сфере теплоснабжения, то они составляют порядка 250 млн руб. Безусловно, говоря о выборке соглашений с ПАО «Т Плюс», речь идет преимущественно о больших, крупных и крупнейших городах нашей страны (население городов в 20-30 тыс. человек скорее является исключением), а более крупные системы теплоснабжения нуждаются в более серьезных финансовых вложениях </w:t>
      </w:r>
      <w:r w:rsidRPr="00742FFE">
        <w:rPr>
          <w:rFonts w:ascii="Times New Roman" w:eastAsia="Times New Roman" w:hAnsi="Times New Roman" w:cs="Times New Roman"/>
          <w:snapToGrid w:val="0"/>
          <w:color w:val="auto"/>
          <w:kern w:val="0"/>
          <w:sz w:val="28"/>
          <w:szCs w:val="28"/>
          <w:lang w:eastAsia="ru-RU"/>
          <w14:ligatures w14:val="none"/>
        </w:rPr>
        <w:t>в модернизацию объектов концессионного соглашения выше</w:t>
      </w:r>
      <w:r w:rsidR="005D1D85" w:rsidRPr="00742FFE">
        <w:rPr>
          <w:rFonts w:ascii="Times New Roman" w:eastAsia="Times New Roman" w:hAnsi="Times New Roman" w:cs="Times New Roman"/>
          <w:snapToGrid w:val="0"/>
          <w:color w:val="auto"/>
          <w:kern w:val="0"/>
          <w:sz w:val="28"/>
          <w:szCs w:val="28"/>
          <w:lang w:eastAsia="ru-RU"/>
          <w14:ligatures w14:val="none"/>
        </w:rPr>
        <w:t xml:space="preserve">. </w:t>
      </w:r>
      <w:r w:rsidR="00742FFE">
        <w:rPr>
          <w:rFonts w:ascii="Times New Roman" w:eastAsia="Times New Roman" w:hAnsi="Times New Roman" w:cs="Times New Roman"/>
          <w:snapToGrid w:val="0"/>
          <w:color w:val="auto"/>
          <w:kern w:val="0"/>
          <w:sz w:val="28"/>
          <w:szCs w:val="28"/>
          <w:lang w:eastAsia="ru-RU"/>
          <w14:ligatures w14:val="none"/>
        </w:rPr>
        <w:t>Данный тезис подтверждается на</w:t>
      </w:r>
      <w:r w:rsidRPr="00742FFE">
        <w:rPr>
          <w:rFonts w:ascii="Times New Roman" w:eastAsia="Times New Roman" w:hAnsi="Times New Roman" w:cs="Times New Roman"/>
          <w:snapToGrid w:val="0"/>
          <w:color w:val="auto"/>
          <w:kern w:val="0"/>
          <w:sz w:val="28"/>
          <w:szCs w:val="28"/>
          <w:lang w:eastAsia="ru-RU"/>
          <w14:ligatures w14:val="none"/>
        </w:rPr>
        <w:t xml:space="preserve"> </w:t>
      </w:r>
      <w:r w:rsidR="00742FFE">
        <w:rPr>
          <w:rFonts w:ascii="Times New Roman" w:eastAsia="Times New Roman" w:hAnsi="Times New Roman" w:cs="Times New Roman"/>
          <w:snapToGrid w:val="0"/>
          <w:color w:val="auto"/>
          <w:kern w:val="0"/>
          <w:sz w:val="28"/>
          <w:szCs w:val="28"/>
          <w:lang w:eastAsia="ru-RU"/>
          <w14:ligatures w14:val="none"/>
        </w:rPr>
        <w:t>Рисунке 5</w:t>
      </w:r>
      <w:r w:rsidRPr="00742FFE">
        <w:rPr>
          <w:rFonts w:ascii="Times New Roman" w:eastAsia="Times New Roman" w:hAnsi="Times New Roman" w:cs="Times New Roman"/>
          <w:snapToGrid w:val="0"/>
          <w:color w:val="auto"/>
          <w:kern w:val="0"/>
          <w:sz w:val="28"/>
          <w:szCs w:val="28"/>
          <w:lang w:eastAsia="ru-RU"/>
          <w14:ligatures w14:val="none"/>
        </w:rPr>
        <w:t>.</w:t>
      </w:r>
    </w:p>
    <w:p w:rsidR="00742FFE" w:rsidRPr="00742FFE" w:rsidRDefault="00742FFE" w:rsidP="00B670AE">
      <w:pPr>
        <w:spacing w:line="240" w:lineRule="auto"/>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Заметным отклонением от линии тренда можно отметить концессионное соглашение в Саранске. Столица Республики Мордовия – крупный город с населением более 300 тыс. человек, однако концессионным соглашением предусмотрены инвестиционные расходы в размере всего 120 млн руб. на модернизацию 7 км тепловых сетей.</w:t>
      </w:r>
    </w:p>
    <w:p w:rsidR="00EE6E5A" w:rsidRPr="00EE6E5A" w:rsidRDefault="00EE6E5A" w:rsidP="00742FFE">
      <w:pPr>
        <w:ind w:firstLine="0"/>
      </w:pPr>
      <w:r w:rsidRPr="00EE6E5A">
        <w:rPr>
          <w:noProof/>
          <w:lang w:eastAsia="ru-RU"/>
        </w:rPr>
        <w:drawing>
          <wp:inline distT="0" distB="0" distL="0" distR="0" wp14:anchorId="52C6B436" wp14:editId="4FE00860">
            <wp:extent cx="5865962" cy="2501660"/>
            <wp:effectExtent l="0" t="0" r="0" b="0"/>
            <wp:docPr id="7" name="Диаграмма 1">
              <a:extLst xmlns:a="http://schemas.openxmlformats.org/drawingml/2006/main">
                <a:ext uri="{FF2B5EF4-FFF2-40B4-BE49-F238E27FC236}">
                  <a16:creationId xmlns:a16="http://schemas.microsoft.com/office/drawing/2014/main" id="{825A57A9-FF2B-ABD6-F04D-7A9626BE5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6E5A" w:rsidRPr="008E4093" w:rsidRDefault="00742FFE" w:rsidP="008E4093">
      <w:pPr>
        <w:spacing w:line="240" w:lineRule="auto"/>
        <w:ind w:firstLine="0"/>
        <w:jc w:val="center"/>
        <w:rPr>
          <w:rFonts w:ascii="Times New Roman" w:hAnsi="Times New Roman" w:cs="Times New Roman"/>
        </w:rPr>
      </w:pPr>
      <w:r>
        <w:rPr>
          <w:rFonts w:ascii="Times New Roman" w:hAnsi="Times New Roman" w:cs="Times New Roman"/>
        </w:rPr>
        <w:t>Рисунок 5</w:t>
      </w:r>
      <w:r w:rsidR="00EE6E5A" w:rsidRPr="008E4093">
        <w:rPr>
          <w:rFonts w:ascii="Times New Roman" w:hAnsi="Times New Roman" w:cs="Times New Roman"/>
        </w:rPr>
        <w:t xml:space="preserve"> – Соотношение объема инвестиций и численности населения муниципального образования, с которым заключено концессионное соглашение</w:t>
      </w:r>
    </w:p>
    <w:p w:rsidR="00EE6E5A" w:rsidRPr="008E4093" w:rsidRDefault="00EE6E5A" w:rsidP="00EE6E5A">
      <w:pPr>
        <w:ind w:firstLine="0"/>
        <w:rPr>
          <w:rFonts w:ascii="Times New Roman" w:hAnsi="Times New Roman" w:cs="Times New Roman"/>
        </w:rPr>
      </w:pPr>
      <w:r w:rsidRPr="008E4093">
        <w:rPr>
          <w:rFonts w:ascii="Times New Roman" w:hAnsi="Times New Roman" w:cs="Times New Roman"/>
        </w:rPr>
        <w:t>Ист</w:t>
      </w:r>
      <w:r w:rsidR="00742FFE">
        <w:rPr>
          <w:rFonts w:ascii="Times New Roman" w:hAnsi="Times New Roman" w:cs="Times New Roman"/>
        </w:rPr>
        <w:t>очник: данные</w:t>
      </w:r>
      <w:r w:rsidRPr="008E4093">
        <w:rPr>
          <w:rFonts w:ascii="Times New Roman" w:hAnsi="Times New Roman" w:cs="Times New Roman"/>
        </w:rPr>
        <w:t xml:space="preserve"> ПАО «Т Плюс»</w:t>
      </w:r>
    </w:p>
    <w:p w:rsidR="00A13662" w:rsidRPr="00E22968" w:rsidRDefault="00EE6E5A" w:rsidP="00B670AE">
      <w:pPr>
        <w:widowControl w:val="0"/>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 xml:space="preserve">Эффективное концессионное соглашение подразумевает привлечение частных финансовых средств для решения наиболее </w:t>
      </w:r>
      <w:r w:rsidR="00A13662">
        <w:rPr>
          <w:rFonts w:ascii="Times New Roman" w:eastAsia="Times New Roman" w:hAnsi="Times New Roman" w:cs="Times New Roman"/>
          <w:snapToGrid w:val="0"/>
          <w:color w:val="auto"/>
          <w:kern w:val="0"/>
          <w:sz w:val="28"/>
          <w:szCs w:val="28"/>
          <w:lang w:eastAsia="ru-RU"/>
          <w14:ligatures w14:val="none"/>
        </w:rPr>
        <w:t>серьезных</w:t>
      </w:r>
      <w:r w:rsidRPr="00742FFE">
        <w:rPr>
          <w:rFonts w:ascii="Times New Roman" w:eastAsia="Times New Roman" w:hAnsi="Times New Roman" w:cs="Times New Roman"/>
          <w:snapToGrid w:val="0"/>
          <w:color w:val="auto"/>
          <w:kern w:val="0"/>
          <w:sz w:val="28"/>
          <w:szCs w:val="28"/>
          <w:lang w:eastAsia="ru-RU"/>
          <w14:ligatures w14:val="none"/>
        </w:rPr>
        <w:t xml:space="preserve"> проблем, получения заметного и оперативного улучшения качества, надежности услуг, энергоэффективности работы систем теплоснабжения. </w:t>
      </w:r>
    </w:p>
    <w:p w:rsidR="00EE6E5A" w:rsidRPr="00742FFE" w:rsidRDefault="00EE6E5A" w:rsidP="00B670AE">
      <w:pPr>
        <w:widowControl w:val="0"/>
        <w:rPr>
          <w:rFonts w:ascii="Times New Roman" w:eastAsia="Times New Roman" w:hAnsi="Times New Roman" w:cs="Times New Roman"/>
          <w:snapToGrid w:val="0"/>
          <w:color w:val="auto"/>
          <w:kern w:val="0"/>
          <w:sz w:val="28"/>
          <w:szCs w:val="28"/>
          <w:lang w:eastAsia="ru-RU"/>
          <w14:ligatures w14:val="none"/>
        </w:rPr>
      </w:pPr>
      <w:r w:rsidRPr="00742FFE">
        <w:rPr>
          <w:rFonts w:ascii="Times New Roman" w:eastAsia="Times New Roman" w:hAnsi="Times New Roman" w:cs="Times New Roman"/>
          <w:snapToGrid w:val="0"/>
          <w:color w:val="auto"/>
          <w:kern w:val="0"/>
          <w:sz w:val="28"/>
          <w:szCs w:val="28"/>
          <w:lang w:eastAsia="ru-RU"/>
          <w14:ligatures w14:val="none"/>
        </w:rPr>
        <w:t xml:space="preserve">Исходя из этого </w:t>
      </w:r>
      <w:r w:rsidR="00A13662">
        <w:rPr>
          <w:rFonts w:ascii="Times New Roman" w:eastAsia="Times New Roman" w:hAnsi="Times New Roman" w:cs="Times New Roman"/>
          <w:snapToGrid w:val="0"/>
          <w:color w:val="auto"/>
          <w:kern w:val="0"/>
          <w:sz w:val="28"/>
          <w:szCs w:val="28"/>
          <w:lang w:eastAsia="ru-RU"/>
          <w14:ligatures w14:val="none"/>
        </w:rPr>
        <w:t xml:space="preserve">положения, </w:t>
      </w:r>
      <w:r w:rsidRPr="00742FFE">
        <w:rPr>
          <w:rFonts w:ascii="Times New Roman" w:eastAsia="Times New Roman" w:hAnsi="Times New Roman" w:cs="Times New Roman"/>
          <w:snapToGrid w:val="0"/>
          <w:color w:val="auto"/>
          <w:kern w:val="0"/>
          <w:sz w:val="28"/>
          <w:szCs w:val="28"/>
          <w:lang w:eastAsia="ru-RU"/>
          <w14:ligatures w14:val="none"/>
        </w:rPr>
        <w:t>основной объем инвестиций должен быть сосредоточен в первые несколько лет реализации соглашения. В качестве такого периода для проведения анализа выбран срок</w:t>
      </w:r>
      <w:r w:rsidR="00A13662">
        <w:rPr>
          <w:rFonts w:ascii="Times New Roman" w:eastAsia="Times New Roman" w:hAnsi="Times New Roman" w:cs="Times New Roman"/>
          <w:snapToGrid w:val="0"/>
          <w:color w:val="auto"/>
          <w:kern w:val="0"/>
          <w:sz w:val="28"/>
          <w:szCs w:val="28"/>
          <w:lang w:eastAsia="ru-RU"/>
          <w14:ligatures w14:val="none"/>
        </w:rPr>
        <w:t xml:space="preserve"> в 7 лет, поскольку за этот период</w:t>
      </w:r>
      <w:r w:rsidRPr="00742FFE">
        <w:rPr>
          <w:rFonts w:ascii="Times New Roman" w:eastAsia="Times New Roman" w:hAnsi="Times New Roman" w:cs="Times New Roman"/>
          <w:snapToGrid w:val="0"/>
          <w:color w:val="auto"/>
          <w:kern w:val="0"/>
          <w:sz w:val="28"/>
          <w:szCs w:val="28"/>
          <w:lang w:eastAsia="ru-RU"/>
          <w14:ligatures w14:val="none"/>
        </w:rPr>
        <w:t xml:space="preserve"> возможно реализовать проектирование и строительно-монтажные работы на всех ключевых объектах соглашения. Кроме того, срок в 7 лет составляет не менее 1/3 от среднего срока концессионного соглашения ПАО «Т Плюс». </w:t>
      </w:r>
    </w:p>
    <w:p w:rsidR="00EE6E5A" w:rsidRPr="00A13662" w:rsidRDefault="00EE6E5A" w:rsidP="00B670AE">
      <w:pPr>
        <w:widowControl w:val="0"/>
        <w:rPr>
          <w:rFonts w:ascii="Times New Roman" w:eastAsia="Times New Roman" w:hAnsi="Times New Roman" w:cs="Times New Roman"/>
          <w:snapToGrid w:val="0"/>
          <w:color w:val="auto"/>
          <w:kern w:val="0"/>
          <w:sz w:val="28"/>
          <w:szCs w:val="28"/>
          <w:lang w:eastAsia="ru-RU"/>
          <w14:ligatures w14:val="none"/>
        </w:rPr>
      </w:pPr>
      <w:r w:rsidRPr="00A13662">
        <w:rPr>
          <w:rFonts w:ascii="Times New Roman" w:eastAsia="Times New Roman" w:hAnsi="Times New Roman" w:cs="Times New Roman"/>
          <w:snapToGrid w:val="0"/>
          <w:color w:val="auto"/>
          <w:kern w:val="0"/>
          <w:sz w:val="28"/>
          <w:szCs w:val="28"/>
          <w:lang w:eastAsia="ru-RU"/>
          <w14:ligatures w14:val="none"/>
        </w:rPr>
        <w:t>Лишь в 3 из 22 проанализированных соглашений основной объем вложений сосредоточен в первые 7 лет реализации соглашения. Наличие материалов в открытом доступе по 8 соглашениям не позволяет провести анализ распределения инвестиций по годам реализации, но остальные 50% свидетельствуют о преобладании отложенных мероприятий относительно начала работы в рамках конц</w:t>
      </w:r>
      <w:r w:rsidR="00A13662">
        <w:rPr>
          <w:rFonts w:ascii="Times New Roman" w:eastAsia="Times New Roman" w:hAnsi="Times New Roman" w:cs="Times New Roman"/>
          <w:snapToGrid w:val="0"/>
          <w:color w:val="auto"/>
          <w:kern w:val="0"/>
          <w:sz w:val="28"/>
          <w:szCs w:val="28"/>
          <w:lang w:eastAsia="ru-RU"/>
          <w14:ligatures w14:val="none"/>
        </w:rPr>
        <w:t>ессионного соглашения (Рисунок 6</w:t>
      </w:r>
      <w:r w:rsidRPr="00A13662">
        <w:rPr>
          <w:rFonts w:ascii="Times New Roman" w:eastAsia="Times New Roman" w:hAnsi="Times New Roman" w:cs="Times New Roman"/>
          <w:snapToGrid w:val="0"/>
          <w:color w:val="auto"/>
          <w:kern w:val="0"/>
          <w:sz w:val="28"/>
          <w:szCs w:val="28"/>
          <w:lang w:eastAsia="ru-RU"/>
          <w14:ligatures w14:val="none"/>
        </w:rPr>
        <w:t>).</w:t>
      </w:r>
    </w:p>
    <w:p w:rsidR="00EE6E5A" w:rsidRPr="00EE6E5A" w:rsidRDefault="00EE6E5A" w:rsidP="00EE6E5A">
      <w:r w:rsidRPr="00EE6E5A">
        <w:rPr>
          <w:noProof/>
          <w:lang w:eastAsia="ru-RU"/>
        </w:rPr>
        <w:drawing>
          <wp:inline distT="0" distB="0" distL="0" distR="0" wp14:anchorId="0AF414D8" wp14:editId="180F5CBA">
            <wp:extent cx="4572000" cy="1860061"/>
            <wp:effectExtent l="0" t="0" r="0" b="0"/>
            <wp:docPr id="8" name="Диаграмма 1">
              <a:extLst xmlns:a="http://schemas.openxmlformats.org/drawingml/2006/main">
                <a:ext uri="{FF2B5EF4-FFF2-40B4-BE49-F238E27FC236}">
                  <a16:creationId xmlns:a16="http://schemas.microsoft.com/office/drawing/2014/main" id="{3964FA10-75E9-3B7D-12D7-3AE2E15FDA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E6E5A" w:rsidRPr="00A13662" w:rsidRDefault="00A13662" w:rsidP="00D279A6">
      <w:pPr>
        <w:spacing w:line="240" w:lineRule="auto"/>
        <w:ind w:firstLine="0"/>
        <w:jc w:val="center"/>
        <w:rPr>
          <w:rFonts w:ascii="Times New Roman" w:hAnsi="Times New Roman" w:cs="Times New Roman"/>
        </w:rPr>
      </w:pPr>
      <w:r w:rsidRPr="00A13662">
        <w:rPr>
          <w:rFonts w:ascii="Times New Roman" w:hAnsi="Times New Roman" w:cs="Times New Roman"/>
        </w:rPr>
        <w:t>Рисунок 6</w:t>
      </w:r>
      <w:r w:rsidR="00EE6E5A" w:rsidRPr="00A13662">
        <w:rPr>
          <w:rFonts w:ascii="Times New Roman" w:hAnsi="Times New Roman" w:cs="Times New Roman"/>
        </w:rPr>
        <w:t xml:space="preserve"> – Локализация инвестиционных обязательств ПАО «Т Плюс» в первые 7 лет реализации концессионного соглашения (% от числа соглашений выборки)</w:t>
      </w:r>
    </w:p>
    <w:p w:rsidR="00EE6E5A" w:rsidRPr="00E22968" w:rsidRDefault="00EE6E5A" w:rsidP="00D279A6">
      <w:pPr>
        <w:spacing w:line="240" w:lineRule="auto"/>
        <w:ind w:firstLine="0"/>
        <w:rPr>
          <w:rFonts w:ascii="Times New Roman" w:hAnsi="Times New Roman" w:cs="Times New Roman"/>
        </w:rPr>
      </w:pPr>
      <w:r w:rsidRPr="00D279A6">
        <w:rPr>
          <w:rFonts w:ascii="Times New Roman" w:hAnsi="Times New Roman" w:cs="Times New Roman"/>
        </w:rPr>
        <w:t xml:space="preserve">Источник: </w:t>
      </w:r>
      <w:r w:rsidR="00A13662">
        <w:rPr>
          <w:rFonts w:ascii="Times New Roman" w:hAnsi="Times New Roman" w:cs="Times New Roman"/>
        </w:rPr>
        <w:t>данные</w:t>
      </w:r>
      <w:r w:rsidR="00D279A6">
        <w:rPr>
          <w:rFonts w:ascii="Times New Roman" w:hAnsi="Times New Roman" w:cs="Times New Roman"/>
        </w:rPr>
        <w:t xml:space="preserve"> ПАО «Т </w:t>
      </w:r>
      <w:r w:rsidRPr="00D279A6">
        <w:rPr>
          <w:rFonts w:ascii="Times New Roman" w:hAnsi="Times New Roman" w:cs="Times New Roman"/>
        </w:rPr>
        <w:t>Плюс»</w:t>
      </w:r>
    </w:p>
    <w:p w:rsidR="00A13662" w:rsidRPr="00E22968" w:rsidRDefault="00A13662" w:rsidP="00D279A6">
      <w:pPr>
        <w:spacing w:line="240" w:lineRule="auto"/>
        <w:ind w:firstLine="0"/>
        <w:rPr>
          <w:rFonts w:ascii="Times New Roman" w:hAnsi="Times New Roman" w:cs="Times New Roman"/>
        </w:rPr>
      </w:pPr>
    </w:p>
    <w:p w:rsidR="00EE6E5A" w:rsidRPr="00A13662" w:rsidRDefault="00EE6E5A" w:rsidP="00B670AE">
      <w:pPr>
        <w:spacing w:line="276" w:lineRule="auto"/>
        <w:rPr>
          <w:rFonts w:ascii="Times New Roman" w:eastAsia="Times New Roman" w:hAnsi="Times New Roman" w:cs="Times New Roman"/>
          <w:snapToGrid w:val="0"/>
          <w:color w:val="auto"/>
          <w:kern w:val="0"/>
          <w:sz w:val="28"/>
          <w:szCs w:val="28"/>
          <w:lang w:eastAsia="ru-RU"/>
          <w14:ligatures w14:val="none"/>
        </w:rPr>
      </w:pPr>
      <w:r w:rsidRPr="00A13662">
        <w:rPr>
          <w:rFonts w:ascii="Times New Roman" w:eastAsia="Times New Roman" w:hAnsi="Times New Roman" w:cs="Times New Roman"/>
          <w:snapToGrid w:val="0"/>
          <w:color w:val="auto"/>
          <w:kern w:val="0"/>
          <w:sz w:val="28"/>
          <w:szCs w:val="28"/>
          <w:lang w:eastAsia="ru-RU"/>
          <w14:ligatures w14:val="none"/>
        </w:rPr>
        <w:t>Сформированная база по результатам анализа 22 концессионных соглашений ПАО «Т Плюс» содержит информацию об инвестиционных обязате</w:t>
      </w:r>
      <w:r w:rsidR="00A13662">
        <w:rPr>
          <w:rFonts w:ascii="Times New Roman" w:eastAsia="Times New Roman" w:hAnsi="Times New Roman" w:cs="Times New Roman"/>
          <w:snapToGrid w:val="0"/>
          <w:color w:val="auto"/>
          <w:kern w:val="0"/>
          <w:sz w:val="28"/>
          <w:szCs w:val="28"/>
          <w:lang w:eastAsia="ru-RU"/>
          <w14:ligatures w14:val="none"/>
        </w:rPr>
        <w:t>льствах в размере 71,8 млрд рублей</w:t>
      </w:r>
      <w:r w:rsidRPr="00A13662">
        <w:rPr>
          <w:rFonts w:ascii="Times New Roman" w:eastAsia="Times New Roman" w:hAnsi="Times New Roman" w:cs="Times New Roman"/>
          <w:snapToGrid w:val="0"/>
          <w:color w:val="auto"/>
          <w:kern w:val="0"/>
          <w:sz w:val="28"/>
          <w:szCs w:val="28"/>
          <w:lang w:eastAsia="ru-RU"/>
          <w14:ligatures w14:val="none"/>
        </w:rPr>
        <w:t>, что соответствует 70</w:t>
      </w:r>
      <w:r w:rsidR="00A13662">
        <w:rPr>
          <w:rFonts w:ascii="Times New Roman" w:eastAsia="Times New Roman" w:hAnsi="Times New Roman" w:cs="Times New Roman"/>
          <w:snapToGrid w:val="0"/>
          <w:color w:val="auto"/>
          <w:kern w:val="0"/>
          <w:sz w:val="28"/>
          <w:szCs w:val="28"/>
          <w:lang w:eastAsia="ru-RU"/>
          <w14:ligatures w14:val="none"/>
        </w:rPr>
        <w:t xml:space="preserve"> </w:t>
      </w:r>
      <w:r w:rsidRPr="00A13662">
        <w:rPr>
          <w:rFonts w:ascii="Times New Roman" w:eastAsia="Times New Roman" w:hAnsi="Times New Roman" w:cs="Times New Roman"/>
          <w:snapToGrid w:val="0"/>
          <w:color w:val="auto"/>
          <w:kern w:val="0"/>
          <w:sz w:val="28"/>
          <w:szCs w:val="28"/>
          <w:lang w:eastAsia="ru-RU"/>
          <w14:ligatures w14:val="none"/>
        </w:rPr>
        <w:t xml:space="preserve">% от общей суммы инвестиций по соглашениям. </w:t>
      </w:r>
    </w:p>
    <w:p w:rsidR="00EE6E5A" w:rsidRPr="00A13662" w:rsidRDefault="00EE6E5A" w:rsidP="00B670AE">
      <w:pPr>
        <w:spacing w:line="276" w:lineRule="auto"/>
        <w:rPr>
          <w:rFonts w:ascii="Times New Roman" w:eastAsia="Times New Roman" w:hAnsi="Times New Roman" w:cs="Times New Roman"/>
          <w:snapToGrid w:val="0"/>
          <w:color w:val="auto"/>
          <w:kern w:val="0"/>
          <w:sz w:val="28"/>
          <w:szCs w:val="28"/>
          <w:lang w:eastAsia="ru-RU"/>
          <w14:ligatures w14:val="none"/>
        </w:rPr>
      </w:pPr>
      <w:r w:rsidRPr="00A13662">
        <w:rPr>
          <w:rFonts w:ascii="Times New Roman" w:eastAsia="Times New Roman" w:hAnsi="Times New Roman" w:cs="Times New Roman"/>
          <w:snapToGrid w:val="0"/>
          <w:color w:val="auto"/>
          <w:kern w:val="0"/>
          <w:sz w:val="28"/>
          <w:szCs w:val="28"/>
          <w:lang w:eastAsia="ru-RU"/>
          <w14:ligatures w14:val="none"/>
        </w:rPr>
        <w:t xml:space="preserve">Для 14 соглашений из выборки можно провести анализ распределения финансовых средств по годам реализации соглашения. В первые 7 лет реализации соглашений </w:t>
      </w:r>
      <w:r w:rsidR="00F1623A" w:rsidRPr="00A13662">
        <w:rPr>
          <w:rFonts w:ascii="Times New Roman" w:eastAsia="Times New Roman" w:hAnsi="Times New Roman" w:cs="Times New Roman"/>
          <w:snapToGrid w:val="0"/>
          <w:color w:val="auto"/>
          <w:kern w:val="0"/>
          <w:sz w:val="28"/>
          <w:szCs w:val="28"/>
          <w:lang w:eastAsia="ru-RU"/>
          <w14:ligatures w14:val="none"/>
        </w:rPr>
        <w:t xml:space="preserve">годовой </w:t>
      </w:r>
      <w:r w:rsidRPr="00A13662">
        <w:rPr>
          <w:rFonts w:ascii="Times New Roman" w:eastAsia="Times New Roman" w:hAnsi="Times New Roman" w:cs="Times New Roman"/>
          <w:snapToGrid w:val="0"/>
          <w:color w:val="auto"/>
          <w:kern w:val="0"/>
          <w:sz w:val="28"/>
          <w:szCs w:val="28"/>
          <w:lang w:eastAsia="ru-RU"/>
          <w14:ligatures w14:val="none"/>
        </w:rPr>
        <w:t>объем финансирования не превышает 6,5</w:t>
      </w:r>
      <w:r w:rsidR="00A13662">
        <w:rPr>
          <w:rFonts w:ascii="Times New Roman" w:eastAsia="Times New Roman" w:hAnsi="Times New Roman" w:cs="Times New Roman"/>
          <w:snapToGrid w:val="0"/>
          <w:color w:val="auto"/>
          <w:kern w:val="0"/>
          <w:sz w:val="28"/>
          <w:szCs w:val="28"/>
          <w:lang w:eastAsia="ru-RU"/>
          <w14:ligatures w14:val="none"/>
        </w:rPr>
        <w:t xml:space="preserve"> </w:t>
      </w:r>
      <w:r w:rsidRPr="00A13662">
        <w:rPr>
          <w:rFonts w:ascii="Times New Roman" w:eastAsia="Times New Roman" w:hAnsi="Times New Roman" w:cs="Times New Roman"/>
          <w:snapToGrid w:val="0"/>
          <w:color w:val="auto"/>
          <w:kern w:val="0"/>
          <w:sz w:val="28"/>
          <w:szCs w:val="28"/>
          <w:lang w:eastAsia="ru-RU"/>
          <w14:ligatures w14:val="none"/>
        </w:rPr>
        <w:t>% от суммарного запланированно</w:t>
      </w:r>
      <w:r w:rsidR="00A13662">
        <w:rPr>
          <w:rFonts w:ascii="Times New Roman" w:eastAsia="Times New Roman" w:hAnsi="Times New Roman" w:cs="Times New Roman"/>
          <w:snapToGrid w:val="0"/>
          <w:color w:val="auto"/>
          <w:kern w:val="0"/>
          <w:sz w:val="28"/>
          <w:szCs w:val="28"/>
          <w:lang w:eastAsia="ru-RU"/>
          <w14:ligatures w14:val="none"/>
        </w:rPr>
        <w:t>го объема инвестиций (см. Рисунок 7).</w:t>
      </w:r>
    </w:p>
    <w:p w:rsidR="00EE6E5A" w:rsidRPr="00EE6E5A" w:rsidRDefault="00EE6E5A" w:rsidP="00EE6E5A">
      <w:pPr>
        <w:ind w:firstLine="0"/>
        <w:jc w:val="center"/>
      </w:pPr>
      <w:r w:rsidRPr="00EE6E5A">
        <w:rPr>
          <w:noProof/>
          <w:lang w:eastAsia="ru-RU"/>
        </w:rPr>
        <w:drawing>
          <wp:inline distT="0" distB="0" distL="0" distR="0" wp14:anchorId="61E8A8D2" wp14:editId="5BDC34D1">
            <wp:extent cx="6072996" cy="1751162"/>
            <wp:effectExtent l="0" t="0" r="0" b="0"/>
            <wp:docPr id="9" name="Диаграмма 1">
              <a:extLst xmlns:a="http://schemas.openxmlformats.org/drawingml/2006/main">
                <a:ext uri="{FF2B5EF4-FFF2-40B4-BE49-F238E27FC236}">
                  <a16:creationId xmlns:a16="http://schemas.microsoft.com/office/drawing/2014/main" id="{F3429DCD-1B76-1173-FE92-9DCB67418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6E5A" w:rsidRPr="00D279A6" w:rsidRDefault="00A13662" w:rsidP="00D279A6">
      <w:pPr>
        <w:spacing w:line="240" w:lineRule="auto"/>
        <w:ind w:firstLine="0"/>
        <w:jc w:val="center"/>
        <w:rPr>
          <w:rFonts w:ascii="Times New Roman" w:hAnsi="Times New Roman" w:cs="Times New Roman"/>
        </w:rPr>
      </w:pPr>
      <w:r>
        <w:rPr>
          <w:rFonts w:ascii="Times New Roman" w:hAnsi="Times New Roman" w:cs="Times New Roman"/>
        </w:rPr>
        <w:t>Рисунок 7</w:t>
      </w:r>
      <w:r w:rsidR="00EE6E5A" w:rsidRPr="00D279A6">
        <w:rPr>
          <w:rFonts w:ascii="Times New Roman" w:hAnsi="Times New Roman" w:cs="Times New Roman"/>
        </w:rPr>
        <w:t xml:space="preserve"> – Распределение инвестиций концессионера по годам реализации концессионных соглашений</w:t>
      </w:r>
      <w:r w:rsidR="00BA15B1" w:rsidRPr="00D279A6">
        <w:rPr>
          <w:rFonts w:ascii="Times New Roman" w:hAnsi="Times New Roman" w:cs="Times New Roman"/>
        </w:rPr>
        <w:t>, суммарно по всем соглашениям</w:t>
      </w:r>
    </w:p>
    <w:p w:rsidR="00A13662" w:rsidRPr="00E22968" w:rsidRDefault="00A13662" w:rsidP="00A13662">
      <w:pPr>
        <w:spacing w:line="240" w:lineRule="auto"/>
        <w:ind w:firstLine="0"/>
        <w:rPr>
          <w:rFonts w:ascii="Times New Roman" w:hAnsi="Times New Roman" w:cs="Times New Roman"/>
        </w:rPr>
      </w:pPr>
      <w:r w:rsidRPr="00D279A6">
        <w:rPr>
          <w:rFonts w:ascii="Times New Roman" w:hAnsi="Times New Roman" w:cs="Times New Roman"/>
        </w:rPr>
        <w:t xml:space="preserve">Источник: </w:t>
      </w:r>
      <w:r>
        <w:rPr>
          <w:rFonts w:ascii="Times New Roman" w:hAnsi="Times New Roman" w:cs="Times New Roman"/>
        </w:rPr>
        <w:t>данные ПАО «Т </w:t>
      </w:r>
      <w:r w:rsidRPr="00D279A6">
        <w:rPr>
          <w:rFonts w:ascii="Times New Roman" w:hAnsi="Times New Roman" w:cs="Times New Roman"/>
        </w:rPr>
        <w:t>Плюс»</w:t>
      </w:r>
    </w:p>
    <w:p w:rsidR="00A13662" w:rsidRPr="00E22968" w:rsidRDefault="00A13662" w:rsidP="00A13662">
      <w:pPr>
        <w:spacing w:line="240" w:lineRule="auto"/>
        <w:ind w:firstLine="0"/>
        <w:rPr>
          <w:rFonts w:ascii="Times New Roman" w:hAnsi="Times New Roman" w:cs="Times New Roman"/>
        </w:rPr>
      </w:pPr>
    </w:p>
    <w:p w:rsidR="00A13662" w:rsidRPr="00E22968" w:rsidRDefault="00BA15B1" w:rsidP="00B670AE">
      <w:pPr>
        <w:spacing w:line="240" w:lineRule="auto"/>
        <w:rPr>
          <w:rFonts w:ascii="Times New Roman" w:eastAsia="Times New Roman" w:hAnsi="Times New Roman" w:cs="Times New Roman"/>
          <w:snapToGrid w:val="0"/>
          <w:color w:val="auto"/>
          <w:kern w:val="0"/>
          <w:sz w:val="28"/>
          <w:szCs w:val="28"/>
          <w:lang w:eastAsia="ru-RU"/>
          <w14:ligatures w14:val="none"/>
        </w:rPr>
      </w:pPr>
      <w:r w:rsidRPr="00A13662">
        <w:rPr>
          <w:rFonts w:ascii="Times New Roman" w:eastAsia="Times New Roman" w:hAnsi="Times New Roman" w:cs="Times New Roman"/>
          <w:snapToGrid w:val="0"/>
          <w:color w:val="auto"/>
          <w:kern w:val="0"/>
          <w:sz w:val="28"/>
          <w:szCs w:val="28"/>
          <w:lang w:eastAsia="ru-RU"/>
          <w14:ligatures w14:val="none"/>
        </w:rPr>
        <w:t xml:space="preserve">Если проанализировать распределение средств по годам реализации для отдельных соглашений, то большинство из них сохраняет выявленные закономерности. Объем инвестиций в каждый отдельный год сохраняется примерно на одном уровне, значительные объемы вложений вынесены за первые 7 лет реализации соглашения. </w:t>
      </w:r>
    </w:p>
    <w:p w:rsidR="00415889" w:rsidRDefault="00BA15B1" w:rsidP="00B670AE">
      <w:pPr>
        <w:spacing w:line="240" w:lineRule="auto"/>
        <w:rPr>
          <w:rFonts w:ascii="Times New Roman" w:eastAsia="Times New Roman" w:hAnsi="Times New Roman" w:cs="Times New Roman"/>
          <w:snapToGrid w:val="0"/>
          <w:color w:val="auto"/>
          <w:kern w:val="0"/>
          <w:sz w:val="28"/>
          <w:szCs w:val="28"/>
          <w:lang w:eastAsia="ru-RU"/>
          <w14:ligatures w14:val="none"/>
        </w:rPr>
      </w:pPr>
      <w:r w:rsidRPr="00A13662">
        <w:rPr>
          <w:rFonts w:ascii="Times New Roman" w:eastAsia="Times New Roman" w:hAnsi="Times New Roman" w:cs="Times New Roman"/>
          <w:snapToGrid w:val="0"/>
          <w:color w:val="auto"/>
          <w:kern w:val="0"/>
          <w:sz w:val="28"/>
          <w:szCs w:val="28"/>
          <w:lang w:eastAsia="ru-RU"/>
          <w14:ligatures w14:val="none"/>
        </w:rPr>
        <w:t xml:space="preserve">К числу исключений относятся концессии в городах, где нет крупных объектов когенерации, что подтверждает исходную гипотезу о возможности использования экономию от сокращения издержек в качестве инвестиционного ресурса. Так, например, в г. Лысьве 90% инвестиций осуществляется во 2-ой и 3-ий год реализации. </w:t>
      </w:r>
    </w:p>
    <w:p w:rsidR="00BA15B1" w:rsidRPr="00A13662" w:rsidRDefault="00BA15B1"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A13662">
        <w:rPr>
          <w:rFonts w:ascii="Times New Roman" w:eastAsia="Times New Roman" w:hAnsi="Times New Roman" w:cs="Times New Roman"/>
          <w:snapToGrid w:val="0"/>
          <w:color w:val="auto"/>
          <w:kern w:val="0"/>
          <w:sz w:val="28"/>
          <w:szCs w:val="28"/>
          <w:lang w:eastAsia="ru-RU"/>
          <w14:ligatures w14:val="none"/>
        </w:rPr>
        <w:t>Отчасти это может объясняться использование значительной доли средств займа ФРТ в структуре финансирования.</w:t>
      </w:r>
      <w:r w:rsidR="0027748E" w:rsidRPr="00A13662">
        <w:rPr>
          <w:rFonts w:ascii="Times New Roman" w:eastAsia="Times New Roman" w:hAnsi="Times New Roman" w:cs="Times New Roman"/>
          <w:snapToGrid w:val="0"/>
          <w:color w:val="auto"/>
          <w:kern w:val="0"/>
          <w:sz w:val="28"/>
          <w:szCs w:val="28"/>
          <w:lang w:eastAsia="ru-RU"/>
          <w14:ligatures w14:val="none"/>
        </w:rPr>
        <w:t xml:space="preserve"> Со</w:t>
      </w:r>
      <w:r w:rsidR="00A13662">
        <w:rPr>
          <w:rFonts w:ascii="Times New Roman" w:eastAsia="Times New Roman" w:hAnsi="Times New Roman" w:cs="Times New Roman"/>
          <w:snapToGrid w:val="0"/>
          <w:color w:val="auto"/>
          <w:kern w:val="0"/>
          <w:sz w:val="28"/>
          <w:szCs w:val="28"/>
          <w:lang w:eastAsia="ru-RU"/>
          <w14:ligatures w14:val="none"/>
        </w:rPr>
        <w:t>глашение в Березниках от 2024 года</w:t>
      </w:r>
      <w:r w:rsidR="0027748E" w:rsidRPr="00A13662">
        <w:rPr>
          <w:rFonts w:ascii="Times New Roman" w:eastAsia="Times New Roman" w:hAnsi="Times New Roman" w:cs="Times New Roman"/>
          <w:snapToGrid w:val="0"/>
          <w:color w:val="auto"/>
          <w:kern w:val="0"/>
          <w:sz w:val="28"/>
          <w:szCs w:val="28"/>
          <w:lang w:eastAsia="ru-RU"/>
          <w14:ligatures w14:val="none"/>
        </w:rPr>
        <w:t xml:space="preserve"> нацелено на совершенствование систем теплоснабжения в ряде населенных пунктов </w:t>
      </w:r>
      <w:r w:rsidR="00415889">
        <w:rPr>
          <w:rFonts w:ascii="Times New Roman" w:eastAsia="Times New Roman" w:hAnsi="Times New Roman" w:cs="Times New Roman"/>
          <w:snapToGrid w:val="0"/>
          <w:color w:val="auto"/>
          <w:kern w:val="0"/>
          <w:sz w:val="28"/>
          <w:szCs w:val="28"/>
          <w:lang w:eastAsia="ru-RU"/>
          <w14:ligatures w14:val="none"/>
        </w:rPr>
        <w:t xml:space="preserve">в составе городского округа – город Усолье, село Пыскор, поселок </w:t>
      </w:r>
      <w:r w:rsidR="0027748E" w:rsidRPr="00A13662">
        <w:rPr>
          <w:rFonts w:ascii="Times New Roman" w:eastAsia="Times New Roman" w:hAnsi="Times New Roman" w:cs="Times New Roman"/>
          <w:snapToGrid w:val="0"/>
          <w:color w:val="auto"/>
          <w:kern w:val="0"/>
          <w:sz w:val="28"/>
          <w:szCs w:val="28"/>
          <w:lang w:eastAsia="ru-RU"/>
          <w14:ligatures w14:val="none"/>
        </w:rPr>
        <w:t>Железнодорожный, где нет собственных крупных объе</w:t>
      </w:r>
      <w:r w:rsidR="00415889">
        <w:rPr>
          <w:rFonts w:ascii="Times New Roman" w:eastAsia="Times New Roman" w:hAnsi="Times New Roman" w:cs="Times New Roman"/>
          <w:snapToGrid w:val="0"/>
          <w:color w:val="auto"/>
          <w:kern w:val="0"/>
          <w:sz w:val="28"/>
          <w:szCs w:val="28"/>
          <w:lang w:eastAsia="ru-RU"/>
          <w14:ligatures w14:val="none"/>
        </w:rPr>
        <w:t>ктов когенерации, как в самом городе</w:t>
      </w:r>
      <w:r w:rsidR="0027748E" w:rsidRPr="00A13662">
        <w:rPr>
          <w:rFonts w:ascii="Times New Roman" w:eastAsia="Times New Roman" w:hAnsi="Times New Roman" w:cs="Times New Roman"/>
          <w:snapToGrid w:val="0"/>
          <w:color w:val="auto"/>
          <w:kern w:val="0"/>
          <w:sz w:val="28"/>
          <w:szCs w:val="28"/>
          <w:lang w:eastAsia="ru-RU"/>
          <w14:ligatures w14:val="none"/>
        </w:rPr>
        <w:t xml:space="preserve"> Березники. Здесь также со 2-го по 5-ый годы реализации сосредоточено более 70% инвестиций (Р</w:t>
      </w:r>
      <w:r w:rsidR="00415889">
        <w:rPr>
          <w:rFonts w:ascii="Times New Roman" w:eastAsia="Times New Roman" w:hAnsi="Times New Roman" w:cs="Times New Roman"/>
          <w:snapToGrid w:val="0"/>
          <w:color w:val="auto"/>
          <w:kern w:val="0"/>
          <w:sz w:val="28"/>
          <w:szCs w:val="28"/>
          <w:lang w:eastAsia="ru-RU"/>
          <w14:ligatures w14:val="none"/>
        </w:rPr>
        <w:t>исунок 8</w:t>
      </w:r>
      <w:r w:rsidR="0027748E" w:rsidRPr="00A13662">
        <w:rPr>
          <w:rFonts w:ascii="Times New Roman" w:eastAsia="Times New Roman" w:hAnsi="Times New Roman" w:cs="Times New Roman"/>
          <w:snapToGrid w:val="0"/>
          <w:color w:val="auto"/>
          <w:kern w:val="0"/>
          <w:sz w:val="28"/>
          <w:szCs w:val="28"/>
          <w:lang w:eastAsia="ru-RU"/>
          <w14:ligatures w14:val="none"/>
        </w:rPr>
        <w:t>).</w:t>
      </w:r>
    </w:p>
    <w:p w:rsidR="0027748E" w:rsidRPr="00A13662"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Вторая концессия в городе</w:t>
      </w:r>
      <w:r w:rsidR="0027748E" w:rsidRPr="00A13662">
        <w:rPr>
          <w:rFonts w:ascii="Times New Roman" w:eastAsia="Times New Roman" w:hAnsi="Times New Roman" w:cs="Times New Roman"/>
          <w:snapToGrid w:val="0"/>
          <w:color w:val="auto"/>
          <w:kern w:val="0"/>
          <w:sz w:val="28"/>
          <w:szCs w:val="28"/>
          <w:lang w:eastAsia="ru-RU"/>
          <w14:ligatures w14:val="none"/>
        </w:rPr>
        <w:t xml:space="preserve"> Ижевске заключена в 2019 г. и нацелена на модернизацию в первую очередь 15 котельных на территории города. Поскольку их системы зачастую изолированные, а потенциальные эффекты от переключения потребителей на городские ТЭЦ с высокой степенью вероятности не доступен, инвестиции в объекты соглашения полностью локализованы в первые 4 года реализации.</w:t>
      </w:r>
    </w:p>
    <w:p w:rsidR="00BA15B1" w:rsidRDefault="00BA15B1" w:rsidP="00BA15B1">
      <w:pPr>
        <w:ind w:firstLine="0"/>
        <w:jc w:val="center"/>
      </w:pPr>
      <w:r>
        <w:rPr>
          <w:noProof/>
          <w:lang w:eastAsia="ru-RU"/>
        </w:rPr>
        <w:drawing>
          <wp:inline distT="0" distB="0" distL="0" distR="0" wp14:anchorId="6615E19E" wp14:editId="09ECB7F3">
            <wp:extent cx="5943600" cy="2769079"/>
            <wp:effectExtent l="0" t="0" r="0" b="0"/>
            <wp:docPr id="1610248693" name="Диаграмма 1">
              <a:extLst xmlns:a="http://schemas.openxmlformats.org/drawingml/2006/main">
                <a:ext uri="{FF2B5EF4-FFF2-40B4-BE49-F238E27FC236}">
                  <a16:creationId xmlns:a16="http://schemas.microsoft.com/office/drawing/2014/main" id="{620480C3-A871-326E-F086-2D47645DF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15B1" w:rsidRPr="00415889" w:rsidRDefault="00415889" w:rsidP="00415889">
      <w:pPr>
        <w:spacing w:line="240" w:lineRule="auto"/>
        <w:ind w:firstLine="0"/>
        <w:jc w:val="center"/>
        <w:rPr>
          <w:rFonts w:ascii="Times New Roman" w:hAnsi="Times New Roman" w:cs="Times New Roman"/>
        </w:rPr>
      </w:pPr>
      <w:r w:rsidRPr="00415889">
        <w:rPr>
          <w:rFonts w:ascii="Times New Roman" w:hAnsi="Times New Roman" w:cs="Times New Roman"/>
        </w:rPr>
        <w:t>Рисунок 8</w:t>
      </w:r>
      <w:r w:rsidR="00BA15B1" w:rsidRPr="00415889">
        <w:rPr>
          <w:rFonts w:ascii="Times New Roman" w:hAnsi="Times New Roman" w:cs="Times New Roman"/>
        </w:rPr>
        <w:t xml:space="preserve"> – Распределение инвестиций концессионера по годам реализации отдельных концессионных соглашений</w:t>
      </w:r>
    </w:p>
    <w:p w:rsidR="00415889" w:rsidRPr="00415889" w:rsidRDefault="00415889" w:rsidP="00415889">
      <w:pPr>
        <w:spacing w:line="240" w:lineRule="auto"/>
        <w:ind w:firstLine="0"/>
        <w:rPr>
          <w:rFonts w:ascii="Times New Roman" w:hAnsi="Times New Roman" w:cs="Times New Roman"/>
        </w:rPr>
      </w:pPr>
      <w:r w:rsidRPr="00D279A6">
        <w:rPr>
          <w:rFonts w:ascii="Times New Roman" w:hAnsi="Times New Roman" w:cs="Times New Roman"/>
        </w:rPr>
        <w:t xml:space="preserve">Источник: </w:t>
      </w:r>
      <w:r>
        <w:rPr>
          <w:rFonts w:ascii="Times New Roman" w:hAnsi="Times New Roman" w:cs="Times New Roman"/>
        </w:rPr>
        <w:t>данные ПАО «Т </w:t>
      </w:r>
      <w:r w:rsidRPr="00D279A6">
        <w:rPr>
          <w:rFonts w:ascii="Times New Roman" w:hAnsi="Times New Roman" w:cs="Times New Roman"/>
        </w:rPr>
        <w:t>Плюс»</w:t>
      </w:r>
    </w:p>
    <w:p w:rsidR="004D19BA" w:rsidRPr="00415889" w:rsidRDefault="004D19BA" w:rsidP="00E7491D">
      <w:pPr>
        <w:spacing w:before="240"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В результате</w:t>
      </w:r>
      <w:r w:rsidR="00415889" w:rsidRPr="00415889">
        <w:rPr>
          <w:rFonts w:ascii="Times New Roman" w:eastAsia="Times New Roman" w:hAnsi="Times New Roman" w:cs="Times New Roman"/>
          <w:snapToGrid w:val="0"/>
          <w:color w:val="auto"/>
          <w:kern w:val="0"/>
          <w:sz w:val="28"/>
          <w:szCs w:val="28"/>
          <w:lang w:eastAsia="ru-RU"/>
          <w14:ligatures w14:val="none"/>
        </w:rPr>
        <w:t xml:space="preserve"> проведенного</w:t>
      </w:r>
      <w:r w:rsidRPr="00415889">
        <w:rPr>
          <w:rFonts w:ascii="Times New Roman" w:eastAsia="Times New Roman" w:hAnsi="Times New Roman" w:cs="Times New Roman"/>
          <w:snapToGrid w:val="0"/>
          <w:color w:val="auto"/>
          <w:kern w:val="0"/>
          <w:sz w:val="28"/>
          <w:szCs w:val="28"/>
          <w:lang w:eastAsia="ru-RU"/>
          <w14:ligatures w14:val="none"/>
        </w:rPr>
        <w:t xml:space="preserve"> анализа получены следующие оценки эффектов:</w:t>
      </w:r>
    </w:p>
    <w:p w:rsidR="004D19BA" w:rsidRP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1. </w:t>
      </w:r>
      <w:r w:rsidR="004D19BA" w:rsidRPr="00415889">
        <w:rPr>
          <w:rFonts w:ascii="Times New Roman" w:eastAsia="Times New Roman" w:hAnsi="Times New Roman" w:cs="Times New Roman"/>
          <w:snapToGrid w:val="0"/>
          <w:color w:val="auto"/>
          <w:kern w:val="0"/>
          <w:sz w:val="28"/>
          <w:szCs w:val="28"/>
          <w:lang w:eastAsia="ru-RU"/>
          <w14:ligatures w14:val="none"/>
        </w:rPr>
        <w:t>Снижение числа заключаемых договоров и контроля за их исполнением за счет единого владения всей инженерной системой.</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Заключение концессионного соглашения приводит к снижени</w:t>
      </w:r>
      <w:r w:rsidR="008F496E" w:rsidRPr="00415889">
        <w:rPr>
          <w:rFonts w:ascii="Times New Roman" w:eastAsia="Times New Roman" w:hAnsi="Times New Roman" w:cs="Times New Roman"/>
          <w:snapToGrid w:val="0"/>
          <w:color w:val="auto"/>
          <w:kern w:val="0"/>
          <w:sz w:val="28"/>
          <w:szCs w:val="28"/>
          <w:lang w:eastAsia="ru-RU"/>
          <w14:ligatures w14:val="none"/>
        </w:rPr>
        <w:t>ю</w:t>
      </w:r>
      <w:r w:rsidRPr="00415889">
        <w:rPr>
          <w:rFonts w:ascii="Times New Roman" w:eastAsia="Times New Roman" w:hAnsi="Times New Roman" w:cs="Times New Roman"/>
          <w:snapToGrid w:val="0"/>
          <w:color w:val="auto"/>
          <w:kern w:val="0"/>
          <w:sz w:val="28"/>
          <w:szCs w:val="28"/>
          <w:lang w:eastAsia="ru-RU"/>
          <w14:ligatures w14:val="none"/>
        </w:rPr>
        <w:t xml:space="preserve"> издержек на границе зон эксплуатационной ответственности концессионера и собственника распределительных сетей (муниципалитета).</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Эффекты:</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Изменения технологического характера:</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xml:space="preserve"> Сокращается потребность в расходах организации на обслуживание узлов учета на границах балансовой принадлежности, постоянное наблюдение и контроль, сбор показателей или работу системы дистанционного учета.</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Изменения административного характера</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xml:space="preserve">Ликвидация узла учета, как и концессионное соглашение в целом, позволяет устранить техническую границу между </w:t>
      </w:r>
      <w:r w:rsidR="0055501B" w:rsidRPr="00415889">
        <w:rPr>
          <w:rFonts w:ascii="Times New Roman" w:eastAsia="Times New Roman" w:hAnsi="Times New Roman" w:cs="Times New Roman"/>
          <w:snapToGrid w:val="0"/>
          <w:color w:val="auto"/>
          <w:kern w:val="0"/>
          <w:sz w:val="28"/>
          <w:szCs w:val="28"/>
          <w:lang w:eastAsia="ru-RU"/>
          <w14:ligatures w14:val="none"/>
        </w:rPr>
        <w:t>ПАО «</w:t>
      </w:r>
      <w:r w:rsidRPr="00415889">
        <w:rPr>
          <w:rFonts w:ascii="Times New Roman" w:eastAsia="Times New Roman" w:hAnsi="Times New Roman" w:cs="Times New Roman"/>
          <w:snapToGrid w:val="0"/>
          <w:color w:val="auto"/>
          <w:kern w:val="0"/>
          <w:sz w:val="28"/>
          <w:szCs w:val="28"/>
          <w:lang w:eastAsia="ru-RU"/>
          <w14:ligatures w14:val="none"/>
        </w:rPr>
        <w:t>Т Плюс</w:t>
      </w:r>
      <w:r w:rsidR="0055501B" w:rsidRPr="00415889">
        <w:rPr>
          <w:rFonts w:ascii="Times New Roman" w:eastAsia="Times New Roman" w:hAnsi="Times New Roman" w:cs="Times New Roman"/>
          <w:snapToGrid w:val="0"/>
          <w:color w:val="auto"/>
          <w:kern w:val="0"/>
          <w:sz w:val="28"/>
          <w:szCs w:val="28"/>
          <w:lang w:eastAsia="ru-RU"/>
          <w14:ligatures w14:val="none"/>
        </w:rPr>
        <w:t>»</w:t>
      </w:r>
      <w:r w:rsidRPr="00415889">
        <w:rPr>
          <w:rFonts w:ascii="Times New Roman" w:eastAsia="Times New Roman" w:hAnsi="Times New Roman" w:cs="Times New Roman"/>
          <w:snapToGrid w:val="0"/>
          <w:color w:val="auto"/>
          <w:kern w:val="0"/>
          <w:sz w:val="28"/>
          <w:szCs w:val="28"/>
          <w:lang w:eastAsia="ru-RU"/>
          <w14:ligatures w14:val="none"/>
        </w:rPr>
        <w:t xml:space="preserve"> и МУП</w:t>
      </w:r>
      <w:r w:rsidR="0055501B" w:rsidRPr="00415889">
        <w:rPr>
          <w:rFonts w:ascii="Times New Roman" w:eastAsia="Times New Roman" w:hAnsi="Times New Roman" w:cs="Times New Roman"/>
          <w:snapToGrid w:val="0"/>
          <w:color w:val="auto"/>
          <w:kern w:val="0"/>
          <w:sz w:val="28"/>
          <w:szCs w:val="28"/>
          <w:lang w:eastAsia="ru-RU"/>
          <w14:ligatures w14:val="none"/>
        </w:rPr>
        <w:t>, что приводит к снижению</w:t>
      </w:r>
      <w:r w:rsidRPr="00415889">
        <w:rPr>
          <w:rFonts w:ascii="Times New Roman" w:eastAsia="Times New Roman" w:hAnsi="Times New Roman" w:cs="Times New Roman"/>
          <w:snapToGrid w:val="0"/>
          <w:color w:val="auto"/>
          <w:kern w:val="0"/>
          <w:sz w:val="28"/>
          <w:szCs w:val="28"/>
          <w:lang w:eastAsia="ru-RU"/>
          <w14:ligatures w14:val="none"/>
        </w:rPr>
        <w:t xml:space="preserve"> административны</w:t>
      </w:r>
      <w:r w:rsidR="0055501B" w:rsidRPr="00415889">
        <w:rPr>
          <w:rFonts w:ascii="Times New Roman" w:eastAsia="Times New Roman" w:hAnsi="Times New Roman" w:cs="Times New Roman"/>
          <w:snapToGrid w:val="0"/>
          <w:color w:val="auto"/>
          <w:kern w:val="0"/>
          <w:sz w:val="28"/>
          <w:szCs w:val="28"/>
          <w:lang w:eastAsia="ru-RU"/>
          <w14:ligatures w14:val="none"/>
        </w:rPr>
        <w:t>х</w:t>
      </w:r>
      <w:r w:rsidRPr="00415889">
        <w:rPr>
          <w:rFonts w:ascii="Times New Roman" w:eastAsia="Times New Roman" w:hAnsi="Times New Roman" w:cs="Times New Roman"/>
          <w:snapToGrid w:val="0"/>
          <w:color w:val="auto"/>
          <w:kern w:val="0"/>
          <w:sz w:val="28"/>
          <w:szCs w:val="28"/>
          <w:lang w:eastAsia="ru-RU"/>
          <w14:ligatures w14:val="none"/>
        </w:rPr>
        <w:t xml:space="preserve"> расход</w:t>
      </w:r>
      <w:r w:rsidR="0055501B" w:rsidRPr="00415889">
        <w:rPr>
          <w:rFonts w:ascii="Times New Roman" w:eastAsia="Times New Roman" w:hAnsi="Times New Roman" w:cs="Times New Roman"/>
          <w:snapToGrid w:val="0"/>
          <w:color w:val="auto"/>
          <w:kern w:val="0"/>
          <w:sz w:val="28"/>
          <w:szCs w:val="28"/>
          <w:lang w:eastAsia="ru-RU"/>
          <w14:ligatures w14:val="none"/>
        </w:rPr>
        <w:t>ов</w:t>
      </w:r>
      <w:r w:rsidRPr="00415889">
        <w:rPr>
          <w:rFonts w:ascii="Times New Roman" w:eastAsia="Times New Roman" w:hAnsi="Times New Roman" w:cs="Times New Roman"/>
          <w:snapToGrid w:val="0"/>
          <w:color w:val="auto"/>
          <w:kern w:val="0"/>
          <w:sz w:val="28"/>
          <w:szCs w:val="28"/>
          <w:lang w:eastAsia="ru-RU"/>
          <w14:ligatures w14:val="none"/>
        </w:rPr>
        <w:t>, связанны</w:t>
      </w:r>
      <w:r w:rsidR="0055501B" w:rsidRPr="00415889">
        <w:rPr>
          <w:rFonts w:ascii="Times New Roman" w:eastAsia="Times New Roman" w:hAnsi="Times New Roman" w:cs="Times New Roman"/>
          <w:snapToGrid w:val="0"/>
          <w:color w:val="auto"/>
          <w:kern w:val="0"/>
          <w:sz w:val="28"/>
          <w:szCs w:val="28"/>
          <w:lang w:eastAsia="ru-RU"/>
          <w14:ligatures w14:val="none"/>
        </w:rPr>
        <w:t>х</w:t>
      </w:r>
      <w:r w:rsidRPr="00415889">
        <w:rPr>
          <w:rFonts w:ascii="Times New Roman" w:eastAsia="Times New Roman" w:hAnsi="Times New Roman" w:cs="Times New Roman"/>
          <w:snapToGrid w:val="0"/>
          <w:color w:val="auto"/>
          <w:kern w:val="0"/>
          <w:sz w:val="28"/>
          <w:szCs w:val="28"/>
          <w:lang w:eastAsia="ru-RU"/>
          <w14:ligatures w14:val="none"/>
        </w:rPr>
        <w:t xml:space="preserve"> с этой границей: договорные отношения между теплоснабжающей и теплосетевой организацией и обеспечения расчетов за оказание услуг транспортировки.</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Оценка эффекта на одном узле учета 1,5 млн рублей в год. В случае 30 точек контроля эффект составляет 45 млн рублей в год.</w:t>
      </w:r>
      <w:r w:rsidR="00384961" w:rsidRPr="00415889">
        <w:rPr>
          <w:rFonts w:ascii="Times New Roman" w:eastAsia="Times New Roman" w:hAnsi="Times New Roman" w:cs="Times New Roman"/>
          <w:snapToGrid w:val="0"/>
          <w:color w:val="auto"/>
          <w:kern w:val="0"/>
          <w:sz w:val="28"/>
          <w:szCs w:val="28"/>
          <w:lang w:eastAsia="ru-RU"/>
          <w14:ligatures w14:val="none"/>
        </w:rPr>
        <w:t xml:space="preserve"> (ориентировочно справедливо для концессии с годовой выручкой 1,6 млрд рублей)</w:t>
      </w:r>
      <w:r w:rsidR="00F1623A" w:rsidRPr="00415889">
        <w:rPr>
          <w:rFonts w:ascii="Times New Roman" w:eastAsia="Times New Roman" w:hAnsi="Times New Roman" w:cs="Times New Roman"/>
          <w:snapToGrid w:val="0"/>
          <w:color w:val="auto"/>
          <w:kern w:val="0"/>
          <w:sz w:val="28"/>
          <w:szCs w:val="28"/>
          <w:lang w:eastAsia="ru-RU"/>
          <w14:ligatures w14:val="none"/>
        </w:rPr>
        <w:t>.</w:t>
      </w:r>
    </w:p>
    <w:p w:rsidR="00F1623A" w:rsidRPr="00415889" w:rsidRDefault="00F1623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xml:space="preserve">Эффект достигается на начальных этапах реализации концессии, но приводит к устойчивому сокращению операционных расходов, которое не должно изыматься из тарифной выручки будущих периодов. </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Изменение объемов договорной работы учитывается при сокращении численности административно-управленческого персонала.</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2.</w:t>
      </w:r>
      <w:r w:rsidR="00415889">
        <w:rPr>
          <w:rFonts w:ascii="Times New Roman" w:eastAsia="Times New Roman" w:hAnsi="Times New Roman" w:cs="Times New Roman"/>
          <w:snapToGrid w:val="0"/>
          <w:color w:val="auto"/>
          <w:kern w:val="0"/>
          <w:sz w:val="28"/>
          <w:szCs w:val="28"/>
          <w:lang w:eastAsia="ru-RU"/>
          <w14:ligatures w14:val="none"/>
        </w:rPr>
        <w:t> </w:t>
      </w:r>
      <w:r w:rsidRPr="00415889">
        <w:rPr>
          <w:rFonts w:ascii="Times New Roman" w:eastAsia="Times New Roman" w:hAnsi="Times New Roman" w:cs="Times New Roman"/>
          <w:snapToGrid w:val="0"/>
          <w:color w:val="auto"/>
          <w:kern w:val="0"/>
          <w:sz w:val="28"/>
          <w:szCs w:val="28"/>
          <w:lang w:eastAsia="ru-RU"/>
          <w14:ligatures w14:val="none"/>
        </w:rPr>
        <w:t>Оптимизация структуры загрузки тепловых мощностей за счет использования свободных мощностей ТЭЦ вместо строительства или эксплуатации (в т.ч. модернизации) отдельных муниципальных котельных.</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xml:space="preserve">В случае передачи по концессионному соглашению котельных, расположенных в зоне радиуса эффективного теплоснабжения от ТЭЦ и технико-экономической возможности перевода потребителей от таких котельных на ТЭЦ, реализуются проекты по переводу нагрузок. Например, в </w:t>
      </w:r>
      <w:r w:rsidR="00A13F1A" w:rsidRPr="00415889">
        <w:rPr>
          <w:rFonts w:ascii="Times New Roman" w:eastAsia="Times New Roman" w:hAnsi="Times New Roman" w:cs="Times New Roman"/>
          <w:snapToGrid w:val="0"/>
          <w:color w:val="auto"/>
          <w:kern w:val="0"/>
          <w:sz w:val="28"/>
          <w:szCs w:val="28"/>
          <w:lang w:eastAsia="ru-RU"/>
          <w14:ligatures w14:val="none"/>
        </w:rPr>
        <w:t>практике ПАО «</w:t>
      </w:r>
      <w:r w:rsidRPr="00415889">
        <w:rPr>
          <w:rFonts w:ascii="Times New Roman" w:eastAsia="Times New Roman" w:hAnsi="Times New Roman" w:cs="Times New Roman"/>
          <w:snapToGrid w:val="0"/>
          <w:color w:val="auto"/>
          <w:kern w:val="0"/>
          <w:sz w:val="28"/>
          <w:szCs w:val="28"/>
          <w:lang w:eastAsia="ru-RU"/>
          <w14:ligatures w14:val="none"/>
        </w:rPr>
        <w:t xml:space="preserve">Т </w:t>
      </w:r>
      <w:r w:rsidR="00A13F1A" w:rsidRPr="00415889">
        <w:rPr>
          <w:rFonts w:ascii="Times New Roman" w:eastAsia="Times New Roman" w:hAnsi="Times New Roman" w:cs="Times New Roman"/>
          <w:snapToGrid w:val="0"/>
          <w:color w:val="auto"/>
          <w:kern w:val="0"/>
          <w:sz w:val="28"/>
          <w:szCs w:val="28"/>
          <w:lang w:eastAsia="ru-RU"/>
          <w14:ligatures w14:val="none"/>
        </w:rPr>
        <w:t>П</w:t>
      </w:r>
      <w:r w:rsidRPr="00415889">
        <w:rPr>
          <w:rFonts w:ascii="Times New Roman" w:eastAsia="Times New Roman" w:hAnsi="Times New Roman" w:cs="Times New Roman"/>
          <w:snapToGrid w:val="0"/>
          <w:color w:val="auto"/>
          <w:kern w:val="0"/>
          <w:sz w:val="28"/>
          <w:szCs w:val="28"/>
          <w:lang w:eastAsia="ru-RU"/>
          <w14:ligatures w14:val="none"/>
        </w:rPr>
        <w:t>люс</w:t>
      </w:r>
      <w:r w:rsidR="00A13F1A" w:rsidRPr="00415889">
        <w:rPr>
          <w:rFonts w:ascii="Times New Roman" w:eastAsia="Times New Roman" w:hAnsi="Times New Roman" w:cs="Times New Roman"/>
          <w:snapToGrid w:val="0"/>
          <w:color w:val="auto"/>
          <w:kern w:val="0"/>
          <w:sz w:val="28"/>
          <w:szCs w:val="28"/>
          <w:lang w:eastAsia="ru-RU"/>
          <w14:ligatures w14:val="none"/>
        </w:rPr>
        <w:t>»</w:t>
      </w:r>
      <w:r w:rsidRPr="00415889">
        <w:rPr>
          <w:rFonts w:ascii="Times New Roman" w:eastAsia="Times New Roman" w:hAnsi="Times New Roman" w:cs="Times New Roman"/>
          <w:snapToGrid w:val="0"/>
          <w:color w:val="auto"/>
          <w:kern w:val="0"/>
          <w:sz w:val="28"/>
          <w:szCs w:val="28"/>
          <w:lang w:eastAsia="ru-RU"/>
          <w14:ligatures w14:val="none"/>
        </w:rPr>
        <w:t xml:space="preserve"> на текущий момент такие проекты реализованы на котельных 6.15 в г. Киров, 5-Ц, 21-Ц, 22-Ц, 29-Ц в г. Чебоксары.</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Основные эффекты – за счет повышения КИУМ и теплофикационной выработки электроэнергии на ТЭЦ происходит сокращение затрат топлива на производство электроэнергии (1 переведенная Гкал тепла на ТЭЦ позволяет сэкономить 60 кг тонн условного топлива), снижение выбросов загрязняющих веществ (1 переведенная Гкал тепла на ТЭЦ позволяет снизить выбросы СО2 на 95 кг), а также повышается производительность труда (оптимизация оперативного и ремонтного персонала средней котельной составляет 5-</w:t>
      </w:r>
      <w:r w:rsidR="00AB607F" w:rsidRPr="00415889">
        <w:rPr>
          <w:rFonts w:ascii="Times New Roman" w:eastAsia="Times New Roman" w:hAnsi="Times New Roman" w:cs="Times New Roman"/>
          <w:snapToGrid w:val="0"/>
          <w:color w:val="auto"/>
          <w:kern w:val="0"/>
          <w:sz w:val="28"/>
          <w:szCs w:val="28"/>
          <w:lang w:eastAsia="ru-RU"/>
          <w14:ligatures w14:val="none"/>
        </w:rPr>
        <w:t>10</w:t>
      </w:r>
      <w:r w:rsidRPr="00415889">
        <w:rPr>
          <w:rFonts w:ascii="Times New Roman" w:eastAsia="Times New Roman" w:hAnsi="Times New Roman" w:cs="Times New Roman"/>
          <w:snapToGrid w:val="0"/>
          <w:color w:val="auto"/>
          <w:kern w:val="0"/>
          <w:sz w:val="28"/>
          <w:szCs w:val="28"/>
          <w:lang w:eastAsia="ru-RU"/>
          <w14:ligatures w14:val="none"/>
        </w:rPr>
        <w:t xml:space="preserve"> штатных единиц). </w:t>
      </w:r>
      <w:r w:rsidR="00384961" w:rsidRPr="00415889">
        <w:rPr>
          <w:rFonts w:ascii="Times New Roman" w:eastAsia="Times New Roman" w:hAnsi="Times New Roman" w:cs="Times New Roman"/>
          <w:snapToGrid w:val="0"/>
          <w:color w:val="auto"/>
          <w:kern w:val="0"/>
          <w:sz w:val="28"/>
          <w:szCs w:val="28"/>
          <w:lang w:eastAsia="ru-RU"/>
          <w14:ligatures w14:val="none"/>
        </w:rPr>
        <w:t>Оценка эффекта от переключения 4</w:t>
      </w:r>
      <w:r w:rsidRPr="00415889">
        <w:rPr>
          <w:rFonts w:ascii="Times New Roman" w:eastAsia="Times New Roman" w:hAnsi="Times New Roman" w:cs="Times New Roman"/>
          <w:snapToGrid w:val="0"/>
          <w:color w:val="auto"/>
          <w:kern w:val="0"/>
          <w:sz w:val="28"/>
          <w:szCs w:val="28"/>
          <w:lang w:eastAsia="ru-RU"/>
          <w14:ligatures w14:val="none"/>
        </w:rPr>
        <w:t xml:space="preserve"> котельных мощностью 10Гкал/час на ТЭЦ с учетом расходов на изменение конфигурации инженерных сетей 50 млн/год. </w:t>
      </w:r>
    </w:p>
    <w:p w:rsidR="00384961" w:rsidRPr="00415889" w:rsidRDefault="00384961"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Для конце</w:t>
      </w:r>
      <w:r w:rsidR="00AB607F" w:rsidRPr="00415889">
        <w:rPr>
          <w:rFonts w:ascii="Times New Roman" w:eastAsia="Times New Roman" w:hAnsi="Times New Roman" w:cs="Times New Roman"/>
          <w:snapToGrid w:val="0"/>
          <w:color w:val="auto"/>
          <w:kern w:val="0"/>
          <w:sz w:val="28"/>
          <w:szCs w:val="28"/>
          <w:lang w:eastAsia="ru-RU"/>
          <w14:ligatures w14:val="none"/>
        </w:rPr>
        <w:t>ссии с выручкой 1</w:t>
      </w:r>
      <w:r w:rsidRPr="00415889">
        <w:rPr>
          <w:rFonts w:ascii="Times New Roman" w:eastAsia="Times New Roman" w:hAnsi="Times New Roman" w:cs="Times New Roman"/>
          <w:snapToGrid w:val="0"/>
          <w:color w:val="auto"/>
          <w:kern w:val="0"/>
          <w:sz w:val="28"/>
          <w:szCs w:val="28"/>
          <w:lang w:eastAsia="ru-RU"/>
          <w14:ligatures w14:val="none"/>
        </w:rPr>
        <w:t>,6 млрд рублей вероятнее переключение двух подобных котельных и эффект в 25 млн рублей/год.</w:t>
      </w:r>
    </w:p>
    <w:p w:rsidR="0059015F" w:rsidRPr="00415889" w:rsidRDefault="0059015F"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Эффект достигается на начальных этапах реализации концессии, но приводит к устойчивому сокращению операционных расходов, которое не должно изыматься из тарифной выручки будущих периодов.</w:t>
      </w:r>
    </w:p>
    <w:p w:rsidR="004D19BA" w:rsidRP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3. </w:t>
      </w:r>
      <w:r w:rsidR="004D19BA" w:rsidRPr="00415889">
        <w:rPr>
          <w:rFonts w:ascii="Times New Roman" w:eastAsia="Times New Roman" w:hAnsi="Times New Roman" w:cs="Times New Roman"/>
          <w:snapToGrid w:val="0"/>
          <w:color w:val="auto"/>
          <w:kern w:val="0"/>
          <w:sz w:val="28"/>
          <w:szCs w:val="28"/>
          <w:lang w:eastAsia="ru-RU"/>
          <w14:ligatures w14:val="none"/>
        </w:rPr>
        <w:t>Повышение эффективности управления и общей на</w:t>
      </w:r>
      <w:r>
        <w:rPr>
          <w:rFonts w:ascii="Times New Roman" w:eastAsia="Times New Roman" w:hAnsi="Times New Roman" w:cs="Times New Roman"/>
          <w:snapToGrid w:val="0"/>
          <w:color w:val="auto"/>
          <w:kern w:val="0"/>
          <w:sz w:val="28"/>
          <w:szCs w:val="28"/>
          <w:lang w:eastAsia="ru-RU"/>
          <w14:ligatures w14:val="none"/>
        </w:rPr>
        <w:t>дежности системы теплоснабжения.</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Управление всей цепочкой теплоснабжения одним оператором позволяет оптимизировать схему теплоснабжения города. Это включает кроме перевода нагрузок на ТЭЦ:</w:t>
      </w:r>
    </w:p>
    <w:p w:rsidR="004D19BA" w:rsidRP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 </w:t>
      </w:r>
      <w:r w:rsidR="004D19BA" w:rsidRPr="00415889">
        <w:rPr>
          <w:rFonts w:ascii="Times New Roman" w:eastAsia="Times New Roman" w:hAnsi="Times New Roman" w:cs="Times New Roman"/>
          <w:snapToGrid w:val="0"/>
          <w:color w:val="auto"/>
          <w:kern w:val="0"/>
          <w:sz w:val="28"/>
          <w:szCs w:val="28"/>
          <w:lang w:eastAsia="ru-RU"/>
          <w14:ligatures w14:val="none"/>
        </w:rPr>
        <w:t>строительство сезонных, пиковых котельных, например, строительство БМК-1, БМК-2 в г. Чайковский позволило в межотопительный сезон снизить перерывы и повысить качество горячего водоснабжения;</w:t>
      </w:r>
    </w:p>
    <w:p w:rsidR="004D19BA" w:rsidRP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 </w:t>
      </w:r>
      <w:r w:rsidR="004D19BA" w:rsidRPr="00415889">
        <w:rPr>
          <w:rFonts w:ascii="Times New Roman" w:eastAsia="Times New Roman" w:hAnsi="Times New Roman" w:cs="Times New Roman"/>
          <w:snapToGrid w:val="0"/>
          <w:color w:val="auto"/>
          <w:kern w:val="0"/>
          <w:sz w:val="28"/>
          <w:szCs w:val="28"/>
          <w:lang w:eastAsia="ru-RU"/>
          <w14:ligatures w14:val="none"/>
        </w:rPr>
        <w:t>перевод нагрузки с резервированием, например, планируемый перевод нагрузки котельной больничного городка на ТЭЦ в г. Березники (существующая котельная остается как резервный источник) позволит повысить эффективность и надежность теплоснабжения;</w:t>
      </w:r>
    </w:p>
    <w:p w:rsid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 </w:t>
      </w:r>
      <w:r w:rsidR="004D19BA" w:rsidRPr="00415889">
        <w:rPr>
          <w:rFonts w:ascii="Times New Roman" w:eastAsia="Times New Roman" w:hAnsi="Times New Roman" w:cs="Times New Roman"/>
          <w:snapToGrid w:val="0"/>
          <w:color w:val="auto"/>
          <w:kern w:val="0"/>
          <w:sz w:val="28"/>
          <w:szCs w:val="28"/>
          <w:lang w:eastAsia="ru-RU"/>
          <w14:ligatures w14:val="none"/>
        </w:rPr>
        <w:t xml:space="preserve">переводы нагрузок между котельными, например, перевод нагрузки котельной 11.6 в г. Киров позволил повысить производительность труда и снизить капитальные затраты. </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Эффекты</w:t>
      </w:r>
      <w:r w:rsidR="00415889" w:rsidRPr="00AF7464">
        <w:rPr>
          <w:rFonts w:ascii="Times New Roman" w:eastAsia="Times New Roman" w:hAnsi="Times New Roman" w:cs="Times New Roman"/>
          <w:snapToGrid w:val="0"/>
          <w:color w:val="auto"/>
          <w:kern w:val="0"/>
          <w:sz w:val="28"/>
          <w:szCs w:val="28"/>
          <w:lang w:eastAsia="ru-RU"/>
          <w14:ligatures w14:val="none"/>
        </w:rPr>
        <w:t>:</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xml:space="preserve">Общий потенциал повышения эффективности теплоснабжения за счет оптимизации управления и повышения общей надежности теплоснабжения </w:t>
      </w:r>
      <w:r w:rsidR="00A13F1A" w:rsidRPr="00415889">
        <w:rPr>
          <w:rFonts w:ascii="Times New Roman" w:eastAsia="Times New Roman" w:hAnsi="Times New Roman" w:cs="Times New Roman"/>
          <w:snapToGrid w:val="0"/>
          <w:color w:val="auto"/>
          <w:kern w:val="0"/>
          <w:sz w:val="28"/>
          <w:szCs w:val="28"/>
          <w:lang w:eastAsia="ru-RU"/>
          <w14:ligatures w14:val="none"/>
        </w:rPr>
        <w:t>ПАО «</w:t>
      </w:r>
      <w:r w:rsidRPr="00415889">
        <w:rPr>
          <w:rFonts w:ascii="Times New Roman" w:eastAsia="Times New Roman" w:hAnsi="Times New Roman" w:cs="Times New Roman"/>
          <w:snapToGrid w:val="0"/>
          <w:color w:val="auto"/>
          <w:kern w:val="0"/>
          <w:sz w:val="28"/>
          <w:szCs w:val="28"/>
          <w:lang w:eastAsia="ru-RU"/>
          <w14:ligatures w14:val="none"/>
        </w:rPr>
        <w:t>Т</w:t>
      </w:r>
      <w:r w:rsidR="00A13F1A" w:rsidRPr="00415889">
        <w:rPr>
          <w:rFonts w:ascii="Times New Roman" w:eastAsia="Times New Roman" w:hAnsi="Times New Roman" w:cs="Times New Roman"/>
          <w:snapToGrid w:val="0"/>
          <w:color w:val="auto"/>
          <w:kern w:val="0"/>
          <w:sz w:val="28"/>
          <w:szCs w:val="28"/>
          <w:lang w:eastAsia="ru-RU"/>
          <w14:ligatures w14:val="none"/>
        </w:rPr>
        <w:t> П</w:t>
      </w:r>
      <w:r w:rsidRPr="00415889">
        <w:rPr>
          <w:rFonts w:ascii="Times New Roman" w:eastAsia="Times New Roman" w:hAnsi="Times New Roman" w:cs="Times New Roman"/>
          <w:snapToGrid w:val="0"/>
          <w:color w:val="auto"/>
          <w:kern w:val="0"/>
          <w:sz w:val="28"/>
          <w:szCs w:val="28"/>
          <w:lang w:eastAsia="ru-RU"/>
          <w14:ligatures w14:val="none"/>
        </w:rPr>
        <w:t>люс</w:t>
      </w:r>
      <w:r w:rsidR="00A13F1A" w:rsidRPr="00415889">
        <w:rPr>
          <w:rFonts w:ascii="Times New Roman" w:eastAsia="Times New Roman" w:hAnsi="Times New Roman" w:cs="Times New Roman"/>
          <w:snapToGrid w:val="0"/>
          <w:color w:val="auto"/>
          <w:kern w:val="0"/>
          <w:sz w:val="28"/>
          <w:szCs w:val="28"/>
          <w:lang w:eastAsia="ru-RU"/>
          <w14:ligatures w14:val="none"/>
        </w:rPr>
        <w:t>»</w:t>
      </w:r>
      <w:r w:rsidRPr="00415889">
        <w:rPr>
          <w:rFonts w:ascii="Times New Roman" w:eastAsia="Times New Roman" w:hAnsi="Times New Roman" w:cs="Times New Roman"/>
          <w:snapToGrid w:val="0"/>
          <w:color w:val="auto"/>
          <w:kern w:val="0"/>
          <w:sz w:val="28"/>
          <w:szCs w:val="28"/>
          <w:lang w:eastAsia="ru-RU"/>
          <w14:ligatures w14:val="none"/>
        </w:rPr>
        <w:t xml:space="preserve"> </w:t>
      </w:r>
      <w:r w:rsidR="00384961" w:rsidRPr="00415889">
        <w:rPr>
          <w:rFonts w:ascii="Times New Roman" w:eastAsia="Times New Roman" w:hAnsi="Times New Roman" w:cs="Times New Roman"/>
          <w:snapToGrid w:val="0"/>
          <w:color w:val="auto"/>
          <w:kern w:val="0"/>
          <w:sz w:val="28"/>
          <w:szCs w:val="28"/>
          <w:lang w:eastAsia="ru-RU"/>
          <w14:ligatures w14:val="none"/>
        </w:rPr>
        <w:t>оценивается в 5</w:t>
      </w:r>
      <w:r w:rsidR="00AB607F" w:rsidRPr="00415889">
        <w:rPr>
          <w:rFonts w:ascii="Times New Roman" w:eastAsia="Times New Roman" w:hAnsi="Times New Roman" w:cs="Times New Roman"/>
          <w:snapToGrid w:val="0"/>
          <w:color w:val="auto"/>
          <w:kern w:val="0"/>
          <w:sz w:val="28"/>
          <w:szCs w:val="28"/>
          <w:lang w:eastAsia="ru-RU"/>
          <w14:ligatures w14:val="none"/>
        </w:rPr>
        <w:t>%</w:t>
      </w:r>
      <w:r w:rsidR="00384961" w:rsidRPr="00415889">
        <w:rPr>
          <w:rFonts w:ascii="Times New Roman" w:eastAsia="Times New Roman" w:hAnsi="Times New Roman" w:cs="Times New Roman"/>
          <w:snapToGrid w:val="0"/>
          <w:color w:val="auto"/>
          <w:kern w:val="0"/>
          <w:sz w:val="28"/>
          <w:szCs w:val="28"/>
          <w:lang w:eastAsia="ru-RU"/>
          <w14:ligatures w14:val="none"/>
        </w:rPr>
        <w:t xml:space="preserve"> от </w:t>
      </w:r>
      <w:r w:rsidR="00AB607F" w:rsidRPr="00415889">
        <w:rPr>
          <w:rFonts w:ascii="Times New Roman" w:eastAsia="Times New Roman" w:hAnsi="Times New Roman" w:cs="Times New Roman"/>
          <w:snapToGrid w:val="0"/>
          <w:color w:val="auto"/>
          <w:kern w:val="0"/>
          <w:sz w:val="28"/>
          <w:szCs w:val="28"/>
          <w:lang w:eastAsia="ru-RU"/>
          <w14:ligatures w14:val="none"/>
        </w:rPr>
        <w:t xml:space="preserve">операционных </w:t>
      </w:r>
      <w:r w:rsidR="00384961" w:rsidRPr="00415889">
        <w:rPr>
          <w:rFonts w:ascii="Times New Roman" w:eastAsia="Times New Roman" w:hAnsi="Times New Roman" w:cs="Times New Roman"/>
          <w:snapToGrid w:val="0"/>
          <w:color w:val="auto"/>
          <w:kern w:val="0"/>
          <w:sz w:val="28"/>
          <w:szCs w:val="28"/>
          <w:lang w:eastAsia="ru-RU"/>
          <w14:ligatures w14:val="none"/>
        </w:rPr>
        <w:t>издержек. Для</w:t>
      </w:r>
      <w:r w:rsidRPr="00415889">
        <w:rPr>
          <w:rFonts w:ascii="Times New Roman" w:eastAsia="Times New Roman" w:hAnsi="Times New Roman" w:cs="Times New Roman"/>
          <w:snapToGrid w:val="0"/>
          <w:color w:val="auto"/>
          <w:kern w:val="0"/>
          <w:sz w:val="28"/>
          <w:szCs w:val="28"/>
          <w:lang w:eastAsia="ru-RU"/>
          <w14:ligatures w14:val="none"/>
        </w:rPr>
        <w:t xml:space="preserve"> </w:t>
      </w:r>
      <w:r w:rsidR="00384961" w:rsidRPr="00415889">
        <w:rPr>
          <w:rFonts w:ascii="Times New Roman" w:eastAsia="Times New Roman" w:hAnsi="Times New Roman" w:cs="Times New Roman"/>
          <w:snapToGrid w:val="0"/>
          <w:color w:val="auto"/>
          <w:kern w:val="0"/>
          <w:sz w:val="28"/>
          <w:szCs w:val="28"/>
          <w:lang w:eastAsia="ru-RU"/>
          <w14:ligatures w14:val="none"/>
        </w:rPr>
        <w:t>концессионера с годовой выручкой 1,6 млрд руб</w:t>
      </w:r>
      <w:r w:rsidR="0055501B" w:rsidRPr="00415889">
        <w:rPr>
          <w:rFonts w:ascii="Times New Roman" w:eastAsia="Times New Roman" w:hAnsi="Times New Roman" w:cs="Times New Roman"/>
          <w:snapToGrid w:val="0"/>
          <w:color w:val="auto"/>
          <w:kern w:val="0"/>
          <w:sz w:val="28"/>
          <w:szCs w:val="28"/>
          <w:lang w:eastAsia="ru-RU"/>
          <w14:ligatures w14:val="none"/>
        </w:rPr>
        <w:t>лей</w:t>
      </w:r>
      <w:r w:rsidRPr="00415889">
        <w:rPr>
          <w:rFonts w:ascii="Times New Roman" w:eastAsia="Times New Roman" w:hAnsi="Times New Roman" w:cs="Times New Roman"/>
          <w:snapToGrid w:val="0"/>
          <w:color w:val="auto"/>
          <w:kern w:val="0"/>
          <w:sz w:val="28"/>
          <w:szCs w:val="28"/>
          <w:lang w:eastAsia="ru-RU"/>
          <w14:ligatures w14:val="none"/>
        </w:rPr>
        <w:t xml:space="preserve"> </w:t>
      </w:r>
      <w:r w:rsidR="00384961" w:rsidRPr="00415889">
        <w:rPr>
          <w:rFonts w:ascii="Times New Roman" w:eastAsia="Times New Roman" w:hAnsi="Times New Roman" w:cs="Times New Roman"/>
          <w:snapToGrid w:val="0"/>
          <w:color w:val="auto"/>
          <w:kern w:val="0"/>
          <w:sz w:val="28"/>
          <w:szCs w:val="28"/>
          <w:lang w:eastAsia="ru-RU"/>
          <w14:ligatures w14:val="none"/>
        </w:rPr>
        <w:t>эффект может составлять более 5</w:t>
      </w:r>
      <w:r w:rsidRPr="00415889">
        <w:rPr>
          <w:rFonts w:ascii="Times New Roman" w:eastAsia="Times New Roman" w:hAnsi="Times New Roman" w:cs="Times New Roman"/>
          <w:snapToGrid w:val="0"/>
          <w:color w:val="auto"/>
          <w:kern w:val="0"/>
          <w:sz w:val="28"/>
          <w:szCs w:val="28"/>
          <w:lang w:eastAsia="ru-RU"/>
          <w14:ligatures w14:val="none"/>
        </w:rPr>
        <w:t>0 млн рублей/год.</w:t>
      </w:r>
    </w:p>
    <w:p w:rsidR="0059015F" w:rsidRPr="00415889" w:rsidRDefault="0059015F"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Эффект достигается на начальных этапах реализации концессии, но приводит к устойчивому сокращению операционных расходов, которое не должно изыматься из тарифной выручки будущих периодов.</w:t>
      </w:r>
    </w:p>
    <w:p w:rsidR="004D19BA" w:rsidRP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4.</w:t>
      </w:r>
      <w:r>
        <w:rPr>
          <w:rFonts w:ascii="Times New Roman" w:eastAsia="Times New Roman" w:hAnsi="Times New Roman" w:cs="Times New Roman"/>
          <w:snapToGrid w:val="0"/>
          <w:color w:val="auto"/>
          <w:kern w:val="0"/>
          <w:sz w:val="28"/>
          <w:szCs w:val="28"/>
          <w:lang w:val="en-US" w:eastAsia="ru-RU"/>
          <w14:ligatures w14:val="none"/>
        </w:rPr>
        <w:t> </w:t>
      </w:r>
      <w:r w:rsidR="004D19BA" w:rsidRPr="00415889">
        <w:rPr>
          <w:rFonts w:ascii="Times New Roman" w:eastAsia="Times New Roman" w:hAnsi="Times New Roman" w:cs="Times New Roman"/>
          <w:snapToGrid w:val="0"/>
          <w:color w:val="auto"/>
          <w:kern w:val="0"/>
          <w:sz w:val="28"/>
          <w:szCs w:val="28"/>
          <w:lang w:eastAsia="ru-RU"/>
          <w14:ligatures w14:val="none"/>
        </w:rPr>
        <w:t>Эффект от проведения единой технической и закупочной политики на всей системе централизованного теплоснабжения</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xml:space="preserve">Эффект от проведения единой закупочной политики приводит в существенному снижению закупочных цен. На примере </w:t>
      </w:r>
      <w:r w:rsidR="0055501B" w:rsidRPr="00415889">
        <w:rPr>
          <w:rFonts w:ascii="Times New Roman" w:eastAsia="Times New Roman" w:hAnsi="Times New Roman" w:cs="Times New Roman"/>
          <w:snapToGrid w:val="0"/>
          <w:color w:val="auto"/>
          <w:kern w:val="0"/>
          <w:sz w:val="28"/>
          <w:szCs w:val="28"/>
          <w:lang w:eastAsia="ru-RU"/>
          <w14:ligatures w14:val="none"/>
        </w:rPr>
        <w:t>ПАО «</w:t>
      </w:r>
      <w:r w:rsidRPr="00415889">
        <w:rPr>
          <w:rFonts w:ascii="Times New Roman" w:eastAsia="Times New Roman" w:hAnsi="Times New Roman" w:cs="Times New Roman"/>
          <w:snapToGrid w:val="0"/>
          <w:color w:val="auto"/>
          <w:kern w:val="0"/>
          <w:sz w:val="28"/>
          <w:szCs w:val="28"/>
          <w:lang w:eastAsia="ru-RU"/>
          <w14:ligatures w14:val="none"/>
        </w:rPr>
        <w:t>Т</w:t>
      </w:r>
      <w:r w:rsidR="0055501B" w:rsidRPr="00415889">
        <w:rPr>
          <w:rFonts w:ascii="Times New Roman" w:eastAsia="Times New Roman" w:hAnsi="Times New Roman" w:cs="Times New Roman"/>
          <w:snapToGrid w:val="0"/>
          <w:color w:val="auto"/>
          <w:kern w:val="0"/>
          <w:sz w:val="28"/>
          <w:szCs w:val="28"/>
          <w:lang w:eastAsia="ru-RU"/>
          <w14:ligatures w14:val="none"/>
        </w:rPr>
        <w:t xml:space="preserve"> П</w:t>
      </w:r>
      <w:r w:rsidRPr="00415889">
        <w:rPr>
          <w:rFonts w:ascii="Times New Roman" w:eastAsia="Times New Roman" w:hAnsi="Times New Roman" w:cs="Times New Roman"/>
          <w:snapToGrid w:val="0"/>
          <w:color w:val="auto"/>
          <w:kern w:val="0"/>
          <w:sz w:val="28"/>
          <w:szCs w:val="28"/>
          <w:lang w:eastAsia="ru-RU"/>
          <w14:ligatures w14:val="none"/>
        </w:rPr>
        <w:t>люс</w:t>
      </w:r>
      <w:r w:rsidR="0055501B" w:rsidRPr="00415889">
        <w:rPr>
          <w:rFonts w:ascii="Times New Roman" w:eastAsia="Times New Roman" w:hAnsi="Times New Roman" w:cs="Times New Roman"/>
          <w:snapToGrid w:val="0"/>
          <w:color w:val="auto"/>
          <w:kern w:val="0"/>
          <w:sz w:val="28"/>
          <w:szCs w:val="28"/>
          <w:lang w:eastAsia="ru-RU"/>
          <w14:ligatures w14:val="none"/>
        </w:rPr>
        <w:t>»</w:t>
      </w:r>
      <w:r w:rsidRPr="00415889">
        <w:rPr>
          <w:rFonts w:ascii="Times New Roman" w:eastAsia="Times New Roman" w:hAnsi="Times New Roman" w:cs="Times New Roman"/>
          <w:snapToGrid w:val="0"/>
          <w:color w:val="auto"/>
          <w:kern w:val="0"/>
          <w:sz w:val="28"/>
          <w:szCs w:val="28"/>
          <w:lang w:eastAsia="ru-RU"/>
          <w14:ligatures w14:val="none"/>
        </w:rPr>
        <w:t xml:space="preserve"> экономия на проведении централизованных закупок составляет 19%. При выручке по концессионному соглашению в 1,6 млрд рублей эффект будет порядка 10 млн рублей/год.</w:t>
      </w:r>
    </w:p>
    <w:p w:rsidR="0059015F" w:rsidRPr="00415889" w:rsidRDefault="0059015F"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Эффект системный, но его подтверждение необходимо в ходе ежегодных закупок.</w:t>
      </w:r>
    </w:p>
    <w:p w:rsidR="004D19BA" w:rsidRP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5.</w:t>
      </w:r>
      <w:r>
        <w:rPr>
          <w:rFonts w:ascii="Times New Roman" w:eastAsia="Times New Roman" w:hAnsi="Times New Roman" w:cs="Times New Roman"/>
          <w:snapToGrid w:val="0"/>
          <w:color w:val="auto"/>
          <w:kern w:val="0"/>
          <w:sz w:val="28"/>
          <w:szCs w:val="28"/>
          <w:lang w:val="en-US" w:eastAsia="ru-RU"/>
          <w14:ligatures w14:val="none"/>
        </w:rPr>
        <w:t> </w:t>
      </w:r>
      <w:r w:rsidR="004D19BA" w:rsidRPr="00415889">
        <w:rPr>
          <w:rFonts w:ascii="Times New Roman" w:eastAsia="Times New Roman" w:hAnsi="Times New Roman" w:cs="Times New Roman"/>
          <w:snapToGrid w:val="0"/>
          <w:color w:val="auto"/>
          <w:kern w:val="0"/>
          <w:sz w:val="28"/>
          <w:szCs w:val="28"/>
          <w:lang w:eastAsia="ru-RU"/>
          <w14:ligatures w14:val="none"/>
        </w:rPr>
        <w:t>Снижение численности административно-управленческого персонала</w:t>
      </w:r>
    </w:p>
    <w:p w:rsidR="004D19BA" w:rsidRPr="00415889" w:rsidRDefault="0055501B"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ПАО «</w:t>
      </w:r>
      <w:r w:rsidR="004D19BA" w:rsidRPr="00415889">
        <w:rPr>
          <w:rFonts w:ascii="Times New Roman" w:eastAsia="Times New Roman" w:hAnsi="Times New Roman" w:cs="Times New Roman"/>
          <w:snapToGrid w:val="0"/>
          <w:color w:val="auto"/>
          <w:kern w:val="0"/>
          <w:sz w:val="28"/>
          <w:szCs w:val="28"/>
          <w:lang w:eastAsia="ru-RU"/>
          <w14:ligatures w14:val="none"/>
        </w:rPr>
        <w:t xml:space="preserve">Т </w:t>
      </w:r>
      <w:r w:rsidRPr="00415889">
        <w:rPr>
          <w:rFonts w:ascii="Times New Roman" w:eastAsia="Times New Roman" w:hAnsi="Times New Roman" w:cs="Times New Roman"/>
          <w:snapToGrid w:val="0"/>
          <w:color w:val="auto"/>
          <w:kern w:val="0"/>
          <w:sz w:val="28"/>
          <w:szCs w:val="28"/>
          <w:lang w:eastAsia="ru-RU"/>
          <w14:ligatures w14:val="none"/>
        </w:rPr>
        <w:t>П</w:t>
      </w:r>
      <w:r w:rsidR="004D19BA" w:rsidRPr="00415889">
        <w:rPr>
          <w:rFonts w:ascii="Times New Roman" w:eastAsia="Times New Roman" w:hAnsi="Times New Roman" w:cs="Times New Roman"/>
          <w:snapToGrid w:val="0"/>
          <w:color w:val="auto"/>
          <w:kern w:val="0"/>
          <w:sz w:val="28"/>
          <w:szCs w:val="28"/>
          <w:lang w:eastAsia="ru-RU"/>
          <w14:ligatures w14:val="none"/>
        </w:rPr>
        <w:t>люс</w:t>
      </w:r>
      <w:r w:rsidRPr="00415889">
        <w:rPr>
          <w:rFonts w:ascii="Times New Roman" w:eastAsia="Times New Roman" w:hAnsi="Times New Roman" w:cs="Times New Roman"/>
          <w:snapToGrid w:val="0"/>
          <w:color w:val="auto"/>
          <w:kern w:val="0"/>
          <w:sz w:val="28"/>
          <w:szCs w:val="28"/>
          <w:lang w:eastAsia="ru-RU"/>
          <w14:ligatures w14:val="none"/>
        </w:rPr>
        <w:t>»</w:t>
      </w:r>
      <w:r w:rsidR="004D19BA" w:rsidRPr="00415889">
        <w:rPr>
          <w:rFonts w:ascii="Times New Roman" w:eastAsia="Times New Roman" w:hAnsi="Times New Roman" w:cs="Times New Roman"/>
          <w:snapToGrid w:val="0"/>
          <w:color w:val="auto"/>
          <w:kern w:val="0"/>
          <w:sz w:val="28"/>
          <w:szCs w:val="28"/>
          <w:lang w:eastAsia="ru-RU"/>
          <w14:ligatures w14:val="none"/>
        </w:rPr>
        <w:t xml:space="preserve"> ис</w:t>
      </w:r>
      <w:r w:rsidR="00415889">
        <w:rPr>
          <w:rFonts w:ascii="Times New Roman" w:eastAsia="Times New Roman" w:hAnsi="Times New Roman" w:cs="Times New Roman"/>
          <w:snapToGrid w:val="0"/>
          <w:color w:val="auto"/>
          <w:kern w:val="0"/>
          <w:sz w:val="28"/>
          <w:szCs w:val="28"/>
          <w:lang w:eastAsia="ru-RU"/>
          <w14:ligatures w14:val="none"/>
        </w:rPr>
        <w:t>ходит из сокращения АУП до 50 %</w:t>
      </w:r>
      <w:r w:rsidR="004D19BA" w:rsidRPr="00415889">
        <w:rPr>
          <w:rFonts w:ascii="Times New Roman" w:eastAsia="Times New Roman" w:hAnsi="Times New Roman" w:cs="Times New Roman"/>
          <w:snapToGrid w:val="0"/>
          <w:color w:val="auto"/>
          <w:kern w:val="0"/>
          <w:sz w:val="28"/>
          <w:szCs w:val="28"/>
          <w:lang w:eastAsia="ru-RU"/>
          <w14:ligatures w14:val="none"/>
        </w:rPr>
        <w:t>. С учетом повышения зарплаты оставшимся сотрудникам и их переобучение экономия для предприятия с годовой выручкой 1,6 млрд рублей составляет 25 мл</w:t>
      </w:r>
      <w:r w:rsidRPr="00415889">
        <w:rPr>
          <w:rFonts w:ascii="Times New Roman" w:eastAsia="Times New Roman" w:hAnsi="Times New Roman" w:cs="Times New Roman"/>
          <w:snapToGrid w:val="0"/>
          <w:color w:val="auto"/>
          <w:kern w:val="0"/>
          <w:sz w:val="28"/>
          <w:szCs w:val="28"/>
          <w:lang w:eastAsia="ru-RU"/>
          <w14:ligatures w14:val="none"/>
        </w:rPr>
        <w:t>н</w:t>
      </w:r>
      <w:r w:rsidR="004D19BA" w:rsidRPr="00415889">
        <w:rPr>
          <w:rFonts w:ascii="Times New Roman" w:eastAsia="Times New Roman" w:hAnsi="Times New Roman" w:cs="Times New Roman"/>
          <w:snapToGrid w:val="0"/>
          <w:color w:val="auto"/>
          <w:kern w:val="0"/>
          <w:sz w:val="28"/>
          <w:szCs w:val="28"/>
          <w:lang w:eastAsia="ru-RU"/>
          <w14:ligatures w14:val="none"/>
        </w:rPr>
        <w:t xml:space="preserve"> рублей /год.</w:t>
      </w:r>
    </w:p>
    <w:p w:rsidR="004D19BA" w:rsidRPr="00415889" w:rsidRDefault="0059015F"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Эффект достигается, как правило, в первые два года реализации концессии. Он приводит к устойчивому сокращению операционных расходов, которое не должно изыматься из тарифной выручки будущих периодов.</w:t>
      </w:r>
    </w:p>
    <w:p w:rsidR="004D19BA" w:rsidRPr="00415889" w:rsidRDefault="00415889"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Pr>
          <w:rFonts w:ascii="Times New Roman" w:eastAsia="Times New Roman" w:hAnsi="Times New Roman" w:cs="Times New Roman"/>
          <w:snapToGrid w:val="0"/>
          <w:color w:val="auto"/>
          <w:kern w:val="0"/>
          <w:sz w:val="28"/>
          <w:szCs w:val="28"/>
          <w:lang w:eastAsia="ru-RU"/>
          <w14:ligatures w14:val="none"/>
        </w:rPr>
        <w:t>6.</w:t>
      </w:r>
      <w:r>
        <w:rPr>
          <w:rFonts w:ascii="Times New Roman" w:eastAsia="Times New Roman" w:hAnsi="Times New Roman" w:cs="Times New Roman"/>
          <w:snapToGrid w:val="0"/>
          <w:color w:val="auto"/>
          <w:kern w:val="0"/>
          <w:sz w:val="28"/>
          <w:szCs w:val="28"/>
          <w:lang w:val="en-US" w:eastAsia="ru-RU"/>
          <w14:ligatures w14:val="none"/>
        </w:rPr>
        <w:t> </w:t>
      </w:r>
      <w:r w:rsidR="004D19BA" w:rsidRPr="00415889">
        <w:rPr>
          <w:rFonts w:ascii="Times New Roman" w:eastAsia="Times New Roman" w:hAnsi="Times New Roman" w:cs="Times New Roman"/>
          <w:snapToGrid w:val="0"/>
          <w:color w:val="auto"/>
          <w:kern w:val="0"/>
          <w:sz w:val="28"/>
          <w:szCs w:val="28"/>
          <w:lang w:eastAsia="ru-RU"/>
          <w14:ligatures w14:val="none"/>
        </w:rPr>
        <w:t>Снижение производственных издержек</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Основной трансакционный эффект – это согласованное и оперативное управление режимами теплоснабжения в зависимости от потребности клиента, что ведет к снижению потерь тепловой энергии, снижению расхода электроэнергии на привод насосов и повышению качества теплоснабжения клиента (теплогидравлический режим), например, концессии в городах Ижевск, Киров, Владимир, Дзержинск позволили выстроить единую цепочку поставки тепла от клиента до источника теплоснабжения.</w:t>
      </w:r>
    </w:p>
    <w:p w:rsidR="004D19BA"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Снижение производственных издержек (оптимизация маршрутов обходов, гидравлических, температурных и прочих испытаний, диспетчерского управления, более эффективное использование ремонтных бригад и техники) порядка 15% от производственных затрат. Для рассматриваемого предприятия это составит 90 млн рублей в год.</w:t>
      </w:r>
    </w:p>
    <w:p w:rsidR="004D19BA" w:rsidRPr="00415889" w:rsidRDefault="0059015F"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Эффект достигается в первые годы реализации концессии, но приводит к устойчивому сокращению операционных расходов, которое не должно изыматься из тарифной выручки будущих периодов.</w:t>
      </w:r>
    </w:p>
    <w:p w:rsidR="00C26A37" w:rsidRPr="00415889" w:rsidRDefault="004D19BA" w:rsidP="00E7491D">
      <w:pPr>
        <w:spacing w:line="276" w:lineRule="auto"/>
        <w:rPr>
          <w:rFonts w:ascii="Times New Roman" w:eastAsia="Times New Roman" w:hAnsi="Times New Roman" w:cs="Times New Roman"/>
          <w:snapToGrid w:val="0"/>
          <w:color w:val="auto"/>
          <w:kern w:val="0"/>
          <w:sz w:val="28"/>
          <w:szCs w:val="28"/>
          <w:lang w:eastAsia="ru-RU"/>
          <w14:ligatures w14:val="none"/>
        </w:rPr>
      </w:pPr>
      <w:r w:rsidRPr="00415889">
        <w:rPr>
          <w:rFonts w:ascii="Times New Roman" w:eastAsia="Times New Roman" w:hAnsi="Times New Roman" w:cs="Times New Roman"/>
          <w:snapToGrid w:val="0"/>
          <w:color w:val="auto"/>
          <w:kern w:val="0"/>
          <w:sz w:val="28"/>
          <w:szCs w:val="28"/>
          <w:lang w:eastAsia="ru-RU"/>
          <w14:ligatures w14:val="none"/>
        </w:rPr>
        <w:t xml:space="preserve">Вывод: анализ показал, с учетом частичного пересечения рассматриваемых трансакционных эффектов они могут составить в рассматриваемых случаях до 15% выручки концессионера. Или для концессионного соглашения с выручкой в 1,6 млрд рублей это составит </w:t>
      </w:r>
      <w:r w:rsidR="00384961" w:rsidRPr="00415889">
        <w:rPr>
          <w:rFonts w:ascii="Times New Roman" w:eastAsia="Times New Roman" w:hAnsi="Times New Roman" w:cs="Times New Roman"/>
          <w:snapToGrid w:val="0"/>
          <w:color w:val="auto"/>
          <w:kern w:val="0"/>
          <w:sz w:val="28"/>
          <w:szCs w:val="28"/>
          <w:lang w:eastAsia="ru-RU"/>
          <w14:ligatures w14:val="none"/>
        </w:rPr>
        <w:t>порядка 2</w:t>
      </w:r>
      <w:r w:rsidR="00AB607F" w:rsidRPr="00415889">
        <w:rPr>
          <w:rFonts w:ascii="Times New Roman" w:eastAsia="Times New Roman" w:hAnsi="Times New Roman" w:cs="Times New Roman"/>
          <w:snapToGrid w:val="0"/>
          <w:color w:val="auto"/>
          <w:kern w:val="0"/>
          <w:sz w:val="28"/>
          <w:szCs w:val="28"/>
          <w:lang w:eastAsia="ru-RU"/>
          <w14:ligatures w14:val="none"/>
        </w:rPr>
        <w:t>4</w:t>
      </w:r>
      <w:r w:rsidR="00384961" w:rsidRPr="00415889">
        <w:rPr>
          <w:rFonts w:ascii="Times New Roman" w:eastAsia="Times New Roman" w:hAnsi="Times New Roman" w:cs="Times New Roman"/>
          <w:snapToGrid w:val="0"/>
          <w:color w:val="auto"/>
          <w:kern w:val="0"/>
          <w:sz w:val="28"/>
          <w:szCs w:val="28"/>
          <w:lang w:eastAsia="ru-RU"/>
          <w14:ligatures w14:val="none"/>
        </w:rPr>
        <w:t xml:space="preserve">0 </w:t>
      </w:r>
      <w:r w:rsidRPr="00415889">
        <w:rPr>
          <w:rFonts w:ascii="Times New Roman" w:eastAsia="Times New Roman" w:hAnsi="Times New Roman" w:cs="Times New Roman"/>
          <w:snapToGrid w:val="0"/>
          <w:color w:val="auto"/>
          <w:kern w:val="0"/>
          <w:sz w:val="28"/>
          <w:szCs w:val="28"/>
          <w:lang w:eastAsia="ru-RU"/>
          <w14:ligatures w14:val="none"/>
        </w:rPr>
        <w:t>млн рублей в год</w:t>
      </w:r>
      <w:r w:rsidR="00415889">
        <w:rPr>
          <w:rStyle w:val="af4"/>
          <w:rFonts w:ascii="Times New Roman" w:eastAsia="Times New Roman" w:hAnsi="Times New Roman" w:cs="Times New Roman"/>
          <w:snapToGrid w:val="0"/>
          <w:color w:val="auto"/>
          <w:kern w:val="0"/>
          <w:sz w:val="28"/>
          <w:szCs w:val="28"/>
          <w:lang w:eastAsia="ru-RU"/>
          <w14:ligatures w14:val="none"/>
        </w:rPr>
        <w:footnoteReference w:id="7"/>
      </w:r>
      <w:r w:rsidR="00415889" w:rsidRPr="00415889">
        <w:rPr>
          <w:rFonts w:eastAsia="Times New Roman"/>
          <w:snapToGrid w:val="0"/>
          <w:color w:val="auto"/>
          <w:kern w:val="0"/>
          <w:sz w:val="28"/>
          <w:szCs w:val="28"/>
          <w:lang w:eastAsia="ru-RU"/>
          <w14:ligatures w14:val="none"/>
        </w:rPr>
        <w:t>.</w:t>
      </w:r>
    </w:p>
    <w:sectPr w:rsidR="00C26A37" w:rsidRPr="00415889" w:rsidSect="00383C9D">
      <w:headerReference w:type="default" r:id="rId16"/>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3FC84" w16cex:dateUtc="2024-12-28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0E7E5" w16cid:durableId="34B3FC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ED1" w:rsidRDefault="00B61ED1" w:rsidP="00C556B8">
      <w:pPr>
        <w:spacing w:line="240" w:lineRule="auto"/>
      </w:pPr>
      <w:r>
        <w:separator/>
      </w:r>
    </w:p>
  </w:endnote>
  <w:endnote w:type="continuationSeparator" w:id="0">
    <w:p w:rsidR="00B61ED1" w:rsidRDefault="00B61ED1" w:rsidP="00C55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ED1" w:rsidRDefault="00B61ED1" w:rsidP="00C556B8">
      <w:pPr>
        <w:spacing w:line="240" w:lineRule="auto"/>
      </w:pPr>
      <w:r>
        <w:separator/>
      </w:r>
    </w:p>
  </w:footnote>
  <w:footnote w:type="continuationSeparator" w:id="0">
    <w:p w:rsidR="00B61ED1" w:rsidRDefault="00B61ED1" w:rsidP="00C556B8">
      <w:pPr>
        <w:spacing w:line="240" w:lineRule="auto"/>
      </w:pPr>
      <w:r>
        <w:continuationSeparator/>
      </w:r>
    </w:p>
  </w:footnote>
  <w:footnote w:id="1">
    <w:p w:rsidR="00747446" w:rsidRPr="00747446" w:rsidRDefault="00747446" w:rsidP="00747446">
      <w:pPr>
        <w:pStyle w:val="af2"/>
        <w:ind w:firstLine="0"/>
        <w:rPr>
          <w:rFonts w:ascii="Times New Roman" w:hAnsi="Times New Roman" w:cs="Times New Roman"/>
        </w:rPr>
      </w:pPr>
      <w:r w:rsidRPr="00747446">
        <w:rPr>
          <w:rStyle w:val="af4"/>
          <w:rFonts w:ascii="Times New Roman" w:hAnsi="Times New Roman" w:cs="Times New Roman"/>
        </w:rPr>
        <w:footnoteRef/>
      </w:r>
      <w:r w:rsidRPr="00747446">
        <w:rPr>
          <w:rFonts w:ascii="Times New Roman" w:hAnsi="Times New Roman" w:cs="Times New Roman"/>
        </w:rPr>
        <w:t xml:space="preserve"> Анализ </w:t>
      </w:r>
      <w:r>
        <w:rPr>
          <w:rFonts w:ascii="Times New Roman" w:hAnsi="Times New Roman" w:cs="Times New Roman"/>
        </w:rPr>
        <w:t>в рамках</w:t>
      </w:r>
      <w:r w:rsidRPr="00747446">
        <w:rPr>
          <w:rFonts w:ascii="Times New Roman" w:hAnsi="Times New Roman" w:cs="Times New Roman"/>
        </w:rPr>
        <w:t xml:space="preserve"> данного приложения проведен группой исследователей из Высшей школы экономики под руководством к.т.н., профессора Сиваева С.Б.</w:t>
      </w:r>
    </w:p>
  </w:footnote>
  <w:footnote w:id="2">
    <w:p w:rsidR="00D0767E" w:rsidRPr="00D0767E" w:rsidRDefault="00D0767E" w:rsidP="00D0767E">
      <w:pPr>
        <w:pStyle w:val="af2"/>
        <w:ind w:firstLine="0"/>
        <w:rPr>
          <w:rFonts w:ascii="Times New Roman" w:hAnsi="Times New Roman" w:cs="Times New Roman"/>
        </w:rPr>
      </w:pPr>
      <w:r w:rsidRPr="00D0767E">
        <w:rPr>
          <w:rStyle w:val="af4"/>
          <w:rFonts w:ascii="Times New Roman" w:hAnsi="Times New Roman" w:cs="Times New Roman"/>
        </w:rPr>
        <w:footnoteRef/>
      </w:r>
      <w:r w:rsidRPr="00D0767E">
        <w:rPr>
          <w:rFonts w:ascii="Times New Roman" w:hAnsi="Times New Roman" w:cs="Times New Roman"/>
        </w:rPr>
        <w:t xml:space="preserve"> Следует отметить, что этот эффект характерен не только для рассматриваемого случая, когда концессионером выступает собственник крупной генерации, но и для других концессий, где концессионером выступает крупная компания, имеющая подобные бизнесы в разных городах страны.</w:t>
      </w:r>
    </w:p>
  </w:footnote>
  <w:footnote w:id="3">
    <w:p w:rsidR="00D0767E" w:rsidRPr="00D0767E" w:rsidRDefault="00D0767E" w:rsidP="00747446">
      <w:pPr>
        <w:pStyle w:val="af2"/>
        <w:ind w:firstLine="0"/>
        <w:rPr>
          <w:rFonts w:ascii="Times New Roman" w:hAnsi="Times New Roman" w:cs="Times New Roman"/>
        </w:rPr>
      </w:pPr>
      <w:r w:rsidRPr="00D0767E">
        <w:rPr>
          <w:rStyle w:val="af4"/>
          <w:rFonts w:ascii="Times New Roman" w:hAnsi="Times New Roman" w:cs="Times New Roman"/>
        </w:rPr>
        <w:footnoteRef/>
      </w:r>
      <w:r w:rsidRPr="00D0767E">
        <w:rPr>
          <w:rFonts w:ascii="Times New Roman" w:hAnsi="Times New Roman" w:cs="Times New Roman"/>
        </w:rPr>
        <w:t xml:space="preserve"> Следует отметить противоречие в сущес</w:t>
      </w:r>
      <w:r w:rsidR="002C6916">
        <w:rPr>
          <w:rFonts w:ascii="Times New Roman" w:hAnsi="Times New Roman" w:cs="Times New Roman"/>
        </w:rPr>
        <w:t>твующих подходах к</w:t>
      </w:r>
      <w:r w:rsidRPr="00D0767E">
        <w:rPr>
          <w:rFonts w:ascii="Times New Roman" w:hAnsi="Times New Roman" w:cs="Times New Roman"/>
        </w:rPr>
        <w:t xml:space="preserve"> регулированию, которое может приводить к изъятию этих эффектов. В рамках концессионного законодательства за базу операционных расходов при принятии тарифных решений должны приниматься операционные издержки на началь</w:t>
      </w:r>
      <w:r w:rsidR="002C6916">
        <w:rPr>
          <w:rFonts w:ascii="Times New Roman" w:hAnsi="Times New Roman" w:cs="Times New Roman"/>
        </w:rPr>
        <w:t>ной стадии концессии</w:t>
      </w:r>
      <w:r w:rsidRPr="00D0767E">
        <w:rPr>
          <w:rFonts w:ascii="Times New Roman" w:hAnsi="Times New Roman" w:cs="Times New Roman"/>
        </w:rPr>
        <w:t>.</w:t>
      </w:r>
      <w:r w:rsidR="002C6916">
        <w:rPr>
          <w:rFonts w:ascii="Times New Roman" w:hAnsi="Times New Roman" w:cs="Times New Roman"/>
        </w:rPr>
        <w:t xml:space="preserve"> Но</w:t>
      </w:r>
      <w:r w:rsidRPr="00D0767E">
        <w:rPr>
          <w:rFonts w:ascii="Times New Roman" w:hAnsi="Times New Roman" w:cs="Times New Roman"/>
        </w:rPr>
        <w:t>, как правило, регулятор руководствуется правилами тарифного регулирования, когда каждый цикл тарифного регулирования начинается с обоснования операционных издержек. И в этом случае эффект сокращения операционных издержек просто изымается из выручки концессионера на следующий период регулирования, а, следовательно изымается и инвестиционный потенциал.</w:t>
      </w:r>
    </w:p>
  </w:footnote>
  <w:footnote w:id="4">
    <w:p w:rsidR="00742FFE" w:rsidRPr="00742FFE" w:rsidRDefault="00742FFE" w:rsidP="00747446">
      <w:pPr>
        <w:pStyle w:val="af2"/>
        <w:ind w:firstLine="0"/>
        <w:rPr>
          <w:rFonts w:ascii="Times New Roman" w:hAnsi="Times New Roman" w:cs="Times New Roman"/>
        </w:rPr>
      </w:pPr>
      <w:r w:rsidRPr="00742FFE">
        <w:rPr>
          <w:rStyle w:val="af4"/>
          <w:rFonts w:ascii="Times New Roman" w:hAnsi="Times New Roman" w:cs="Times New Roman"/>
        </w:rPr>
        <w:footnoteRef/>
      </w:r>
      <w:r w:rsidRPr="00742FFE">
        <w:rPr>
          <w:rFonts w:ascii="Times New Roman" w:hAnsi="Times New Roman" w:cs="Times New Roman"/>
        </w:rPr>
        <w:t xml:space="preserve"> https://base.garant.ru/12150918/</w:t>
      </w:r>
    </w:p>
  </w:footnote>
  <w:footnote w:id="5">
    <w:p w:rsidR="00742FFE" w:rsidRPr="00742FFE" w:rsidRDefault="00742FFE" w:rsidP="00747446">
      <w:pPr>
        <w:pStyle w:val="af2"/>
        <w:ind w:firstLine="0"/>
      </w:pPr>
      <w:r w:rsidRPr="00742FFE">
        <w:rPr>
          <w:rStyle w:val="af4"/>
          <w:rFonts w:ascii="Times New Roman" w:hAnsi="Times New Roman" w:cs="Times New Roman"/>
        </w:rPr>
        <w:footnoteRef/>
      </w:r>
      <w:r w:rsidRPr="00742FFE">
        <w:rPr>
          <w:rFonts w:ascii="Times New Roman" w:hAnsi="Times New Roman" w:cs="Times New Roman"/>
        </w:rPr>
        <w:t xml:space="preserve"> По данным ПАО «Т Плюс»</w:t>
      </w:r>
    </w:p>
  </w:footnote>
  <w:footnote w:id="6">
    <w:p w:rsidR="00742FFE" w:rsidRPr="00742FFE" w:rsidRDefault="00742FFE" w:rsidP="00742FFE">
      <w:pPr>
        <w:pStyle w:val="af2"/>
        <w:rPr>
          <w:rFonts w:ascii="Times New Roman" w:hAnsi="Times New Roman" w:cs="Times New Roman"/>
        </w:rPr>
      </w:pPr>
      <w:r w:rsidRPr="00742FFE">
        <w:rPr>
          <w:rStyle w:val="af4"/>
          <w:rFonts w:ascii="Times New Roman" w:hAnsi="Times New Roman" w:cs="Times New Roman"/>
        </w:rPr>
        <w:footnoteRef/>
      </w:r>
      <w:r w:rsidRPr="00742FFE">
        <w:rPr>
          <w:rFonts w:ascii="Times New Roman" w:hAnsi="Times New Roman" w:cs="Times New Roman"/>
        </w:rPr>
        <w:t xml:space="preserve"> https://фрт.рф/napravleniya/modernizatsiya-infrastruktury/</w:t>
      </w:r>
    </w:p>
  </w:footnote>
  <w:footnote w:id="7">
    <w:p w:rsidR="00415889" w:rsidRPr="00415889" w:rsidRDefault="00415889">
      <w:pPr>
        <w:pStyle w:val="af2"/>
      </w:pPr>
      <w:r>
        <w:rPr>
          <w:rStyle w:val="af4"/>
        </w:rPr>
        <w:footnoteRef/>
      </w:r>
      <w:r>
        <w:t xml:space="preserve"> </w:t>
      </w:r>
      <w:r w:rsidRPr="00EC7E31">
        <w:rPr>
          <w:rFonts w:ascii="Times New Roman" w:hAnsi="Times New Roman" w:cs="Times New Roman"/>
        </w:rPr>
        <w:t>В приведенной оценке принимается, что предшественник концессионера (как правило, МУП) вел хозяйственную деятельность по эксплуатации муниципальных систем теплоснабжения рационально. Поскольку это далеко не всегда так, то эффект от сокращения неэффективных операционных издержек может достигать до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110177"/>
      <w:docPartObj>
        <w:docPartGallery w:val="Page Numbers (Top of Page)"/>
        <w:docPartUnique/>
      </w:docPartObj>
    </w:sdtPr>
    <w:sdtEndPr>
      <w:rPr>
        <w:rFonts w:ascii="Times New Roman" w:hAnsi="Times New Roman" w:cs="Times New Roman"/>
      </w:rPr>
    </w:sdtEndPr>
    <w:sdtContent>
      <w:p w:rsidR="00383C9D" w:rsidRPr="00383C9D" w:rsidRDefault="00383C9D" w:rsidP="00383C9D">
        <w:pPr>
          <w:pStyle w:val="af8"/>
          <w:ind w:firstLine="0"/>
          <w:jc w:val="center"/>
          <w:rPr>
            <w:rFonts w:ascii="Times New Roman" w:hAnsi="Times New Roman" w:cs="Times New Roman"/>
          </w:rPr>
        </w:pPr>
        <w:r w:rsidRPr="00383C9D">
          <w:rPr>
            <w:rFonts w:ascii="Times New Roman" w:hAnsi="Times New Roman" w:cs="Times New Roman"/>
          </w:rPr>
          <w:fldChar w:fldCharType="begin"/>
        </w:r>
        <w:r w:rsidRPr="00383C9D">
          <w:rPr>
            <w:rFonts w:ascii="Times New Roman" w:hAnsi="Times New Roman" w:cs="Times New Roman"/>
          </w:rPr>
          <w:instrText>PAGE   \* MERGEFORMAT</w:instrText>
        </w:r>
        <w:r w:rsidRPr="00383C9D">
          <w:rPr>
            <w:rFonts w:ascii="Times New Roman" w:hAnsi="Times New Roman" w:cs="Times New Roman"/>
          </w:rPr>
          <w:fldChar w:fldCharType="separate"/>
        </w:r>
        <w:r w:rsidR="00D269A0">
          <w:rPr>
            <w:rFonts w:ascii="Times New Roman" w:hAnsi="Times New Roman" w:cs="Times New Roman"/>
            <w:noProof/>
          </w:rPr>
          <w:t>2</w:t>
        </w:r>
        <w:r w:rsidRPr="00383C9D">
          <w:rPr>
            <w:rFonts w:ascii="Times New Roman" w:hAnsi="Times New Roman" w:cs="Times New Roman"/>
          </w:rPr>
          <w:fldChar w:fldCharType="end"/>
        </w:r>
      </w:p>
    </w:sdtContent>
  </w:sdt>
  <w:p w:rsidR="00383C9D" w:rsidRDefault="00383C9D">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130"/>
    <w:multiLevelType w:val="hybridMultilevel"/>
    <w:tmpl w:val="E20C87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B91DCF"/>
    <w:multiLevelType w:val="hybridMultilevel"/>
    <w:tmpl w:val="8BA6E6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8C"/>
    <w:rsid w:val="00001C5F"/>
    <w:rsid w:val="00014102"/>
    <w:rsid w:val="00024EFA"/>
    <w:rsid w:val="00033D8E"/>
    <w:rsid w:val="00072546"/>
    <w:rsid w:val="000A3AB7"/>
    <w:rsid w:val="000C0C15"/>
    <w:rsid w:val="000C4FCE"/>
    <w:rsid w:val="000F26F0"/>
    <w:rsid w:val="000F6B56"/>
    <w:rsid w:val="00110A87"/>
    <w:rsid w:val="00131D0B"/>
    <w:rsid w:val="0013216B"/>
    <w:rsid w:val="00134481"/>
    <w:rsid w:val="001470E9"/>
    <w:rsid w:val="00174B3C"/>
    <w:rsid w:val="0018228A"/>
    <w:rsid w:val="00184914"/>
    <w:rsid w:val="00184927"/>
    <w:rsid w:val="00185564"/>
    <w:rsid w:val="001978E3"/>
    <w:rsid w:val="001A39D3"/>
    <w:rsid w:val="001B2FC5"/>
    <w:rsid w:val="001C093E"/>
    <w:rsid w:val="001C0A8E"/>
    <w:rsid w:val="001C248C"/>
    <w:rsid w:val="001E0BEA"/>
    <w:rsid w:val="00221203"/>
    <w:rsid w:val="00225910"/>
    <w:rsid w:val="00236DAD"/>
    <w:rsid w:val="00240EB1"/>
    <w:rsid w:val="0024108B"/>
    <w:rsid w:val="00251418"/>
    <w:rsid w:val="00252A14"/>
    <w:rsid w:val="00261200"/>
    <w:rsid w:val="002736E0"/>
    <w:rsid w:val="0027748E"/>
    <w:rsid w:val="002A5AFA"/>
    <w:rsid w:val="002C5F68"/>
    <w:rsid w:val="002C6916"/>
    <w:rsid w:val="002D5F79"/>
    <w:rsid w:val="002D7127"/>
    <w:rsid w:val="002E6FEB"/>
    <w:rsid w:val="002F2EE3"/>
    <w:rsid w:val="00320542"/>
    <w:rsid w:val="0032715B"/>
    <w:rsid w:val="00327A32"/>
    <w:rsid w:val="00343F45"/>
    <w:rsid w:val="00360BE9"/>
    <w:rsid w:val="00371C1E"/>
    <w:rsid w:val="00383C9D"/>
    <w:rsid w:val="00384961"/>
    <w:rsid w:val="003D61EE"/>
    <w:rsid w:val="003D68C3"/>
    <w:rsid w:val="003E24D9"/>
    <w:rsid w:val="003E3B7F"/>
    <w:rsid w:val="003F738A"/>
    <w:rsid w:val="00412893"/>
    <w:rsid w:val="00415889"/>
    <w:rsid w:val="0042302A"/>
    <w:rsid w:val="0043223B"/>
    <w:rsid w:val="00435046"/>
    <w:rsid w:val="004358DB"/>
    <w:rsid w:val="00452981"/>
    <w:rsid w:val="00453301"/>
    <w:rsid w:val="004626FA"/>
    <w:rsid w:val="00462CFF"/>
    <w:rsid w:val="004950CE"/>
    <w:rsid w:val="00497829"/>
    <w:rsid w:val="004C4782"/>
    <w:rsid w:val="004D19BA"/>
    <w:rsid w:val="004E59AE"/>
    <w:rsid w:val="004F136A"/>
    <w:rsid w:val="004F3A29"/>
    <w:rsid w:val="00511F51"/>
    <w:rsid w:val="0051477A"/>
    <w:rsid w:val="00516117"/>
    <w:rsid w:val="0055501B"/>
    <w:rsid w:val="00556B53"/>
    <w:rsid w:val="005671E2"/>
    <w:rsid w:val="00571316"/>
    <w:rsid w:val="005757EC"/>
    <w:rsid w:val="00580E16"/>
    <w:rsid w:val="0059015F"/>
    <w:rsid w:val="005A6A2D"/>
    <w:rsid w:val="005C4ED0"/>
    <w:rsid w:val="005D05BE"/>
    <w:rsid w:val="005D09B8"/>
    <w:rsid w:val="005D1D85"/>
    <w:rsid w:val="005D585C"/>
    <w:rsid w:val="006177DC"/>
    <w:rsid w:val="00617B7A"/>
    <w:rsid w:val="00625E0C"/>
    <w:rsid w:val="00642D11"/>
    <w:rsid w:val="00647BFB"/>
    <w:rsid w:val="00653480"/>
    <w:rsid w:val="00653634"/>
    <w:rsid w:val="00694491"/>
    <w:rsid w:val="0069588E"/>
    <w:rsid w:val="006A2DE6"/>
    <w:rsid w:val="006A3AC7"/>
    <w:rsid w:val="006B02AF"/>
    <w:rsid w:val="006B4442"/>
    <w:rsid w:val="006B69E8"/>
    <w:rsid w:val="006E3EDE"/>
    <w:rsid w:val="007011D0"/>
    <w:rsid w:val="00702053"/>
    <w:rsid w:val="00702377"/>
    <w:rsid w:val="00717C4B"/>
    <w:rsid w:val="00723313"/>
    <w:rsid w:val="00727959"/>
    <w:rsid w:val="007319A7"/>
    <w:rsid w:val="00731D6F"/>
    <w:rsid w:val="00737BE5"/>
    <w:rsid w:val="00742FFE"/>
    <w:rsid w:val="00747446"/>
    <w:rsid w:val="0075408D"/>
    <w:rsid w:val="0075535B"/>
    <w:rsid w:val="00760600"/>
    <w:rsid w:val="00761FE6"/>
    <w:rsid w:val="00764A80"/>
    <w:rsid w:val="00767169"/>
    <w:rsid w:val="007729A6"/>
    <w:rsid w:val="00785A7D"/>
    <w:rsid w:val="007879A4"/>
    <w:rsid w:val="00794576"/>
    <w:rsid w:val="007A041D"/>
    <w:rsid w:val="007B2690"/>
    <w:rsid w:val="007C5D3B"/>
    <w:rsid w:val="007D5B26"/>
    <w:rsid w:val="007D7B5F"/>
    <w:rsid w:val="007E0004"/>
    <w:rsid w:val="008020AE"/>
    <w:rsid w:val="00802892"/>
    <w:rsid w:val="008044EE"/>
    <w:rsid w:val="008165B5"/>
    <w:rsid w:val="0082130B"/>
    <w:rsid w:val="008215DD"/>
    <w:rsid w:val="00822ED6"/>
    <w:rsid w:val="00824AA8"/>
    <w:rsid w:val="00834294"/>
    <w:rsid w:val="00837D66"/>
    <w:rsid w:val="0084688F"/>
    <w:rsid w:val="00857743"/>
    <w:rsid w:val="00895458"/>
    <w:rsid w:val="00896661"/>
    <w:rsid w:val="00897F25"/>
    <w:rsid w:val="008A509F"/>
    <w:rsid w:val="008A7E3C"/>
    <w:rsid w:val="008B4B7F"/>
    <w:rsid w:val="008C636A"/>
    <w:rsid w:val="008E4093"/>
    <w:rsid w:val="008F1BB7"/>
    <w:rsid w:val="008F496E"/>
    <w:rsid w:val="00904576"/>
    <w:rsid w:val="009276E8"/>
    <w:rsid w:val="009562BE"/>
    <w:rsid w:val="00957FA6"/>
    <w:rsid w:val="00967F3C"/>
    <w:rsid w:val="009707DC"/>
    <w:rsid w:val="00986ED9"/>
    <w:rsid w:val="009974AB"/>
    <w:rsid w:val="009A13FD"/>
    <w:rsid w:val="009A1409"/>
    <w:rsid w:val="009A2D26"/>
    <w:rsid w:val="009D3E98"/>
    <w:rsid w:val="00A13662"/>
    <w:rsid w:val="00A13F1A"/>
    <w:rsid w:val="00A15590"/>
    <w:rsid w:val="00A15CB5"/>
    <w:rsid w:val="00A22383"/>
    <w:rsid w:val="00A26DFF"/>
    <w:rsid w:val="00A405BE"/>
    <w:rsid w:val="00A452D3"/>
    <w:rsid w:val="00A462FD"/>
    <w:rsid w:val="00A825F9"/>
    <w:rsid w:val="00AA1A8D"/>
    <w:rsid w:val="00AA2A0F"/>
    <w:rsid w:val="00AB607F"/>
    <w:rsid w:val="00AC347A"/>
    <w:rsid w:val="00AD5F27"/>
    <w:rsid w:val="00AD7169"/>
    <w:rsid w:val="00AE61F5"/>
    <w:rsid w:val="00AF70AA"/>
    <w:rsid w:val="00AF7464"/>
    <w:rsid w:val="00B174B7"/>
    <w:rsid w:val="00B245BF"/>
    <w:rsid w:val="00B405F1"/>
    <w:rsid w:val="00B46710"/>
    <w:rsid w:val="00B518DC"/>
    <w:rsid w:val="00B51D92"/>
    <w:rsid w:val="00B61ED1"/>
    <w:rsid w:val="00B670AE"/>
    <w:rsid w:val="00B7052B"/>
    <w:rsid w:val="00B73A06"/>
    <w:rsid w:val="00B90CF0"/>
    <w:rsid w:val="00B923E6"/>
    <w:rsid w:val="00B96A42"/>
    <w:rsid w:val="00BA15B1"/>
    <w:rsid w:val="00BA1F14"/>
    <w:rsid w:val="00BB43A5"/>
    <w:rsid w:val="00BB539C"/>
    <w:rsid w:val="00BC1A9D"/>
    <w:rsid w:val="00BE232B"/>
    <w:rsid w:val="00BF320D"/>
    <w:rsid w:val="00C14DD4"/>
    <w:rsid w:val="00C17698"/>
    <w:rsid w:val="00C17E6D"/>
    <w:rsid w:val="00C23120"/>
    <w:rsid w:val="00C263A2"/>
    <w:rsid w:val="00C26A37"/>
    <w:rsid w:val="00C378F7"/>
    <w:rsid w:val="00C45BB3"/>
    <w:rsid w:val="00C536B3"/>
    <w:rsid w:val="00C556B8"/>
    <w:rsid w:val="00C56840"/>
    <w:rsid w:val="00C6018C"/>
    <w:rsid w:val="00C648BD"/>
    <w:rsid w:val="00C6671B"/>
    <w:rsid w:val="00C80A0E"/>
    <w:rsid w:val="00CB7659"/>
    <w:rsid w:val="00CC55E7"/>
    <w:rsid w:val="00CE6BC4"/>
    <w:rsid w:val="00CF6869"/>
    <w:rsid w:val="00D0767E"/>
    <w:rsid w:val="00D269A0"/>
    <w:rsid w:val="00D279A6"/>
    <w:rsid w:val="00D62707"/>
    <w:rsid w:val="00D63372"/>
    <w:rsid w:val="00D906AB"/>
    <w:rsid w:val="00DE1B9F"/>
    <w:rsid w:val="00E11269"/>
    <w:rsid w:val="00E22968"/>
    <w:rsid w:val="00E2423D"/>
    <w:rsid w:val="00E33C42"/>
    <w:rsid w:val="00E362AE"/>
    <w:rsid w:val="00E41077"/>
    <w:rsid w:val="00E45518"/>
    <w:rsid w:val="00E52E2B"/>
    <w:rsid w:val="00E5406D"/>
    <w:rsid w:val="00E55EAD"/>
    <w:rsid w:val="00E72843"/>
    <w:rsid w:val="00E7491D"/>
    <w:rsid w:val="00E7536B"/>
    <w:rsid w:val="00E83889"/>
    <w:rsid w:val="00E84874"/>
    <w:rsid w:val="00E90AB5"/>
    <w:rsid w:val="00E936C6"/>
    <w:rsid w:val="00EB2622"/>
    <w:rsid w:val="00EB6F66"/>
    <w:rsid w:val="00EB7C02"/>
    <w:rsid w:val="00EC7E31"/>
    <w:rsid w:val="00ED26C9"/>
    <w:rsid w:val="00ED7284"/>
    <w:rsid w:val="00EE05C8"/>
    <w:rsid w:val="00EE6E5A"/>
    <w:rsid w:val="00EF09BB"/>
    <w:rsid w:val="00F01449"/>
    <w:rsid w:val="00F1623A"/>
    <w:rsid w:val="00F359FD"/>
    <w:rsid w:val="00F72435"/>
    <w:rsid w:val="00F946AB"/>
    <w:rsid w:val="00FB0E50"/>
    <w:rsid w:val="00FC3F8C"/>
    <w:rsid w:val="00FF6B63"/>
    <w:rsid w:val="00FF7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BCBC5-22E1-4EE1-8EC5-CAC09AEF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C42"/>
    <w:pPr>
      <w:spacing w:after="0" w:line="360" w:lineRule="auto"/>
      <w:ind w:firstLine="709"/>
      <w:jc w:val="both"/>
    </w:pPr>
    <w:rPr>
      <w:color w:val="000000" w:themeColor="text1"/>
    </w:rPr>
  </w:style>
  <w:style w:type="paragraph" w:styleId="1">
    <w:name w:val="heading 1"/>
    <w:basedOn w:val="a"/>
    <w:next w:val="a"/>
    <w:link w:val="10"/>
    <w:uiPriority w:val="9"/>
    <w:qFormat/>
    <w:rsid w:val="00C6018C"/>
    <w:pPr>
      <w:keepNext/>
      <w:keepLines/>
      <w:ind w:firstLine="0"/>
      <w:outlineLvl w:val="0"/>
    </w:pPr>
    <w:rPr>
      <w:rFonts w:asciiTheme="majorHAnsi" w:eastAsiaTheme="majorEastAsia" w:hAnsiTheme="majorHAnsi" w:cstheme="majorBidi"/>
      <w:b/>
      <w:szCs w:val="40"/>
    </w:rPr>
  </w:style>
  <w:style w:type="paragraph" w:styleId="2">
    <w:name w:val="heading 2"/>
    <w:basedOn w:val="a"/>
    <w:next w:val="a"/>
    <w:link w:val="20"/>
    <w:uiPriority w:val="9"/>
    <w:semiHidden/>
    <w:unhideWhenUsed/>
    <w:qFormat/>
    <w:rsid w:val="001C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24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24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24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248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248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248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248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18C"/>
    <w:rPr>
      <w:rFonts w:asciiTheme="majorHAnsi" w:eastAsiaTheme="majorEastAsia" w:hAnsiTheme="majorHAnsi" w:cstheme="majorBidi"/>
      <w:b/>
      <w:color w:val="000000" w:themeColor="text1"/>
      <w:szCs w:val="40"/>
    </w:rPr>
  </w:style>
  <w:style w:type="character" w:customStyle="1" w:styleId="20">
    <w:name w:val="Заголовок 2 Знак"/>
    <w:basedOn w:val="a0"/>
    <w:link w:val="2"/>
    <w:uiPriority w:val="9"/>
    <w:semiHidden/>
    <w:rsid w:val="001C24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24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24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24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24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248C"/>
    <w:rPr>
      <w:rFonts w:eastAsiaTheme="majorEastAsia" w:cstheme="majorBidi"/>
      <w:color w:val="595959" w:themeColor="text1" w:themeTint="A6"/>
    </w:rPr>
  </w:style>
  <w:style w:type="character" w:customStyle="1" w:styleId="80">
    <w:name w:val="Заголовок 8 Знак"/>
    <w:basedOn w:val="a0"/>
    <w:link w:val="8"/>
    <w:uiPriority w:val="9"/>
    <w:semiHidden/>
    <w:rsid w:val="001C24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248C"/>
    <w:rPr>
      <w:rFonts w:eastAsiaTheme="majorEastAsia" w:cstheme="majorBidi"/>
      <w:color w:val="272727" w:themeColor="text1" w:themeTint="D8"/>
    </w:rPr>
  </w:style>
  <w:style w:type="paragraph" w:styleId="a3">
    <w:name w:val="Title"/>
    <w:basedOn w:val="a"/>
    <w:next w:val="a"/>
    <w:link w:val="a4"/>
    <w:uiPriority w:val="10"/>
    <w:qFormat/>
    <w:rsid w:val="001C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48C"/>
    <w:pPr>
      <w:numPr>
        <w:ilvl w:val="1"/>
      </w:numPr>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24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248C"/>
    <w:pPr>
      <w:spacing w:before="160"/>
      <w:jc w:val="center"/>
    </w:pPr>
    <w:rPr>
      <w:i/>
      <w:iCs/>
      <w:color w:val="404040" w:themeColor="text1" w:themeTint="BF"/>
    </w:rPr>
  </w:style>
  <w:style w:type="character" w:customStyle="1" w:styleId="22">
    <w:name w:val="Цитата 2 Знак"/>
    <w:basedOn w:val="a0"/>
    <w:link w:val="21"/>
    <w:uiPriority w:val="29"/>
    <w:rsid w:val="001C248C"/>
    <w:rPr>
      <w:i/>
      <w:iCs/>
      <w:color w:val="404040" w:themeColor="text1" w:themeTint="BF"/>
    </w:rPr>
  </w:style>
  <w:style w:type="paragraph" w:styleId="a7">
    <w:name w:val="List Paragraph"/>
    <w:basedOn w:val="a"/>
    <w:uiPriority w:val="34"/>
    <w:qFormat/>
    <w:rsid w:val="001C248C"/>
    <w:pPr>
      <w:ind w:left="720"/>
      <w:contextualSpacing/>
    </w:pPr>
  </w:style>
  <w:style w:type="character" w:styleId="a8">
    <w:name w:val="Intense Emphasis"/>
    <w:basedOn w:val="a0"/>
    <w:uiPriority w:val="21"/>
    <w:qFormat/>
    <w:rsid w:val="001C248C"/>
    <w:rPr>
      <w:i/>
      <w:iCs/>
      <w:color w:val="0F4761" w:themeColor="accent1" w:themeShade="BF"/>
    </w:rPr>
  </w:style>
  <w:style w:type="paragraph" w:styleId="a9">
    <w:name w:val="Intense Quote"/>
    <w:basedOn w:val="a"/>
    <w:next w:val="a"/>
    <w:link w:val="aa"/>
    <w:uiPriority w:val="30"/>
    <w:qFormat/>
    <w:rsid w:val="001C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C248C"/>
    <w:rPr>
      <w:i/>
      <w:iCs/>
      <w:color w:val="0F4761" w:themeColor="accent1" w:themeShade="BF"/>
    </w:rPr>
  </w:style>
  <w:style w:type="character" w:styleId="ab">
    <w:name w:val="Intense Reference"/>
    <w:basedOn w:val="a0"/>
    <w:uiPriority w:val="32"/>
    <w:qFormat/>
    <w:rsid w:val="001C248C"/>
    <w:rPr>
      <w:b/>
      <w:bCs/>
      <w:smallCaps/>
      <w:color w:val="0F4761" w:themeColor="accent1" w:themeShade="BF"/>
      <w:spacing w:val="5"/>
    </w:rPr>
  </w:style>
  <w:style w:type="character" w:styleId="ac">
    <w:name w:val="annotation reference"/>
    <w:basedOn w:val="a0"/>
    <w:uiPriority w:val="99"/>
    <w:semiHidden/>
    <w:unhideWhenUsed/>
    <w:rsid w:val="009D3E98"/>
    <w:rPr>
      <w:sz w:val="16"/>
      <w:szCs w:val="16"/>
    </w:rPr>
  </w:style>
  <w:style w:type="paragraph" w:styleId="ad">
    <w:name w:val="annotation text"/>
    <w:basedOn w:val="a"/>
    <w:link w:val="ae"/>
    <w:uiPriority w:val="99"/>
    <w:semiHidden/>
    <w:unhideWhenUsed/>
    <w:rsid w:val="009D3E98"/>
    <w:pPr>
      <w:spacing w:line="240" w:lineRule="auto"/>
    </w:pPr>
    <w:rPr>
      <w:sz w:val="20"/>
      <w:szCs w:val="20"/>
    </w:rPr>
  </w:style>
  <w:style w:type="character" w:customStyle="1" w:styleId="ae">
    <w:name w:val="Текст примечания Знак"/>
    <w:basedOn w:val="a0"/>
    <w:link w:val="ad"/>
    <w:uiPriority w:val="99"/>
    <w:semiHidden/>
    <w:rsid w:val="009D3E98"/>
    <w:rPr>
      <w:color w:val="000000" w:themeColor="text1"/>
      <w:sz w:val="20"/>
      <w:szCs w:val="20"/>
    </w:rPr>
  </w:style>
  <w:style w:type="paragraph" w:styleId="af">
    <w:name w:val="annotation subject"/>
    <w:basedOn w:val="ad"/>
    <w:next w:val="ad"/>
    <w:link w:val="af0"/>
    <w:uiPriority w:val="99"/>
    <w:semiHidden/>
    <w:unhideWhenUsed/>
    <w:rsid w:val="009D3E98"/>
    <w:rPr>
      <w:b/>
      <w:bCs/>
    </w:rPr>
  </w:style>
  <w:style w:type="character" w:customStyle="1" w:styleId="af0">
    <w:name w:val="Тема примечания Знак"/>
    <w:basedOn w:val="ae"/>
    <w:link w:val="af"/>
    <w:uiPriority w:val="99"/>
    <w:semiHidden/>
    <w:rsid w:val="009D3E98"/>
    <w:rPr>
      <w:b/>
      <w:bCs/>
      <w:color w:val="000000" w:themeColor="text1"/>
      <w:sz w:val="20"/>
      <w:szCs w:val="20"/>
    </w:rPr>
  </w:style>
  <w:style w:type="table" w:styleId="af1">
    <w:name w:val="Table Grid"/>
    <w:basedOn w:val="a1"/>
    <w:uiPriority w:val="39"/>
    <w:rsid w:val="00C568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C556B8"/>
    <w:pPr>
      <w:spacing w:line="240" w:lineRule="auto"/>
    </w:pPr>
    <w:rPr>
      <w:sz w:val="20"/>
      <w:szCs w:val="20"/>
    </w:rPr>
  </w:style>
  <w:style w:type="character" w:customStyle="1" w:styleId="af3">
    <w:name w:val="Текст сноски Знак"/>
    <w:basedOn w:val="a0"/>
    <w:link w:val="af2"/>
    <w:uiPriority w:val="99"/>
    <w:semiHidden/>
    <w:rsid w:val="00C556B8"/>
    <w:rPr>
      <w:color w:val="000000" w:themeColor="text1"/>
      <w:sz w:val="20"/>
      <w:szCs w:val="20"/>
    </w:rPr>
  </w:style>
  <w:style w:type="character" w:styleId="af4">
    <w:name w:val="footnote reference"/>
    <w:basedOn w:val="a0"/>
    <w:uiPriority w:val="99"/>
    <w:semiHidden/>
    <w:unhideWhenUsed/>
    <w:rsid w:val="00C556B8"/>
    <w:rPr>
      <w:vertAlign w:val="superscript"/>
    </w:rPr>
  </w:style>
  <w:style w:type="paragraph" w:styleId="af5">
    <w:name w:val="Balloon Text"/>
    <w:basedOn w:val="a"/>
    <w:link w:val="af6"/>
    <w:uiPriority w:val="99"/>
    <w:semiHidden/>
    <w:unhideWhenUsed/>
    <w:rsid w:val="0051477A"/>
    <w:pPr>
      <w:spacing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1477A"/>
    <w:rPr>
      <w:rFonts w:ascii="Segoe UI" w:hAnsi="Segoe UI" w:cs="Segoe UI"/>
      <w:color w:val="000000" w:themeColor="text1"/>
      <w:sz w:val="18"/>
      <w:szCs w:val="18"/>
    </w:rPr>
  </w:style>
  <w:style w:type="paragraph" w:styleId="af7">
    <w:name w:val="Revision"/>
    <w:hidden/>
    <w:uiPriority w:val="99"/>
    <w:semiHidden/>
    <w:rsid w:val="009A13FD"/>
    <w:pPr>
      <w:spacing w:after="0" w:line="240" w:lineRule="auto"/>
    </w:pPr>
    <w:rPr>
      <w:color w:val="000000" w:themeColor="text1"/>
    </w:rPr>
  </w:style>
  <w:style w:type="paragraph" w:styleId="af8">
    <w:name w:val="header"/>
    <w:basedOn w:val="a"/>
    <w:link w:val="af9"/>
    <w:uiPriority w:val="99"/>
    <w:unhideWhenUsed/>
    <w:rsid w:val="005D09B8"/>
    <w:pPr>
      <w:tabs>
        <w:tab w:val="center" w:pos="4677"/>
        <w:tab w:val="right" w:pos="9355"/>
      </w:tabs>
      <w:spacing w:line="240" w:lineRule="auto"/>
    </w:pPr>
  </w:style>
  <w:style w:type="character" w:customStyle="1" w:styleId="af9">
    <w:name w:val="Верхний колонтитул Знак"/>
    <w:basedOn w:val="a0"/>
    <w:link w:val="af8"/>
    <w:uiPriority w:val="99"/>
    <w:rsid w:val="005D09B8"/>
    <w:rPr>
      <w:color w:val="000000" w:themeColor="text1"/>
    </w:rPr>
  </w:style>
  <w:style w:type="paragraph" w:styleId="afa">
    <w:name w:val="footer"/>
    <w:basedOn w:val="a"/>
    <w:link w:val="afb"/>
    <w:uiPriority w:val="99"/>
    <w:unhideWhenUsed/>
    <w:rsid w:val="005D09B8"/>
    <w:pPr>
      <w:tabs>
        <w:tab w:val="center" w:pos="4677"/>
        <w:tab w:val="right" w:pos="9355"/>
      </w:tabs>
      <w:spacing w:line="240" w:lineRule="auto"/>
    </w:pPr>
  </w:style>
  <w:style w:type="character" w:customStyle="1" w:styleId="afb">
    <w:name w:val="Нижний колонтитул Знак"/>
    <w:basedOn w:val="a0"/>
    <w:link w:val="afa"/>
    <w:uiPriority w:val="99"/>
    <w:rsid w:val="005D09B8"/>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826421">
      <w:bodyDiv w:val="1"/>
      <w:marLeft w:val="0"/>
      <w:marRight w:val="0"/>
      <w:marTop w:val="0"/>
      <w:marBottom w:val="0"/>
      <w:divBdr>
        <w:top w:val="none" w:sz="0" w:space="0" w:color="auto"/>
        <w:left w:val="none" w:sz="0" w:space="0" w:color="auto"/>
        <w:bottom w:val="none" w:sz="0" w:space="0" w:color="auto"/>
        <w:right w:val="none" w:sz="0" w:space="0" w:color="auto"/>
      </w:divBdr>
    </w:div>
    <w:div w:id="1039820816">
      <w:bodyDiv w:val="1"/>
      <w:marLeft w:val="0"/>
      <w:marRight w:val="0"/>
      <w:marTop w:val="0"/>
      <w:marBottom w:val="0"/>
      <w:divBdr>
        <w:top w:val="none" w:sz="0" w:space="0" w:color="auto"/>
        <w:left w:val="none" w:sz="0" w:space="0" w:color="auto"/>
        <w:bottom w:val="none" w:sz="0" w:space="0" w:color="auto"/>
        <w:right w:val="none" w:sz="0" w:space="0" w:color="auto"/>
      </w:divBdr>
    </w:div>
    <w:div w:id="15697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file:///\\Users\aleksandrabd\Desktop\HSE\&#1050;&#1086;&#1085;&#1094;&#1077;&#1089;&#1089;&#1080;&#1080;_&#1090;&#1077;&#1087;&#1083;&#1086;\&#1058;+\2024-10-14%20&#1050;&#1057;%20&#1058;&#1055;&#1083;&#1102;&#1089;%20&#1090;&#1072;&#1073;&#1083;&#1080;&#1094;&#107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Users\aleksandrabd\Desktop\HSE\&#1050;&#1086;&#1085;&#1094;&#1077;&#1089;&#1089;&#1080;&#1080;_&#1090;&#1077;&#1087;&#1083;&#1086;\&#1058;+\2024-10-14%20&#1050;&#1057;%20&#1058;&#1055;&#1083;&#1102;&#1089;%20&#1090;&#1072;&#1073;&#1083;&#1080;&#1094;&#107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Users\aleksandrabd\Desktop\HSE\&#1050;&#1086;&#1085;&#1094;&#1077;&#1089;&#1089;&#1080;&#1080;_&#1090;&#1077;&#1087;&#1083;&#1086;\&#1058;+\2024-10-14%20&#1050;&#1057;%20&#1058;&#1055;&#1083;&#1102;&#1089;%20&#1090;&#1072;&#1073;&#1083;&#1080;&#1094;&#107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Users\aleksandrabd\Desktop\HSE\&#1050;&#1086;&#1085;&#1094;&#1077;&#1089;&#1089;&#1080;&#1080;_&#1090;&#1077;&#1087;&#1083;&#1086;\&#1058;+\&#1050;&#1086;&#1085;&#1094;&#1077;&#1089;&#1089;&#1080;&#1080;_5_&#1048;&#1090;&#1086;&#1075;.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Users\aleksandrabd\Desktop\HSE\&#1050;&#1086;&#1085;&#1094;&#1077;&#1089;&#1089;&#1080;&#1080;_&#1090;&#1077;&#1087;&#1083;&#1086;\&#1058;+\2024-10-14%20&#1050;&#1057;%20&#1058;&#1055;&#1083;&#1102;&#1089;%20&#1090;&#1072;&#1073;&#1083;&#1080;&#1094;&#107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Users\aleksandrabd\Desktop\HSE\&#1050;&#1086;&#1085;&#1094;&#1077;&#1089;&#1089;&#1080;&#1080;_&#1090;&#1077;&#1087;&#1083;&#1086;\&#1058;+\&#1050;&#1086;&#1085;&#1094;&#1077;&#1089;&#1089;&#1080;&#1080;_5_&#1048;&#1090;&#1086;&#1075;.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Users\aleksandrabd\Desktop\HSE\&#1050;&#1086;&#1085;&#1094;&#1077;&#1089;&#1089;&#1080;&#1080;_&#1090;&#1077;&#1087;&#1083;&#1086;\&#1058;+\&#1050;&#1086;&#1085;&#1094;&#1077;&#1089;&#1089;&#1080;&#1080;_5_&#1048;&#1090;&#1086;&#1075;.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1" Type="http://schemas.openxmlformats.org/officeDocument/2006/relationships/oleObject" Target="file:///\\Users\aleksandrabd\Desktop\HSE\&#1050;&#1086;&#1085;&#1094;&#1077;&#1089;&#1089;&#1080;&#1080;_&#1090;&#1077;&#1087;&#1083;&#1086;\&#1058;+\&#1050;&#1086;&#1085;&#1094;&#1077;&#1089;&#1089;&#1080;&#1080;_5_&#1048;&#1090;&#1086;&#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7.6306753147653561E-2"/>
          <c:w val="0.95469988674971684"/>
          <c:h val="0.7483403281190385"/>
        </c:manualLayout>
      </c:layout>
      <c:barChart>
        <c:barDir val="col"/>
        <c:grouping val="clustered"/>
        <c:varyColors val="0"/>
        <c:ser>
          <c:idx val="0"/>
          <c:order val="0"/>
          <c:tx>
            <c:strRef>
              <c:f>График_1!$G$3</c:f>
              <c:strCache>
                <c:ptCount val="1"/>
                <c:pt idx="0">
                  <c:v>Количество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График_1!$F$4:$F$16</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График_1!$G$4:$G$16</c:f>
              <c:numCache>
                <c:formatCode>General</c:formatCode>
                <c:ptCount val="13"/>
                <c:pt idx="0">
                  <c:v>1</c:v>
                </c:pt>
                <c:pt idx="1">
                  <c:v>1</c:v>
                </c:pt>
                <c:pt idx="2">
                  <c:v>0</c:v>
                </c:pt>
                <c:pt idx="3">
                  <c:v>0</c:v>
                </c:pt>
                <c:pt idx="4">
                  <c:v>3</c:v>
                </c:pt>
                <c:pt idx="5">
                  <c:v>2</c:v>
                </c:pt>
                <c:pt idx="6">
                  <c:v>0</c:v>
                </c:pt>
                <c:pt idx="7">
                  <c:v>5</c:v>
                </c:pt>
                <c:pt idx="8">
                  <c:v>1</c:v>
                </c:pt>
                <c:pt idx="9">
                  <c:v>6</c:v>
                </c:pt>
                <c:pt idx="10">
                  <c:v>4</c:v>
                </c:pt>
                <c:pt idx="11">
                  <c:v>3</c:v>
                </c:pt>
                <c:pt idx="12">
                  <c:v>2</c:v>
                </c:pt>
              </c:numCache>
            </c:numRef>
          </c:val>
          <c:extLst>
            <c:ext xmlns:c16="http://schemas.microsoft.com/office/drawing/2014/chart" uri="{C3380CC4-5D6E-409C-BE32-E72D297353CC}">
              <c16:uniqueId val="{00000000-5728-4145-8455-57773DD97899}"/>
            </c:ext>
          </c:extLst>
        </c:ser>
        <c:dLbls>
          <c:showLegendKey val="0"/>
          <c:showVal val="0"/>
          <c:showCatName val="0"/>
          <c:showSerName val="0"/>
          <c:showPercent val="0"/>
          <c:showBubbleSize val="0"/>
        </c:dLbls>
        <c:gapWidth val="219"/>
        <c:overlap val="-27"/>
        <c:axId val="164690944"/>
        <c:axId val="165164096"/>
      </c:barChart>
      <c:catAx>
        <c:axId val="16469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crossAx val="165164096"/>
        <c:crosses val="autoZero"/>
        <c:auto val="1"/>
        <c:lblAlgn val="ctr"/>
        <c:lblOffset val="100"/>
        <c:noMultiLvlLbl val="0"/>
      </c:catAx>
      <c:valAx>
        <c:axId val="165164096"/>
        <c:scaling>
          <c:orientation val="minMax"/>
        </c:scaling>
        <c:delete val="1"/>
        <c:axPos val="l"/>
        <c:numFmt formatCode="General" sourceLinked="1"/>
        <c:majorTickMark val="none"/>
        <c:minorTickMark val="none"/>
        <c:tickLblPos val="nextTo"/>
        <c:crossAx val="164690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71194225721786"/>
          <c:y val="4.5744491377282107E-2"/>
          <c:w val="0.46019138232720908"/>
          <c:h val="0.92526611358723976"/>
        </c:manualLayout>
      </c:layout>
      <c:doughnutChart>
        <c:varyColors val="1"/>
        <c:ser>
          <c:idx val="0"/>
          <c:order val="0"/>
          <c:dPt>
            <c:idx val="0"/>
            <c:bubble3D val="0"/>
            <c:spPr>
              <a:solidFill>
                <a:schemeClr val="accent2">
                  <a:tint val="54000"/>
                </a:schemeClr>
              </a:solidFill>
              <a:ln w="19050">
                <a:solidFill>
                  <a:schemeClr val="lt1"/>
                </a:solidFill>
              </a:ln>
              <a:effectLst/>
            </c:spPr>
            <c:extLst>
              <c:ext xmlns:c16="http://schemas.microsoft.com/office/drawing/2014/chart" uri="{C3380CC4-5D6E-409C-BE32-E72D297353CC}">
                <c16:uniqueId val="{00000001-CE7D-44C8-96C4-BB1AABD894B8}"/>
              </c:ext>
            </c:extLst>
          </c:dPt>
          <c:dPt>
            <c:idx val="1"/>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3-CE7D-44C8-96C4-BB1AABD894B8}"/>
              </c:ext>
            </c:extLst>
          </c:dPt>
          <c:dPt>
            <c:idx val="2"/>
            <c:bubble3D val="0"/>
            <c:spPr>
              <a:solidFill>
                <a:schemeClr val="accent2"/>
              </a:solidFill>
              <a:ln w="19050">
                <a:solidFill>
                  <a:schemeClr val="lt1"/>
                </a:solidFill>
              </a:ln>
              <a:effectLst/>
            </c:spPr>
            <c:extLst>
              <c:ext xmlns:c16="http://schemas.microsoft.com/office/drawing/2014/chart" uri="{C3380CC4-5D6E-409C-BE32-E72D297353CC}">
                <c16:uniqueId val="{00000005-CE7D-44C8-96C4-BB1AABD894B8}"/>
              </c:ext>
            </c:extLst>
          </c:dPt>
          <c:dPt>
            <c:idx val="3"/>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7-CE7D-44C8-96C4-BB1AABD894B8}"/>
              </c:ext>
            </c:extLst>
          </c:dPt>
          <c:dPt>
            <c:idx val="4"/>
            <c:bubble3D val="0"/>
            <c:spPr>
              <a:solidFill>
                <a:schemeClr val="accent2">
                  <a:shade val="53000"/>
                </a:schemeClr>
              </a:solidFill>
              <a:ln w="19050">
                <a:solidFill>
                  <a:schemeClr val="lt1"/>
                </a:solidFill>
              </a:ln>
              <a:effectLst/>
            </c:spPr>
            <c:extLst>
              <c:ext xmlns:c16="http://schemas.microsoft.com/office/drawing/2014/chart" uri="{C3380CC4-5D6E-409C-BE32-E72D297353CC}">
                <c16:uniqueId val="{00000009-CE7D-44C8-96C4-BB1AABD894B8}"/>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itchFamily="34" charset="0"/>
                    <a:ea typeface="+mn-ea"/>
                    <a:cs typeface="Arial" pitchFamily="34"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График_1!$I$5:$I$9</c:f>
              <c:strCache>
                <c:ptCount val="5"/>
                <c:pt idx="0">
                  <c:v>от 10 до 14 лет</c:v>
                </c:pt>
                <c:pt idx="1">
                  <c:v>от 15 до 19 лет</c:v>
                </c:pt>
                <c:pt idx="2">
                  <c:v>от 20 до 24 лет</c:v>
                </c:pt>
                <c:pt idx="3">
                  <c:v>от 25 до 29 лет</c:v>
                </c:pt>
                <c:pt idx="4">
                  <c:v>30 лет и более</c:v>
                </c:pt>
              </c:strCache>
            </c:strRef>
          </c:cat>
          <c:val>
            <c:numRef>
              <c:f>График_1!$J$5:$J$9</c:f>
              <c:numCache>
                <c:formatCode>0%</c:formatCode>
                <c:ptCount val="5"/>
                <c:pt idx="0">
                  <c:v>0.17857142857142858</c:v>
                </c:pt>
                <c:pt idx="1">
                  <c:v>0.2857142857142857</c:v>
                </c:pt>
                <c:pt idx="2">
                  <c:v>0.17857142857142858</c:v>
                </c:pt>
                <c:pt idx="3">
                  <c:v>0.25</c:v>
                </c:pt>
                <c:pt idx="4">
                  <c:v>0.10714285714285714</c:v>
                </c:pt>
              </c:numCache>
            </c:numRef>
          </c:val>
          <c:extLst>
            <c:ext xmlns:c16="http://schemas.microsoft.com/office/drawing/2014/chart" uri="{C3380CC4-5D6E-409C-BE32-E72D297353CC}">
              <c16:uniqueId val="{0000000A-CE7D-44C8-96C4-BB1AABD894B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itchFamily="34" charset="0"/>
              <a:ea typeface="+mn-ea"/>
              <a:cs typeface="Arial" pitchFamily="34"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800">
          <a:solidFill>
            <a:schemeClr val="tx1"/>
          </a:solidFill>
          <a:latin typeface="Aptos" panose="020B0004020202020204" pitchFamily="34"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График_2!$I$8</c:f>
              <c:strCache>
                <c:ptCount val="1"/>
                <c:pt idx="0">
                  <c:v>Частная инициатива</c:v>
                </c:pt>
              </c:strCache>
            </c:strRef>
          </c:tx>
          <c:spPr>
            <a:solidFill>
              <a:schemeClr val="accent1"/>
            </a:solidFill>
            <a:ln>
              <a:noFill/>
            </a:ln>
            <a:effectLst/>
          </c:spPr>
          <c:invertIfNegative val="0"/>
          <c:dLbls>
            <c:dLbl>
              <c:idx val="0"/>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Arial" pitchFamily="34" charset="0"/>
                      <a:ea typeface="+mn-ea"/>
                      <a:cs typeface="Arial" pitchFamily="34" charset="0"/>
                    </a:defRPr>
                  </a:pPr>
                  <a:endParaRPr lang="ru-RU"/>
                </a:p>
              </c:txPr>
              <c:dLblPos val="ctr"/>
              <c:showLegendKey val="0"/>
              <c:showVal val="1"/>
              <c:showCatName val="0"/>
              <c:showSerName val="0"/>
              <c:showPercent val="0"/>
              <c:showBubbleSize val="0"/>
              <c:extLst>
                <c:ext xmlns:c16="http://schemas.microsoft.com/office/drawing/2014/chart" uri="{C3380CC4-5D6E-409C-BE32-E72D297353CC}">
                  <c16:uniqueId val="{00000000-BF24-4828-B097-9EF22D267A35}"/>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Arial" pitchFamily="34" charset="0"/>
                    <a:ea typeface="+mn-ea"/>
                    <a:cs typeface="Arial" pitchFamily="3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График_2!$J$8</c:f>
              <c:numCache>
                <c:formatCode>General</c:formatCode>
                <c:ptCount val="1"/>
                <c:pt idx="0">
                  <c:v>0.5357142857142857</c:v>
                </c:pt>
              </c:numCache>
            </c:numRef>
          </c:val>
          <c:extLst>
            <c:ext xmlns:c16="http://schemas.microsoft.com/office/drawing/2014/chart" uri="{C3380CC4-5D6E-409C-BE32-E72D297353CC}">
              <c16:uniqueId val="{00000001-803F-40D7-A412-2C0317C1D32F}"/>
            </c:ext>
          </c:extLst>
        </c:ser>
        <c:ser>
          <c:idx val="1"/>
          <c:order val="1"/>
          <c:tx>
            <c:strRef>
              <c:f>График_2!$I$9</c:f>
              <c:strCache>
                <c:ptCount val="1"/>
                <c:pt idx="0">
                  <c:v>Конкурс. Единственная заявка</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itchFamily="34" charset="0"/>
                    <a:ea typeface="+mn-ea"/>
                    <a:cs typeface="Arial" pitchFamily="3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График_2!$J$9</c:f>
              <c:numCache>
                <c:formatCode>General</c:formatCode>
                <c:ptCount val="1"/>
                <c:pt idx="0">
                  <c:v>0.25</c:v>
                </c:pt>
              </c:numCache>
            </c:numRef>
          </c:val>
          <c:extLst>
            <c:ext xmlns:c16="http://schemas.microsoft.com/office/drawing/2014/chart" uri="{C3380CC4-5D6E-409C-BE32-E72D297353CC}">
              <c16:uniqueId val="{00000002-803F-40D7-A412-2C0317C1D32F}"/>
            </c:ext>
          </c:extLst>
        </c:ser>
        <c:ser>
          <c:idx val="2"/>
          <c:order val="2"/>
          <c:tx>
            <c:strRef>
              <c:f>График_2!$I$10</c:f>
              <c:strCache>
                <c:ptCount val="1"/>
                <c:pt idx="0">
                  <c:v>Конкурс</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Arial" pitchFamily="34" charset="0"/>
                    <a:ea typeface="+mn-ea"/>
                    <a:cs typeface="Arial" pitchFamily="3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График_2!$J$10</c:f>
              <c:numCache>
                <c:formatCode>General</c:formatCode>
                <c:ptCount val="1"/>
                <c:pt idx="0">
                  <c:v>7.1428571428571425E-2</c:v>
                </c:pt>
              </c:numCache>
            </c:numRef>
          </c:val>
          <c:extLst>
            <c:ext xmlns:c16="http://schemas.microsoft.com/office/drawing/2014/chart" uri="{C3380CC4-5D6E-409C-BE32-E72D297353CC}">
              <c16:uniqueId val="{00000003-803F-40D7-A412-2C0317C1D32F}"/>
            </c:ext>
          </c:extLst>
        </c:ser>
        <c:ser>
          <c:idx val="3"/>
          <c:order val="3"/>
          <c:tx>
            <c:strRef>
              <c:f>График_2!$I$11</c:f>
              <c:strCache>
                <c:ptCount val="1"/>
                <c:pt idx="0">
                  <c:v>Трансформация аренды</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itchFamily="34" charset="0"/>
                    <a:ea typeface="+mn-ea"/>
                    <a:cs typeface="Arial" pitchFamily="3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График_2!$J$11</c:f>
              <c:numCache>
                <c:formatCode>General</c:formatCode>
                <c:ptCount val="1"/>
                <c:pt idx="0">
                  <c:v>0.14285714285714285</c:v>
                </c:pt>
              </c:numCache>
            </c:numRef>
          </c:val>
          <c:extLst>
            <c:ext xmlns:c16="http://schemas.microsoft.com/office/drawing/2014/chart" uri="{C3380CC4-5D6E-409C-BE32-E72D297353CC}">
              <c16:uniqueId val="{00000004-803F-40D7-A412-2C0317C1D32F}"/>
            </c:ext>
          </c:extLst>
        </c:ser>
        <c:dLbls>
          <c:dLblPos val="ctr"/>
          <c:showLegendKey val="0"/>
          <c:showVal val="1"/>
          <c:showCatName val="0"/>
          <c:showSerName val="0"/>
          <c:showPercent val="0"/>
          <c:showBubbleSize val="0"/>
        </c:dLbls>
        <c:gapWidth val="150"/>
        <c:overlap val="100"/>
        <c:axId val="163937280"/>
        <c:axId val="165200448"/>
      </c:barChart>
      <c:catAx>
        <c:axId val="163937280"/>
        <c:scaling>
          <c:orientation val="minMax"/>
        </c:scaling>
        <c:delete val="1"/>
        <c:axPos val="l"/>
        <c:numFmt formatCode="General" sourceLinked="1"/>
        <c:majorTickMark val="none"/>
        <c:minorTickMark val="none"/>
        <c:tickLblPos val="nextTo"/>
        <c:crossAx val="165200448"/>
        <c:crosses val="autoZero"/>
        <c:auto val="1"/>
        <c:lblAlgn val="ctr"/>
        <c:lblOffset val="100"/>
        <c:noMultiLvlLbl val="0"/>
      </c:catAx>
      <c:valAx>
        <c:axId val="165200448"/>
        <c:scaling>
          <c:orientation val="minMax"/>
        </c:scaling>
        <c:delete val="1"/>
        <c:axPos val="b"/>
        <c:numFmt formatCode="0%" sourceLinked="1"/>
        <c:majorTickMark val="none"/>
        <c:minorTickMark val="none"/>
        <c:tickLblPos val="nextTo"/>
        <c:crossAx val="163937280"/>
        <c:crosses val="autoZero"/>
        <c:crossBetween val="between"/>
      </c:valAx>
      <c:spPr>
        <a:noFill/>
        <a:ln>
          <a:noFill/>
        </a:ln>
        <a:effectLst/>
      </c:spPr>
    </c:plotArea>
    <c:legend>
      <c:legendPos val="b"/>
      <c:layout>
        <c:manualLayout>
          <c:xMode val="edge"/>
          <c:yMode val="edge"/>
          <c:x val="1.3395506805063488E-2"/>
          <c:y val="0.75394860094784977"/>
          <c:w val="0.98491721727618609"/>
          <c:h val="0.1989371469909017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itchFamily="34" charset="0"/>
              <a:ea typeface="+mn-ea"/>
              <a:cs typeface="Arial" pitchFamily="34"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800">
          <a:latin typeface="Aptos" panose="020B0004020202020204" pitchFamily="34"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График_3!$F$2:$F$9</c:f>
              <c:strCache>
                <c:ptCount val="8"/>
                <c:pt idx="0">
                  <c:v>менее 10</c:v>
                </c:pt>
                <c:pt idx="1">
                  <c:v>10-14</c:v>
                </c:pt>
                <c:pt idx="2">
                  <c:v>15-19</c:v>
                </c:pt>
                <c:pt idx="3">
                  <c:v>20-24</c:v>
                </c:pt>
                <c:pt idx="4">
                  <c:v>25-29</c:v>
                </c:pt>
                <c:pt idx="5">
                  <c:v>30-34</c:v>
                </c:pt>
                <c:pt idx="6">
                  <c:v>35-39</c:v>
                </c:pt>
                <c:pt idx="7">
                  <c:v>40 и более</c:v>
                </c:pt>
              </c:strCache>
            </c:strRef>
          </c:cat>
          <c:val>
            <c:numRef>
              <c:f>График_3!$G$2:$G$9</c:f>
              <c:numCache>
                <c:formatCode>General</c:formatCode>
                <c:ptCount val="8"/>
                <c:pt idx="0">
                  <c:v>0</c:v>
                </c:pt>
                <c:pt idx="1">
                  <c:v>1</c:v>
                </c:pt>
                <c:pt idx="2">
                  <c:v>4</c:v>
                </c:pt>
                <c:pt idx="3">
                  <c:v>7</c:v>
                </c:pt>
                <c:pt idx="4">
                  <c:v>7</c:v>
                </c:pt>
                <c:pt idx="5">
                  <c:v>1</c:v>
                </c:pt>
                <c:pt idx="6">
                  <c:v>1</c:v>
                </c:pt>
                <c:pt idx="7">
                  <c:v>1</c:v>
                </c:pt>
              </c:numCache>
            </c:numRef>
          </c:val>
          <c:extLst>
            <c:ext xmlns:c16="http://schemas.microsoft.com/office/drawing/2014/chart" uri="{C3380CC4-5D6E-409C-BE32-E72D297353CC}">
              <c16:uniqueId val="{00000000-234F-4560-8C19-69AE3EF9C266}"/>
            </c:ext>
          </c:extLst>
        </c:ser>
        <c:dLbls>
          <c:showLegendKey val="0"/>
          <c:showVal val="0"/>
          <c:showCatName val="0"/>
          <c:showSerName val="0"/>
          <c:showPercent val="0"/>
          <c:showBubbleSize val="0"/>
        </c:dLbls>
        <c:gapWidth val="219"/>
        <c:overlap val="-27"/>
        <c:axId val="164688384"/>
        <c:axId val="165202176"/>
      </c:barChart>
      <c:catAx>
        <c:axId val="16468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crossAx val="165202176"/>
        <c:crosses val="autoZero"/>
        <c:auto val="1"/>
        <c:lblAlgn val="ctr"/>
        <c:lblOffset val="100"/>
        <c:noMultiLvlLbl val="0"/>
      </c:catAx>
      <c:valAx>
        <c:axId val="165202176"/>
        <c:scaling>
          <c:orientation val="minMax"/>
        </c:scaling>
        <c:delete val="1"/>
        <c:axPos val="l"/>
        <c:numFmt formatCode="General" sourceLinked="1"/>
        <c:majorTickMark val="none"/>
        <c:minorTickMark val="none"/>
        <c:tickLblPos val="nextTo"/>
        <c:crossAx val="1646883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ptos" panose="020B0004020202020204" pitchFamily="34"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График_3!$C$8:$C$29</c:f>
              <c:strCache>
                <c:ptCount val="22"/>
                <c:pt idx="0">
                  <c:v>Владимир</c:v>
                </c:pt>
                <c:pt idx="1">
                  <c:v>Юрьев- Польский</c:v>
                </c:pt>
                <c:pt idx="2">
                  <c:v>Киров</c:v>
                </c:pt>
                <c:pt idx="3">
                  <c:v>Кирово-Чепецк</c:v>
                </c:pt>
                <c:pt idx="4">
                  <c:v>Кирс</c:v>
                </c:pt>
                <c:pt idx="5">
                  <c:v>Новочебоксарс
к</c:v>
                </c:pt>
                <c:pt idx="6">
                  <c:v>Чебоксары</c:v>
                </c:pt>
                <c:pt idx="7">
                  <c:v>Саранск</c:v>
                </c:pt>
                <c:pt idx="8">
                  <c:v>Дзержинск</c:v>
                </c:pt>
                <c:pt idx="9">
                  <c:v>Кстово</c:v>
                </c:pt>
                <c:pt idx="10">
                  <c:v>Березники</c:v>
                </c:pt>
                <c:pt idx="11">
                  <c:v>Лысьва</c:v>
                </c:pt>
                <c:pt idx="12">
                  <c:v>Пермь</c:v>
                </c:pt>
                <c:pt idx="13">
                  <c:v>Чайковский</c:v>
                </c:pt>
                <c:pt idx="14">
                  <c:v>Краснокамск</c:v>
                </c:pt>
                <c:pt idx="15">
                  <c:v>Балаково</c:v>
                </c:pt>
                <c:pt idx="16">
                  <c:v>Саратов</c:v>
                </c:pt>
                <c:pt idx="17">
                  <c:v>Березовский</c:v>
                </c:pt>
                <c:pt idx="18">
                  <c:v>Лесной</c:v>
                </c:pt>
                <c:pt idx="19">
                  <c:v>Нижняя Тура</c:v>
                </c:pt>
                <c:pt idx="20">
                  <c:v>Первоуральск</c:v>
                </c:pt>
                <c:pt idx="21">
                  <c:v>Ижевск</c:v>
                </c:pt>
              </c:strCache>
            </c:strRef>
          </c:tx>
          <c:spPr>
            <a:ln w="28575" cap="rnd">
              <a:noFill/>
              <a:round/>
            </a:ln>
            <a:effectLst/>
          </c:spPr>
          <c:marker>
            <c:symbol val="circle"/>
            <c:size val="5"/>
            <c:spPr>
              <a:solidFill>
                <a:schemeClr val="accent1"/>
              </a:solidFill>
              <a:ln w="9525">
                <a:solidFill>
                  <a:schemeClr val="accent1"/>
                </a:solidFill>
              </a:ln>
              <a:effectLst/>
            </c:spPr>
          </c:marker>
          <c:dLbls>
            <c:dLbl>
              <c:idx val="0"/>
              <c:tx>
                <c:rich>
                  <a:bodyPr/>
                  <a:lstStyle/>
                  <a:p>
                    <a:fld id="{988BC8DC-3E32-4A7F-B3AE-20E4559A131F}"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8EB-49C3-A830-7ECF2BFCB4B9}"/>
                </c:ext>
              </c:extLst>
            </c:dLbl>
            <c:dLbl>
              <c:idx val="1"/>
              <c:layout>
                <c:manualLayout>
                  <c:x val="1.9486846378694363E-2"/>
                  <c:y val="1.5232292460015326E-2"/>
                </c:manualLayout>
              </c:layout>
              <c:tx>
                <c:rich>
                  <a:bodyPr/>
                  <a:lstStyle/>
                  <a:p>
                    <a:fld id="{59D4EA5D-9A3E-4FD0-B486-0D402E47227D}"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8EB-49C3-A830-7ECF2BFCB4B9}"/>
                </c:ext>
              </c:extLst>
            </c:dLbl>
            <c:dLbl>
              <c:idx val="2"/>
              <c:tx>
                <c:rich>
                  <a:bodyPr/>
                  <a:lstStyle/>
                  <a:p>
                    <a:fld id="{5ADCCC13-7848-40FD-885A-AD4C5DBBDC55}" type="CELLRANGE">
                      <a:rPr lang="ru-RU"/>
                      <a:pPr/>
                      <a:t>[ДИАПАЗОН ЯЧЕЕК]</a:t>
                    </a:fld>
                    <a:endParaRPr lang="ru-RU"/>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4E90-4993-8465-E90FB8E0C9D6}"/>
                </c:ext>
              </c:extLst>
            </c:dLbl>
            <c:dLbl>
              <c:idx val="3"/>
              <c:delete val="1"/>
              <c:extLst>
                <c:ext xmlns:c15="http://schemas.microsoft.com/office/drawing/2012/chart" uri="{CE6537A1-D6FC-4f65-9D91-7224C49458BB}"/>
                <c:ext xmlns:c16="http://schemas.microsoft.com/office/drawing/2014/chart" uri="{C3380CC4-5D6E-409C-BE32-E72D297353CC}">
                  <c16:uniqueId val="{00000004-32D8-4EDF-9BF3-B8398374BD55}"/>
                </c:ext>
              </c:extLst>
            </c:dLbl>
            <c:dLbl>
              <c:idx val="4"/>
              <c:delete val="1"/>
              <c:extLst>
                <c:ext xmlns:c15="http://schemas.microsoft.com/office/drawing/2012/chart" uri="{CE6537A1-D6FC-4f65-9D91-7224C49458BB}"/>
                <c:ext xmlns:c16="http://schemas.microsoft.com/office/drawing/2014/chart" uri="{C3380CC4-5D6E-409C-BE32-E72D297353CC}">
                  <c16:uniqueId val="{00000003-32D8-4EDF-9BF3-B8398374BD55}"/>
                </c:ext>
              </c:extLst>
            </c:dLbl>
            <c:dLbl>
              <c:idx val="5"/>
              <c:delete val="1"/>
              <c:extLst>
                <c:ext xmlns:c15="http://schemas.microsoft.com/office/drawing/2012/chart" uri="{CE6537A1-D6FC-4f65-9D91-7224C49458BB}"/>
                <c:ext xmlns:c16="http://schemas.microsoft.com/office/drawing/2014/chart" uri="{C3380CC4-5D6E-409C-BE32-E72D297353CC}">
                  <c16:uniqueId val="{00000005-32D8-4EDF-9BF3-B8398374BD55}"/>
                </c:ext>
              </c:extLst>
            </c:dLbl>
            <c:dLbl>
              <c:idx val="6"/>
              <c:tx>
                <c:rich>
                  <a:bodyPr/>
                  <a:lstStyle/>
                  <a:p>
                    <a:fld id="{0004C549-5D62-496B-A74C-54FAF92664C9}"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E90-4993-8465-E90FB8E0C9D6}"/>
                </c:ext>
              </c:extLst>
            </c:dLbl>
            <c:dLbl>
              <c:idx val="7"/>
              <c:tx>
                <c:rich>
                  <a:bodyPr/>
                  <a:lstStyle/>
                  <a:p>
                    <a:fld id="{981D6A31-B07C-4A80-9BD2-D84F9F9B0AD7}"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E90-4993-8465-E90FB8E0C9D6}"/>
                </c:ext>
              </c:extLst>
            </c:dLbl>
            <c:dLbl>
              <c:idx val="8"/>
              <c:layout>
                <c:manualLayout>
                  <c:x val="1.9847484624389727E-17"/>
                  <c:y val="1.0154861640010155E-2"/>
                </c:manualLayout>
              </c:layout>
              <c:tx>
                <c:rich>
                  <a:bodyPr/>
                  <a:lstStyle/>
                  <a:p>
                    <a:fld id="{14203649-59FD-43A7-A6FF-3C3786A1316E}"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8EB-49C3-A830-7ECF2BFCB4B9}"/>
                </c:ext>
              </c:extLst>
            </c:dLbl>
            <c:dLbl>
              <c:idx val="9"/>
              <c:layout>
                <c:manualLayout>
                  <c:x val="-3.9694969248779454E-17"/>
                  <c:y val="-2.0309723280020311E-2"/>
                </c:manualLayout>
              </c:layout>
              <c:tx>
                <c:rich>
                  <a:bodyPr/>
                  <a:lstStyle/>
                  <a:p>
                    <a:fld id="{1ABC7DA9-C24F-4E6D-9199-6A64C535E364}"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8EB-49C3-A830-7ECF2BFCB4B9}"/>
                </c:ext>
              </c:extLst>
            </c:dLbl>
            <c:dLbl>
              <c:idx val="10"/>
              <c:layout>
                <c:manualLayout>
                  <c:x val="4.330410306376529E-3"/>
                  <c:y val="-2.5387154100025386E-2"/>
                </c:manualLayout>
              </c:layout>
              <c:tx>
                <c:rich>
                  <a:bodyPr/>
                  <a:lstStyle/>
                  <a:p>
                    <a:fld id="{F5893B2A-8B8B-4D79-84D6-75FD71C8EB58}"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8EB-49C3-A830-7ECF2BFCB4B9}"/>
                </c:ext>
              </c:extLst>
            </c:dLbl>
            <c:dLbl>
              <c:idx val="11"/>
              <c:layout>
                <c:manualLayout>
                  <c:x val="1.9847484624389727E-17"/>
                  <c:y val="-1.0154861640010155E-2"/>
                </c:manualLayout>
              </c:layout>
              <c:tx>
                <c:rich>
                  <a:bodyPr/>
                  <a:lstStyle/>
                  <a:p>
                    <a:fld id="{A527C503-415A-40EE-97A8-C0B2CA7E32DD}"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8EB-49C3-A830-7ECF2BFCB4B9}"/>
                </c:ext>
              </c:extLst>
            </c:dLbl>
            <c:dLbl>
              <c:idx val="12"/>
              <c:tx>
                <c:rich>
                  <a:bodyPr/>
                  <a:lstStyle/>
                  <a:p>
                    <a:fld id="{FD708B20-B730-4B91-9F26-B67CE01E24DC}"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4E90-4993-8465-E90FB8E0C9D6}"/>
                </c:ext>
              </c:extLst>
            </c:dLbl>
            <c:dLbl>
              <c:idx val="13"/>
              <c:delete val="1"/>
              <c:extLst>
                <c:ext xmlns:c15="http://schemas.microsoft.com/office/drawing/2012/chart" uri="{CE6537A1-D6FC-4f65-9D91-7224C49458BB}"/>
                <c:ext xmlns:c16="http://schemas.microsoft.com/office/drawing/2014/chart" uri="{C3380CC4-5D6E-409C-BE32-E72D297353CC}">
                  <c16:uniqueId val="{00000009-88EB-49C3-A830-7ECF2BFCB4B9}"/>
                </c:ext>
              </c:extLst>
            </c:dLbl>
            <c:dLbl>
              <c:idx val="14"/>
              <c:delete val="1"/>
              <c:extLst>
                <c:ext xmlns:c15="http://schemas.microsoft.com/office/drawing/2012/chart" uri="{CE6537A1-D6FC-4f65-9D91-7224C49458BB}"/>
                <c:ext xmlns:c16="http://schemas.microsoft.com/office/drawing/2014/chart" uri="{C3380CC4-5D6E-409C-BE32-E72D297353CC}">
                  <c16:uniqueId val="{00000002-32D8-4EDF-9BF3-B8398374BD55}"/>
                </c:ext>
              </c:extLst>
            </c:dLbl>
            <c:dLbl>
              <c:idx val="15"/>
              <c:layout>
                <c:manualLayout>
                  <c:x val="2.1652051531882645E-3"/>
                  <c:y val="1.5232292460015232E-2"/>
                </c:manualLayout>
              </c:layout>
              <c:tx>
                <c:rich>
                  <a:bodyPr/>
                  <a:lstStyle/>
                  <a:p>
                    <a:fld id="{02399E44-7586-4053-9194-24B5EC4A42F1}"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8EB-49C3-A830-7ECF2BFCB4B9}"/>
                </c:ext>
              </c:extLst>
            </c:dLbl>
            <c:dLbl>
              <c:idx val="16"/>
              <c:tx>
                <c:rich>
                  <a:bodyPr/>
                  <a:lstStyle/>
                  <a:p>
                    <a:fld id="{C3EC3778-D1E8-4A99-8FEB-B1387C7EB0BC}"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4E90-4993-8465-E90FB8E0C9D6}"/>
                </c:ext>
              </c:extLst>
            </c:dLbl>
            <c:dLbl>
              <c:idx val="17"/>
              <c:layout>
                <c:manualLayout>
                  <c:x val="2.165205153188225E-3"/>
                  <c:y val="-2.0309723280020404E-2"/>
                </c:manualLayout>
              </c:layout>
              <c:tx>
                <c:rich>
                  <a:bodyPr/>
                  <a:lstStyle/>
                  <a:p>
                    <a:fld id="{FFC9431A-D6D3-4A1F-A8B9-FCB97F5F6101}"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32D8-4EDF-9BF3-B8398374BD55}"/>
                </c:ext>
              </c:extLst>
            </c:dLbl>
            <c:dLbl>
              <c:idx val="18"/>
              <c:delete val="1"/>
              <c:extLst>
                <c:ext xmlns:c15="http://schemas.microsoft.com/office/drawing/2012/chart" uri="{CE6537A1-D6FC-4f65-9D91-7224C49458BB}"/>
                <c:ext xmlns:c16="http://schemas.microsoft.com/office/drawing/2014/chart" uri="{C3380CC4-5D6E-409C-BE32-E72D297353CC}">
                  <c16:uniqueId val="{00000000-32D8-4EDF-9BF3-B8398374BD55}"/>
                </c:ext>
              </c:extLst>
            </c:dLbl>
            <c:dLbl>
              <c:idx val="19"/>
              <c:delete val="1"/>
              <c:extLst>
                <c:ext xmlns:c15="http://schemas.microsoft.com/office/drawing/2012/chart" uri="{CE6537A1-D6FC-4f65-9D91-7224C49458BB}"/>
                <c:ext xmlns:c16="http://schemas.microsoft.com/office/drawing/2014/chart" uri="{C3380CC4-5D6E-409C-BE32-E72D297353CC}">
                  <c16:uniqueId val="{0000000E-88EB-49C3-A830-7ECF2BFCB4B9}"/>
                </c:ext>
              </c:extLst>
            </c:dLbl>
            <c:dLbl>
              <c:idx val="20"/>
              <c:delete val="1"/>
              <c:extLst>
                <c:ext xmlns:c15="http://schemas.microsoft.com/office/drawing/2012/chart" uri="{CE6537A1-D6FC-4f65-9D91-7224C49458BB}"/>
                <c:ext xmlns:c16="http://schemas.microsoft.com/office/drawing/2014/chart" uri="{C3380CC4-5D6E-409C-BE32-E72D297353CC}">
                  <c16:uniqueId val="{00000001-32D8-4EDF-9BF3-B8398374BD55}"/>
                </c:ext>
              </c:extLst>
            </c:dLbl>
            <c:dLbl>
              <c:idx val="21"/>
              <c:tx>
                <c:rich>
                  <a:bodyPr/>
                  <a:lstStyle/>
                  <a:p>
                    <a:fld id="{363C23C7-A2E4-4428-9B1F-BC8F4B1A9769}"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4E90-4993-8465-E90FB8E0C9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trendline>
            <c:spPr>
              <a:ln w="19050" cap="rnd">
                <a:solidFill>
                  <a:schemeClr val="accent1"/>
                </a:solidFill>
                <a:prstDash val="sysDot"/>
              </a:ln>
              <a:effectLst/>
            </c:spPr>
            <c:trendlineType val="linear"/>
            <c:dispRSqr val="0"/>
            <c:dispEq val="0"/>
          </c:trendline>
          <c:xVal>
            <c:numRef>
              <c:f>График_3!$G$8:$G$29</c:f>
              <c:numCache>
                <c:formatCode>_-* #\ ##0.00\ _₽_-;\-* #\ ##0.00\ _₽_-;_-* "-"??\ _₽_-;_-@_-</c:formatCode>
                <c:ptCount val="22"/>
                <c:pt idx="0">
                  <c:v>346.685</c:v>
                </c:pt>
                <c:pt idx="1">
                  <c:v>30.783999999999999</c:v>
                </c:pt>
                <c:pt idx="2">
                  <c:v>500.45699999999999</c:v>
                </c:pt>
                <c:pt idx="3">
                  <c:v>64.570999999999998</c:v>
                </c:pt>
                <c:pt idx="4">
                  <c:v>19.600000000000001</c:v>
                </c:pt>
                <c:pt idx="5">
                  <c:v>120.767</c:v>
                </c:pt>
                <c:pt idx="6">
                  <c:v>506.48</c:v>
                </c:pt>
                <c:pt idx="7">
                  <c:v>339.15100000000001</c:v>
                </c:pt>
                <c:pt idx="8">
                  <c:v>57.433999999999997</c:v>
                </c:pt>
                <c:pt idx="9">
                  <c:v>121.42400000000001</c:v>
                </c:pt>
                <c:pt idx="10">
                  <c:v>147.36500000000001</c:v>
                </c:pt>
                <c:pt idx="11">
                  <c:v>61.124000000000002</c:v>
                </c:pt>
                <c:pt idx="12">
                  <c:v>1026.912</c:v>
                </c:pt>
                <c:pt idx="13">
                  <c:v>93.784999999999997</c:v>
                </c:pt>
                <c:pt idx="14">
                  <c:v>66.474999999999994</c:v>
                </c:pt>
                <c:pt idx="15">
                  <c:v>200.24100000000001</c:v>
                </c:pt>
                <c:pt idx="16">
                  <c:v>937.36400000000003</c:v>
                </c:pt>
                <c:pt idx="17">
                  <c:v>76.77</c:v>
                </c:pt>
                <c:pt idx="18">
                  <c:v>49.484999999999999</c:v>
                </c:pt>
                <c:pt idx="19">
                  <c:v>21.907</c:v>
                </c:pt>
                <c:pt idx="20">
                  <c:v>130.03899999999999</c:v>
                </c:pt>
                <c:pt idx="21">
                  <c:v>618.77599999999995</c:v>
                </c:pt>
              </c:numCache>
            </c:numRef>
          </c:xVal>
          <c:yVal>
            <c:numRef>
              <c:f>График_3!$H$8:$H$29</c:f>
              <c:numCache>
                <c:formatCode>General</c:formatCode>
                <c:ptCount val="22"/>
                <c:pt idx="0">
                  <c:v>8.3580000000000005</c:v>
                </c:pt>
                <c:pt idx="1">
                  <c:v>0.30199999999999999</c:v>
                </c:pt>
                <c:pt idx="2">
                  <c:v>17.231999999999999</c:v>
                </c:pt>
                <c:pt idx="3">
                  <c:v>0.11899999999999999</c:v>
                </c:pt>
                <c:pt idx="4">
                  <c:v>0.92</c:v>
                </c:pt>
                <c:pt idx="5">
                  <c:v>2.9340000000000002</c:v>
                </c:pt>
                <c:pt idx="6">
                  <c:v>11.904</c:v>
                </c:pt>
                <c:pt idx="7">
                  <c:v>0.12</c:v>
                </c:pt>
                <c:pt idx="8">
                  <c:v>7.8239999999999998</c:v>
                </c:pt>
                <c:pt idx="9">
                  <c:v>4.0880000000000001</c:v>
                </c:pt>
                <c:pt idx="10">
                  <c:v>4.93</c:v>
                </c:pt>
                <c:pt idx="11">
                  <c:v>2.169</c:v>
                </c:pt>
                <c:pt idx="12">
                  <c:v>7.3570000000000002</c:v>
                </c:pt>
                <c:pt idx="13">
                  <c:v>1.3080000000000001</c:v>
                </c:pt>
                <c:pt idx="14">
                  <c:v>0.23699999999999999</c:v>
                </c:pt>
                <c:pt idx="15">
                  <c:v>8.2829999999999995</c:v>
                </c:pt>
                <c:pt idx="16">
                  <c:v>11.859</c:v>
                </c:pt>
                <c:pt idx="17">
                  <c:v>0.95399999999999996</c:v>
                </c:pt>
                <c:pt idx="18">
                  <c:v>0.65600000000000003</c:v>
                </c:pt>
                <c:pt idx="19">
                  <c:v>3.1219999999999999</c:v>
                </c:pt>
                <c:pt idx="20">
                  <c:v>4.1870000000000003</c:v>
                </c:pt>
                <c:pt idx="21">
                  <c:v>6.8010000000000002</c:v>
                </c:pt>
              </c:numCache>
            </c:numRef>
          </c:yVal>
          <c:smooth val="0"/>
          <c:extLst>
            <c:ext xmlns:c15="http://schemas.microsoft.com/office/drawing/2012/chart" uri="{02D57815-91ED-43cb-92C2-25804820EDAC}">
              <c15:datalabelsRange>
                <c15:f>График_3!$C$8:$C$29</c15:f>
                <c15:dlblRangeCache>
                  <c:ptCount val="22"/>
                  <c:pt idx="0">
                    <c:v>Владимир</c:v>
                  </c:pt>
                  <c:pt idx="1">
                    <c:v>Юрьев- Польский</c:v>
                  </c:pt>
                  <c:pt idx="2">
                    <c:v>Киров</c:v>
                  </c:pt>
                  <c:pt idx="3">
                    <c:v>Кирово-Чепецк</c:v>
                  </c:pt>
                  <c:pt idx="4">
                    <c:v>Кирс</c:v>
                  </c:pt>
                  <c:pt idx="5">
                    <c:v>Новочебоксарс
к</c:v>
                  </c:pt>
                  <c:pt idx="6">
                    <c:v>Чебоксары</c:v>
                  </c:pt>
                  <c:pt idx="7">
                    <c:v>Саранск</c:v>
                  </c:pt>
                  <c:pt idx="8">
                    <c:v>Дзержинск</c:v>
                  </c:pt>
                  <c:pt idx="9">
                    <c:v>Кстово</c:v>
                  </c:pt>
                  <c:pt idx="10">
                    <c:v>Березники</c:v>
                  </c:pt>
                  <c:pt idx="11">
                    <c:v>Лысьва</c:v>
                  </c:pt>
                  <c:pt idx="12">
                    <c:v>Пермь</c:v>
                  </c:pt>
                  <c:pt idx="13">
                    <c:v>Чайковский</c:v>
                  </c:pt>
                  <c:pt idx="14">
                    <c:v>Краснокамск</c:v>
                  </c:pt>
                  <c:pt idx="15">
                    <c:v>Балаково</c:v>
                  </c:pt>
                  <c:pt idx="16">
                    <c:v>Саратов</c:v>
                  </c:pt>
                  <c:pt idx="17">
                    <c:v>Березовский</c:v>
                  </c:pt>
                  <c:pt idx="18">
                    <c:v>Лесной</c:v>
                  </c:pt>
                  <c:pt idx="19">
                    <c:v>Нижняя Тура</c:v>
                  </c:pt>
                  <c:pt idx="20">
                    <c:v>Первоуральск</c:v>
                  </c:pt>
                  <c:pt idx="21">
                    <c:v>Ижевск</c:v>
                  </c:pt>
                </c15:dlblRangeCache>
              </c15:datalabelsRange>
            </c:ext>
            <c:ext xmlns:c16="http://schemas.microsoft.com/office/drawing/2014/chart" uri="{C3380CC4-5D6E-409C-BE32-E72D297353CC}">
              <c16:uniqueId val="{00000016-4E90-4993-8465-E90FB8E0C9D6}"/>
            </c:ext>
          </c:extLst>
        </c:ser>
        <c:dLbls>
          <c:showLegendKey val="0"/>
          <c:showVal val="0"/>
          <c:showCatName val="0"/>
          <c:showSerName val="0"/>
          <c:showPercent val="0"/>
          <c:showBubbleSize val="0"/>
        </c:dLbls>
        <c:axId val="165205632"/>
        <c:axId val="165206784"/>
      </c:scatterChart>
      <c:valAx>
        <c:axId val="1652056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Arial" pitchFamily="34" charset="0"/>
                    <a:ea typeface="+mn-ea"/>
                    <a:cs typeface="Arial" pitchFamily="34" charset="0"/>
                  </a:defRPr>
                </a:pPr>
                <a:r>
                  <a:rPr lang="ru-RU" sz="1000" b="0" i="0" u="none" strike="noStrike" kern="1200" baseline="0">
                    <a:solidFill>
                      <a:sysClr val="windowText" lastClr="000000"/>
                    </a:solidFill>
                    <a:latin typeface="Arial" pitchFamily="34" charset="0"/>
                    <a:cs typeface="Arial" pitchFamily="34" charset="0"/>
                  </a:rPr>
                  <a:t>численность населения, тыс. человек</a:t>
                </a:r>
              </a:p>
            </c:rich>
          </c:tx>
          <c:layout>
            <c:manualLayout>
              <c:xMode val="edge"/>
              <c:yMode val="edge"/>
              <c:x val="0.47393635170603676"/>
              <c:y val="0.88508771929824581"/>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crossAx val="165206784"/>
        <c:crosses val="autoZero"/>
        <c:crossBetween val="midCat"/>
      </c:valAx>
      <c:valAx>
        <c:axId val="165206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itchFamily="34" charset="0"/>
                    <a:ea typeface="+mn-ea"/>
                    <a:cs typeface="Arial" pitchFamily="34" charset="0"/>
                  </a:defRPr>
                </a:pPr>
                <a:r>
                  <a:rPr lang="ru-RU" sz="1000" b="0" i="0" u="none" strike="noStrike" kern="1200" baseline="0">
                    <a:solidFill>
                      <a:sysClr val="windowText" lastClr="000000"/>
                    </a:solidFill>
                    <a:latin typeface="Arial" pitchFamily="34" charset="0"/>
                    <a:cs typeface="Arial" pitchFamily="34" charset="0"/>
                  </a:rPr>
                  <a:t>сумма инвестиций, млрд руб.</a:t>
                </a:r>
              </a:p>
            </c:rich>
          </c:tx>
          <c:layout>
            <c:manualLayout>
              <c:xMode val="edge"/>
              <c:yMode val="edge"/>
              <c:x val="2.2222222222222223E-2"/>
              <c:y val="3.4290993231109276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crossAx val="16520563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ptos" panose="020B0004020202020204" pitchFamily="34"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8AF-4CAE-A393-449D9139A6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8AF-4CAE-A393-449D9139A6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8AF-4CAE-A393-449D9139A6BB}"/>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itchFamily="34" charset="0"/>
                      <a:ea typeface="+mn-ea"/>
                      <a:cs typeface="Arial" pitchFamily="34" charset="0"/>
                    </a:defRPr>
                  </a:pPr>
                  <a:endParaRPr lang="ru-RU"/>
                </a:p>
              </c:txPr>
              <c:dLblPos val="inEnd"/>
              <c:showLegendKey val="0"/>
              <c:showVal val="1"/>
              <c:showCatName val="0"/>
              <c:showSerName val="0"/>
              <c:showPercent val="0"/>
              <c:showBubbleSize val="0"/>
              <c:extLst>
                <c:ext xmlns:c16="http://schemas.microsoft.com/office/drawing/2014/chart" uri="{C3380CC4-5D6E-409C-BE32-E72D297353CC}">
                  <c16:uniqueId val="{00000001-E8AF-4CAE-A393-449D9139A6BB}"/>
                </c:ext>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itchFamily="34" charset="0"/>
                      <a:ea typeface="+mn-ea"/>
                      <a:cs typeface="Arial" pitchFamily="34" charset="0"/>
                    </a:defRPr>
                  </a:pPr>
                  <a:endParaRPr lang="ru-RU"/>
                </a:p>
              </c:txPr>
              <c:dLblPos val="inEnd"/>
              <c:showLegendKey val="0"/>
              <c:showVal val="1"/>
              <c:showCatName val="0"/>
              <c:showSerName val="0"/>
              <c:showPercent val="0"/>
              <c:showBubbleSize val="0"/>
              <c:extLst>
                <c:ext xmlns:c16="http://schemas.microsoft.com/office/drawing/2014/chart" uri="{C3380CC4-5D6E-409C-BE32-E72D297353CC}">
                  <c16:uniqueId val="{00000003-E8AF-4CAE-A393-449D9139A6BB}"/>
                </c:ext>
              </c:extLst>
            </c:dLbl>
            <c:dLbl>
              <c:idx val="2"/>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itchFamily="34" charset="0"/>
                      <a:ea typeface="+mn-ea"/>
                      <a:cs typeface="Arial" pitchFamily="34" charset="0"/>
                    </a:defRPr>
                  </a:pPr>
                  <a:endParaRPr lang="ru-RU"/>
                </a:p>
              </c:txPr>
              <c:dLblPos val="inEnd"/>
              <c:showLegendKey val="0"/>
              <c:showVal val="1"/>
              <c:showCatName val="0"/>
              <c:showSerName val="0"/>
              <c:showPercent val="0"/>
              <c:showBubbleSize val="0"/>
              <c:extLst>
                <c:ext xmlns:c16="http://schemas.microsoft.com/office/drawing/2014/chart" uri="{C3380CC4-5D6E-409C-BE32-E72D297353CC}">
                  <c16:uniqueId val="{00000005-E8AF-4CAE-A393-449D9139A6B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itchFamily="34" charset="0"/>
                    <a:ea typeface="+mn-ea"/>
                    <a:cs typeface="Arial" pitchFamily="34" charset="0"/>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График_5!$I$2:$I$4</c:f>
              <c:strCache>
                <c:ptCount val="3"/>
                <c:pt idx="0">
                  <c:v>да</c:v>
                </c:pt>
                <c:pt idx="1">
                  <c:v>нет</c:v>
                </c:pt>
                <c:pt idx="2">
                  <c:v>нет информации</c:v>
                </c:pt>
              </c:strCache>
            </c:strRef>
          </c:cat>
          <c:val>
            <c:numRef>
              <c:f>График_5!$J$2:$J$4</c:f>
              <c:numCache>
                <c:formatCode>General</c:formatCode>
                <c:ptCount val="3"/>
                <c:pt idx="0">
                  <c:v>0.13636363636363635</c:v>
                </c:pt>
                <c:pt idx="1">
                  <c:v>0.5</c:v>
                </c:pt>
                <c:pt idx="2">
                  <c:v>0.36363636363636365</c:v>
                </c:pt>
              </c:numCache>
            </c:numRef>
          </c:val>
          <c:extLst>
            <c:ext xmlns:c16="http://schemas.microsoft.com/office/drawing/2014/chart" uri="{C3380CC4-5D6E-409C-BE32-E72D297353CC}">
              <c16:uniqueId val="{00000006-E8AF-4CAE-A393-449D9139A6B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ptos" panose="020B0004020202020204" pitchFamily="34"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График_6!$AR$67:$AY$67</c:f>
              <c:strCache>
                <c:ptCount val="8"/>
                <c:pt idx="0">
                  <c:v>1-ый</c:v>
                </c:pt>
                <c:pt idx="1">
                  <c:v>2-ой</c:v>
                </c:pt>
                <c:pt idx="2">
                  <c:v>3-ий</c:v>
                </c:pt>
                <c:pt idx="3">
                  <c:v>4-ый</c:v>
                </c:pt>
                <c:pt idx="4">
                  <c:v>5-ый</c:v>
                </c:pt>
                <c:pt idx="5">
                  <c:v>6-ой</c:v>
                </c:pt>
                <c:pt idx="6">
                  <c:v>7-ой</c:v>
                </c:pt>
                <c:pt idx="7">
                  <c:v>8-ой и далее</c:v>
                </c:pt>
              </c:strCache>
            </c:strRef>
          </c:cat>
          <c:val>
            <c:numRef>
              <c:f>График_6!$AR$68:$AY$68</c:f>
              <c:numCache>
                <c:formatCode>General</c:formatCode>
                <c:ptCount val="8"/>
                <c:pt idx="0">
                  <c:v>3.166944018550634E-2</c:v>
                </c:pt>
                <c:pt idx="1">
                  <c:v>6.1873074304259167E-2</c:v>
                </c:pt>
                <c:pt idx="2">
                  <c:v>6.3676792858756118E-2</c:v>
                </c:pt>
                <c:pt idx="3">
                  <c:v>5.9022388420535268E-2</c:v>
                </c:pt>
                <c:pt idx="4">
                  <c:v>5.3945949495385975E-2</c:v>
                </c:pt>
                <c:pt idx="5">
                  <c:v>6.2767957413011957E-2</c:v>
                </c:pt>
                <c:pt idx="6">
                  <c:v>5.9921894298646361E-2</c:v>
                </c:pt>
                <c:pt idx="7">
                  <c:v>0.6071225030238987</c:v>
                </c:pt>
              </c:numCache>
            </c:numRef>
          </c:val>
          <c:extLst>
            <c:ext xmlns:c16="http://schemas.microsoft.com/office/drawing/2014/chart" uri="{C3380CC4-5D6E-409C-BE32-E72D297353CC}">
              <c16:uniqueId val="{00000000-18DC-4853-90DB-8991833E8B73}"/>
            </c:ext>
          </c:extLst>
        </c:ser>
        <c:dLbls>
          <c:showLegendKey val="0"/>
          <c:showVal val="0"/>
          <c:showCatName val="0"/>
          <c:showSerName val="0"/>
          <c:showPercent val="0"/>
          <c:showBubbleSize val="0"/>
        </c:dLbls>
        <c:gapWidth val="219"/>
        <c:overlap val="-27"/>
        <c:axId val="165749760"/>
        <c:axId val="165205056"/>
      </c:barChart>
      <c:catAx>
        <c:axId val="1657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crossAx val="165205056"/>
        <c:crosses val="autoZero"/>
        <c:auto val="1"/>
        <c:lblAlgn val="ctr"/>
        <c:lblOffset val="100"/>
        <c:noMultiLvlLbl val="0"/>
      </c:catAx>
      <c:valAx>
        <c:axId val="165205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itchFamily="34" charset="0"/>
                <a:ea typeface="+mn-ea"/>
                <a:cs typeface="Arial" pitchFamily="34" charset="0"/>
              </a:defRPr>
            </a:pPr>
            <a:endParaRPr lang="ru-RU"/>
          </a:p>
        </c:txPr>
        <c:crossAx val="165749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ptos" panose="020B0004020202020204" pitchFamily="34"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График_6!$BM$83</c:f>
              <c:strCache>
                <c:ptCount val="1"/>
                <c:pt idx="0">
                  <c:v>1-ый</c:v>
                </c:pt>
              </c:strCache>
            </c:strRef>
          </c:tx>
          <c:spPr>
            <a:solidFill>
              <a:schemeClr val="accent1">
                <a:tint val="46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График_6!$BM$84:$BM$98</c:f>
              <c:numCache>
                <c:formatCode>0.0%</c:formatCode>
                <c:ptCount val="15"/>
                <c:pt idx="0">
                  <c:v>3.7911736798280436E-2</c:v>
                </c:pt>
                <c:pt idx="1">
                  <c:v>9.7140836825418908E-2</c:v>
                </c:pt>
                <c:pt idx="2">
                  <c:v>1.1400174082561785E-2</c:v>
                </c:pt>
                <c:pt idx="3">
                  <c:v>1.2334809601092258E-2</c:v>
                </c:pt>
                <c:pt idx="4">
                  <c:v>6.5423812483458182E-4</c:v>
                </c:pt>
                <c:pt idx="5">
                  <c:v>8.0546975919562839E-3</c:v>
                </c:pt>
                <c:pt idx="6">
                  <c:v>3.7899603461295797E-2</c:v>
                </c:pt>
                <c:pt idx="7">
                  <c:v>5.2472698763496285E-2</c:v>
                </c:pt>
                <c:pt idx="8">
                  <c:v>3.0545845995321261E-2</c:v>
                </c:pt>
                <c:pt idx="9">
                  <c:v>9.5009039178347132E-2</c:v>
                </c:pt>
                <c:pt idx="10">
                  <c:v>4.0045785094938467E-2</c:v>
                </c:pt>
                <c:pt idx="11">
                  <c:v>2.5620496397117692E-2</c:v>
                </c:pt>
                <c:pt idx="12">
                  <c:v>2.2028808103812532E-2</c:v>
                </c:pt>
                <c:pt idx="13">
                  <c:v>2.8317343173431736E-2</c:v>
                </c:pt>
                <c:pt idx="14">
                  <c:v>3.1739277307820273E-2</c:v>
                </c:pt>
              </c:numCache>
            </c:numRef>
          </c:val>
          <c:extLst>
            <c:ext xmlns:c16="http://schemas.microsoft.com/office/drawing/2014/chart" uri="{C3380CC4-5D6E-409C-BE32-E72D297353CC}">
              <c16:uniqueId val="{00000000-1557-6446-B01B-0EFFB8FE844D}"/>
            </c:ext>
          </c:extLst>
        </c:ser>
        <c:ser>
          <c:idx val="1"/>
          <c:order val="1"/>
          <c:tx>
            <c:strRef>
              <c:f>График_6!$BN$83</c:f>
              <c:strCache>
                <c:ptCount val="1"/>
                <c:pt idx="0">
                  <c:v>2-ой</c:v>
                </c:pt>
              </c:strCache>
            </c:strRef>
          </c:tx>
          <c:spPr>
            <a:solidFill>
              <a:schemeClr val="accent1">
                <a:tint val="62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График_6!$BN$84:$BN$98</c:f>
              <c:numCache>
                <c:formatCode>0.0%</c:formatCode>
                <c:ptCount val="15"/>
                <c:pt idx="0">
                  <c:v>3.685637381150636E-2</c:v>
                </c:pt>
                <c:pt idx="1">
                  <c:v>0.2792393339245246</c:v>
                </c:pt>
                <c:pt idx="2">
                  <c:v>1.2181116069213802E-2</c:v>
                </c:pt>
                <c:pt idx="3">
                  <c:v>2.0681835921149427E-2</c:v>
                </c:pt>
                <c:pt idx="4">
                  <c:v>2.9488754081267814E-2</c:v>
                </c:pt>
                <c:pt idx="5">
                  <c:v>6.2532968097064462E-2</c:v>
                </c:pt>
                <c:pt idx="6">
                  <c:v>4.5606037326289567E-2</c:v>
                </c:pt>
                <c:pt idx="7">
                  <c:v>0.33033724512158236</c:v>
                </c:pt>
                <c:pt idx="8">
                  <c:v>0.37501649287193783</c:v>
                </c:pt>
                <c:pt idx="9">
                  <c:v>4.9378729457730829E-2</c:v>
                </c:pt>
                <c:pt idx="10">
                  <c:v>0.10207861986643448</c:v>
                </c:pt>
                <c:pt idx="11">
                  <c:v>0.17443955164131306</c:v>
                </c:pt>
                <c:pt idx="12">
                  <c:v>4.7597655250973127E-2</c:v>
                </c:pt>
                <c:pt idx="13">
                  <c:v>0.14822878228782288</c:v>
                </c:pt>
                <c:pt idx="14">
                  <c:v>8.5248827959400517E-2</c:v>
                </c:pt>
              </c:numCache>
            </c:numRef>
          </c:val>
          <c:extLst>
            <c:ext xmlns:c16="http://schemas.microsoft.com/office/drawing/2014/chart" uri="{C3380CC4-5D6E-409C-BE32-E72D297353CC}">
              <c16:uniqueId val="{00000001-1557-6446-B01B-0EFFB8FE844D}"/>
            </c:ext>
          </c:extLst>
        </c:ser>
        <c:ser>
          <c:idx val="2"/>
          <c:order val="2"/>
          <c:tx>
            <c:strRef>
              <c:f>График_6!$BO$83</c:f>
              <c:strCache>
                <c:ptCount val="1"/>
                <c:pt idx="0">
                  <c:v>3-ий</c:v>
                </c:pt>
              </c:strCache>
            </c:strRef>
          </c:tx>
          <c:spPr>
            <a:solidFill>
              <a:schemeClr val="accent1">
                <a:tint val="77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График_6!$BO$84:$BO$98</c:f>
              <c:numCache>
                <c:formatCode>0.0%</c:formatCode>
                <c:ptCount val="15"/>
                <c:pt idx="0">
                  <c:v>3.9305977808330589E-2</c:v>
                </c:pt>
                <c:pt idx="1">
                  <c:v>0.30073087467325094</c:v>
                </c:pt>
                <c:pt idx="2">
                  <c:v>2.1667717097063305E-2</c:v>
                </c:pt>
                <c:pt idx="3">
                  <c:v>2.7074603759407314E-2</c:v>
                </c:pt>
                <c:pt idx="4">
                  <c:v>6.8650853471934212E-2</c:v>
                </c:pt>
                <c:pt idx="5">
                  <c:v>3.7678466966016656E-2</c:v>
                </c:pt>
                <c:pt idx="6">
                  <c:v>3.8742615978581023E-2</c:v>
                </c:pt>
                <c:pt idx="7">
                  <c:v>0.54576545320978587</c:v>
                </c:pt>
                <c:pt idx="8">
                  <c:v>2.7226328278311715E-2</c:v>
                </c:pt>
                <c:pt idx="9">
                  <c:v>8.4382966267552553E-2</c:v>
                </c:pt>
                <c:pt idx="10">
                  <c:v>0.1195098711331877</c:v>
                </c:pt>
                <c:pt idx="11">
                  <c:v>0.10578462770216172</c:v>
                </c:pt>
                <c:pt idx="12">
                  <c:v>1.3219139804235731E-2</c:v>
                </c:pt>
                <c:pt idx="13">
                  <c:v>0.17123985239852399</c:v>
                </c:pt>
                <c:pt idx="14">
                  <c:v>2.40376379980714E-2</c:v>
                </c:pt>
              </c:numCache>
            </c:numRef>
          </c:val>
          <c:extLst>
            <c:ext xmlns:c16="http://schemas.microsoft.com/office/drawing/2014/chart" uri="{C3380CC4-5D6E-409C-BE32-E72D297353CC}">
              <c16:uniqueId val="{00000002-1557-6446-B01B-0EFFB8FE844D}"/>
            </c:ext>
          </c:extLst>
        </c:ser>
        <c:ser>
          <c:idx val="3"/>
          <c:order val="3"/>
          <c:tx>
            <c:strRef>
              <c:f>График_6!$BP$83</c:f>
              <c:strCache>
                <c:ptCount val="1"/>
                <c:pt idx="0">
                  <c:v>4-ый</c:v>
                </c:pt>
              </c:strCache>
            </c:strRef>
          </c:tx>
          <c:spPr>
            <a:solidFill>
              <a:schemeClr val="accent1">
                <a:tint val="93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График_6!$BP$84:$BP$98</c:f>
              <c:numCache>
                <c:formatCode>0.0%</c:formatCode>
                <c:ptCount val="15"/>
                <c:pt idx="0">
                  <c:v>5.4782053019887297E-2</c:v>
                </c:pt>
                <c:pt idx="1">
                  <c:v>0.29532321353016522</c:v>
                </c:pt>
                <c:pt idx="2">
                  <c:v>3.2563832269442539E-2</c:v>
                </c:pt>
                <c:pt idx="3">
                  <c:v>2.9352903755727092E-2</c:v>
                </c:pt>
                <c:pt idx="4">
                  <c:v>8.7089845881170677E-2</c:v>
                </c:pt>
                <c:pt idx="5">
                  <c:v>3.90606812641381E-2</c:v>
                </c:pt>
                <c:pt idx="6">
                  <c:v>5.5190145702638471E-2</c:v>
                </c:pt>
                <c:pt idx="7">
                  <c:v>4.3212810746408705E-3</c:v>
                </c:pt>
                <c:pt idx="8">
                  <c:v>2.8315381409444184E-2</c:v>
                </c:pt>
                <c:pt idx="9">
                  <c:v>9.357005113454521E-2</c:v>
                </c:pt>
                <c:pt idx="10">
                  <c:v>0.12600962620524597</c:v>
                </c:pt>
                <c:pt idx="11">
                  <c:v>0.10268214571657326</c:v>
                </c:pt>
                <c:pt idx="12">
                  <c:v>2.3039563191803558E-2</c:v>
                </c:pt>
                <c:pt idx="13">
                  <c:v>0.21637269372693727</c:v>
                </c:pt>
                <c:pt idx="14">
                  <c:v>7.3786642517170306E-2</c:v>
                </c:pt>
              </c:numCache>
            </c:numRef>
          </c:val>
          <c:extLst>
            <c:ext xmlns:c16="http://schemas.microsoft.com/office/drawing/2014/chart" uri="{C3380CC4-5D6E-409C-BE32-E72D297353CC}">
              <c16:uniqueId val="{00000003-1557-6446-B01B-0EFFB8FE844D}"/>
            </c:ext>
          </c:extLst>
        </c:ser>
        <c:ser>
          <c:idx val="4"/>
          <c:order val="4"/>
          <c:tx>
            <c:strRef>
              <c:f>График_6!$BQ$83</c:f>
              <c:strCache>
                <c:ptCount val="1"/>
                <c:pt idx="0">
                  <c:v>5-ый</c:v>
                </c:pt>
              </c:strCache>
            </c:strRef>
          </c:tx>
          <c:spPr>
            <a:solidFill>
              <a:schemeClr val="accent1">
                <a:shade val="92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График_6!$BQ$84:$BQ$98</c:f>
              <c:numCache>
                <c:formatCode>0.0%</c:formatCode>
                <c:ptCount val="15"/>
                <c:pt idx="0">
                  <c:v>5.9820685114540771E-2</c:v>
                </c:pt>
                <c:pt idx="1">
                  <c:v>2.7565741046640353E-2</c:v>
                </c:pt>
                <c:pt idx="2">
                  <c:v>3.5477386288746429E-2</c:v>
                </c:pt>
                <c:pt idx="3">
                  <c:v>2.6748439039955482E-2</c:v>
                </c:pt>
                <c:pt idx="4">
                  <c:v>0.110052460289919</c:v>
                </c:pt>
                <c:pt idx="5">
                  <c:v>6.8118427593972805E-3</c:v>
                </c:pt>
                <c:pt idx="6">
                  <c:v>4.7243843515954717E-2</c:v>
                </c:pt>
                <c:pt idx="7">
                  <c:v>4.9386069424467091E-3</c:v>
                </c:pt>
                <c:pt idx="8">
                  <c:v>2.944841553241085E-2</c:v>
                </c:pt>
                <c:pt idx="9">
                  <c:v>9.3128398591534906E-2</c:v>
                </c:pt>
                <c:pt idx="10">
                  <c:v>0.13555116541562087</c:v>
                </c:pt>
                <c:pt idx="11">
                  <c:v>0.11228983186549239</c:v>
                </c:pt>
                <c:pt idx="12">
                  <c:v>1.7387187784372132E-2</c:v>
                </c:pt>
                <c:pt idx="13">
                  <c:v>0.17654981549815499</c:v>
                </c:pt>
                <c:pt idx="14">
                  <c:v>6.0776728698080366E-2</c:v>
                </c:pt>
              </c:numCache>
            </c:numRef>
          </c:val>
          <c:extLst>
            <c:ext xmlns:c16="http://schemas.microsoft.com/office/drawing/2014/chart" uri="{C3380CC4-5D6E-409C-BE32-E72D297353CC}">
              <c16:uniqueId val="{00000004-1557-6446-B01B-0EFFB8FE844D}"/>
            </c:ext>
          </c:extLst>
        </c:ser>
        <c:ser>
          <c:idx val="5"/>
          <c:order val="5"/>
          <c:tx>
            <c:strRef>
              <c:f>График_6!$BR$83</c:f>
              <c:strCache>
                <c:ptCount val="1"/>
                <c:pt idx="0">
                  <c:v>6-ой</c:v>
                </c:pt>
              </c:strCache>
            </c:strRef>
          </c:tx>
          <c:spPr>
            <a:solidFill>
              <a:schemeClr val="accent1">
                <a:shade val="76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График_6!$BR$84:$BR$98</c:f>
              <c:numCache>
                <c:formatCode>General</c:formatCode>
                <c:ptCount val="15"/>
                <c:pt idx="0" formatCode="0.0%">
                  <c:v>7.5513642260994177E-2</c:v>
                </c:pt>
                <c:pt idx="2" formatCode="0.0%">
                  <c:v>4.5251448913108422E-2</c:v>
                </c:pt>
                <c:pt idx="3" formatCode="0.0%">
                  <c:v>2.6718916380910243E-2</c:v>
                </c:pt>
                <c:pt idx="4" formatCode="0.0%">
                  <c:v>0.14195251649492152</c:v>
                </c:pt>
                <c:pt idx="5" formatCode="0.0%">
                  <c:v>1.4387467231558331E-2</c:v>
                </c:pt>
                <c:pt idx="6" formatCode="0.0%">
                  <c:v>4.9199158540292977E-2</c:v>
                </c:pt>
                <c:pt idx="7" formatCode="0.0%">
                  <c:v>6.1732586780583864E-3</c:v>
                </c:pt>
                <c:pt idx="8" formatCode="0.0%">
                  <c:v>3.062543064721171E-2</c:v>
                </c:pt>
                <c:pt idx="9" formatCode="0.0%">
                  <c:v>0.1080159706887862</c:v>
                </c:pt>
                <c:pt idx="10" formatCode="0.0%">
                  <c:v>0.1501011012809523</c:v>
                </c:pt>
                <c:pt idx="11" formatCode="0.0%">
                  <c:v>8.6369095276220983E-2</c:v>
                </c:pt>
                <c:pt idx="12" formatCode="0.0%">
                  <c:v>3.113976742895349E-2</c:v>
                </c:pt>
                <c:pt idx="13" formatCode="0.0%">
                  <c:v>1.8140221402214021E-2</c:v>
                </c:pt>
                <c:pt idx="14" formatCode="0.0%">
                  <c:v>5.4072244974906834E-2</c:v>
                </c:pt>
              </c:numCache>
            </c:numRef>
          </c:val>
          <c:extLst>
            <c:ext xmlns:c16="http://schemas.microsoft.com/office/drawing/2014/chart" uri="{C3380CC4-5D6E-409C-BE32-E72D297353CC}">
              <c16:uniqueId val="{00000005-1557-6446-B01B-0EFFB8FE844D}"/>
            </c:ext>
          </c:extLst>
        </c:ser>
        <c:ser>
          <c:idx val="6"/>
          <c:order val="6"/>
          <c:tx>
            <c:strRef>
              <c:f>График_6!$BS$83</c:f>
              <c:strCache>
                <c:ptCount val="1"/>
                <c:pt idx="0">
                  <c:v>7-ой</c:v>
                </c:pt>
              </c:strCache>
            </c:strRef>
          </c:tx>
          <c:spPr>
            <a:solidFill>
              <a:schemeClr val="accent1">
                <a:shade val="61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График_6!$BS$84:$BS$98</c:f>
              <c:numCache>
                <c:formatCode>General</c:formatCode>
                <c:ptCount val="15"/>
                <c:pt idx="0" formatCode="0.0%">
                  <c:v>5.3625994849054046E-2</c:v>
                </c:pt>
                <c:pt idx="2" formatCode="0.0%">
                  <c:v>3.9710835172078053E-2</c:v>
                </c:pt>
                <c:pt idx="3" formatCode="0.0%">
                  <c:v>2.4218387601777344E-2</c:v>
                </c:pt>
                <c:pt idx="4" formatCode="0.0%">
                  <c:v>0.14828947612225285</c:v>
                </c:pt>
                <c:pt idx="5" formatCode="0.0%">
                  <c:v>1.1461118110141895E-2</c:v>
                </c:pt>
                <c:pt idx="6" formatCode="0.0%">
                  <c:v>6.5390883205784955E-2</c:v>
                </c:pt>
                <c:pt idx="7" formatCode="0.0%">
                  <c:v>7.4079104136700637E-4</c:v>
                </c:pt>
                <c:pt idx="8" formatCode="0.0%">
                  <c:v>3.1850615419735738E-2</c:v>
                </c:pt>
                <c:pt idx="9" formatCode="0.0%">
                  <c:v>9.8690051208039128E-2</c:v>
                </c:pt>
                <c:pt idx="10" formatCode="0.0%">
                  <c:v>0.15286869238851</c:v>
                </c:pt>
                <c:pt idx="11" formatCode="0.0%">
                  <c:v>9.2073658927141713E-2</c:v>
                </c:pt>
                <c:pt idx="12" formatCode="0.0%">
                  <c:v>5.7894843923943055E-2</c:v>
                </c:pt>
                <c:pt idx="13" formatCode="0.0%">
                  <c:v>1.8583025830258303E-2</c:v>
                </c:pt>
                <c:pt idx="14" formatCode="0.0%">
                  <c:v>3.4634728766343735E-2</c:v>
                </c:pt>
              </c:numCache>
            </c:numRef>
          </c:val>
          <c:extLst>
            <c:ext xmlns:c16="http://schemas.microsoft.com/office/drawing/2014/chart" uri="{C3380CC4-5D6E-409C-BE32-E72D297353CC}">
              <c16:uniqueId val="{00000006-1557-6446-B01B-0EFFB8FE844D}"/>
            </c:ext>
          </c:extLst>
        </c:ser>
        <c:ser>
          <c:idx val="7"/>
          <c:order val="7"/>
          <c:tx>
            <c:strRef>
              <c:f>График_6!$BT$83</c:f>
              <c:strCache>
                <c:ptCount val="1"/>
                <c:pt idx="0">
                  <c:v>8-ой и далее</c:v>
                </c:pt>
              </c:strCache>
            </c:strRef>
          </c:tx>
          <c:spPr>
            <a:solidFill>
              <a:schemeClr val="accent1">
                <a:shade val="45000"/>
              </a:schemeClr>
            </a:solidFill>
            <a:ln>
              <a:noFill/>
            </a:ln>
            <a:effectLst/>
          </c:spPr>
          <c:invertIfNegative val="0"/>
          <c:cat>
            <c:strRef>
              <c:f>График_6!$BL$84:$BL$98</c:f>
              <c:strCache>
                <c:ptCount val="15"/>
                <c:pt idx="0">
                  <c:v>Ижевск, 2016</c:v>
                </c:pt>
                <c:pt idx="1">
                  <c:v>Ижевск, 2019</c:v>
                </c:pt>
                <c:pt idx="2">
                  <c:v>Кстово</c:v>
                </c:pt>
                <c:pt idx="3">
                  <c:v>Саратов</c:v>
                </c:pt>
                <c:pt idx="4">
                  <c:v>Нижняя Тура</c:v>
                </c:pt>
                <c:pt idx="5">
                  <c:v>Чебоксары</c:v>
                </c:pt>
                <c:pt idx="6">
                  <c:v>Новочебоксарск</c:v>
                </c:pt>
                <c:pt idx="7">
                  <c:v>Лысьва</c:v>
                </c:pt>
                <c:pt idx="8">
                  <c:v>Чайковский</c:v>
                </c:pt>
                <c:pt idx="9">
                  <c:v>Владимир</c:v>
                </c:pt>
                <c:pt idx="10">
                  <c:v>Первоуральск</c:v>
                </c:pt>
                <c:pt idx="11">
                  <c:v>Саранск</c:v>
                </c:pt>
                <c:pt idx="12">
                  <c:v>Березники, 2019</c:v>
                </c:pt>
                <c:pt idx="13">
                  <c:v>Березники, 2024</c:v>
                </c:pt>
                <c:pt idx="14">
                  <c:v>Пермь</c:v>
                </c:pt>
              </c:strCache>
            </c:strRef>
          </c:cat>
          <c:val>
            <c:numRef>
              <c:f>График_6!$BT$84:$BT$98</c:f>
              <c:numCache>
                <c:formatCode>General</c:formatCode>
                <c:ptCount val="15"/>
                <c:pt idx="0" formatCode="0.0%">
                  <c:v>0.64218353633740632</c:v>
                </c:pt>
                <c:pt idx="2" formatCode="0.0%">
                  <c:v>0.80174749010778579</c:v>
                </c:pt>
                <c:pt idx="3" formatCode="0.0%">
                  <c:v>0.83287010393998084</c:v>
                </c:pt>
                <c:pt idx="4" formatCode="0.0%">
                  <c:v>0.41382185553369932</c:v>
                </c:pt>
                <c:pt idx="5" formatCode="0.0%">
                  <c:v>0.82001275797972695</c:v>
                </c:pt>
                <c:pt idx="6" formatCode="0.0%">
                  <c:v>0.66072771226916249</c:v>
                </c:pt>
                <c:pt idx="7" formatCode="0.0%">
                  <c:v>5.5250665168622558E-2</c:v>
                </c:pt>
                <c:pt idx="8" formatCode="0.0%">
                  <c:v>0.44697148984562673</c:v>
                </c:pt>
                <c:pt idx="9" formatCode="0.0%">
                  <c:v>0.37782479347346404</c:v>
                </c:pt>
                <c:pt idx="10" formatCode="0.0%">
                  <c:v>0.17383513861511013</c:v>
                </c:pt>
                <c:pt idx="11" formatCode="0.0%">
                  <c:v>0.30074059247397916</c:v>
                </c:pt>
                <c:pt idx="12" formatCode="0.0%">
                  <c:v>0.78769303451190642</c:v>
                </c:pt>
                <c:pt idx="13" formatCode="0.0%">
                  <c:v>0.22256826568265684</c:v>
                </c:pt>
                <c:pt idx="14" formatCode="0.0%">
                  <c:v>0.63570391177820662</c:v>
                </c:pt>
              </c:numCache>
            </c:numRef>
          </c:val>
          <c:extLst>
            <c:ext xmlns:c16="http://schemas.microsoft.com/office/drawing/2014/chart" uri="{C3380CC4-5D6E-409C-BE32-E72D297353CC}">
              <c16:uniqueId val="{00000007-1557-6446-B01B-0EFFB8FE844D}"/>
            </c:ext>
          </c:extLst>
        </c:ser>
        <c:dLbls>
          <c:showLegendKey val="0"/>
          <c:showVal val="0"/>
          <c:showCatName val="0"/>
          <c:showSerName val="0"/>
          <c:showPercent val="0"/>
          <c:showBubbleSize val="0"/>
        </c:dLbls>
        <c:gapWidth val="219"/>
        <c:overlap val="-27"/>
        <c:axId val="165750784"/>
        <c:axId val="228043008"/>
      </c:barChart>
      <c:catAx>
        <c:axId val="16575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itchFamily="34" charset="0"/>
                <a:ea typeface="+mn-ea"/>
                <a:cs typeface="Arial" pitchFamily="34" charset="0"/>
              </a:defRPr>
            </a:pPr>
            <a:endParaRPr lang="ru-RU"/>
          </a:p>
        </c:txPr>
        <c:crossAx val="228043008"/>
        <c:crosses val="autoZero"/>
        <c:auto val="1"/>
        <c:lblAlgn val="ctr"/>
        <c:lblOffset val="100"/>
        <c:noMultiLvlLbl val="0"/>
      </c:catAx>
      <c:valAx>
        <c:axId val="228043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itchFamily="34" charset="0"/>
                <a:ea typeface="+mn-ea"/>
                <a:cs typeface="Arial" pitchFamily="34" charset="0"/>
              </a:defRPr>
            </a:pPr>
            <a:endParaRPr lang="ru-RU"/>
          </a:p>
        </c:txPr>
        <c:crossAx val="16575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itchFamily="34" charset="0"/>
              <a:ea typeface="+mn-ea"/>
              <a:cs typeface="Arial" pitchFamily="34"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800">
          <a:latin typeface="Aptos" panose="020B0004020202020204" pitchFamily="3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29B8-19BE-4B06-AA11-4429F35C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4067</Words>
  <Characters>23183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 Александр Максимович</dc:creator>
  <cp:lastModifiedBy>Гюрсой Надежда Юрьевна</cp:lastModifiedBy>
  <cp:revision>2</cp:revision>
  <cp:lastPrinted>2025-03-07T11:05:00Z</cp:lastPrinted>
  <dcterms:created xsi:type="dcterms:W3CDTF">2025-03-10T10:23:00Z</dcterms:created>
  <dcterms:modified xsi:type="dcterms:W3CDTF">2025-03-10T10:23:00Z</dcterms:modified>
</cp:coreProperties>
</file>