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A186E" w:rsidRDefault="00E33E37">
      <w:pPr>
        <w:spacing w:before="330"/>
        <w:ind w:left="163" w:right="161"/>
        <w:jc w:val="center"/>
        <w:rPr>
          <w:rFonts w:cstheme="minorBidi"/>
          <w:sz w:val="24"/>
          <w:szCs w:val="24"/>
        </w:rPr>
      </w:pPr>
      <w:r>
        <w:rPr>
          <w:b/>
          <w:bCs/>
          <w:color w:val="000000"/>
          <w:sz w:val="31"/>
          <w:szCs w:val="31"/>
        </w:rPr>
        <w:t>КАРТА ИТОГОВ КОНТРОЛЬНОГО МЕРОПРИЯТИЯ</w:t>
      </w:r>
      <w:bookmarkStart w:id="0" w:name="_GoBack"/>
      <w:bookmarkEnd w:id="0"/>
    </w:p>
    <w:p w:rsidR="00EA186E" w:rsidRDefault="00EA186E">
      <w:pPr>
        <w:ind w:left="163" w:right="161"/>
        <w:jc w:val="center"/>
        <w:rPr>
          <w:rFonts w:cstheme="minorBidi"/>
          <w:sz w:val="24"/>
          <w:szCs w:val="24"/>
        </w:rPr>
      </w:pPr>
    </w:p>
    <w:p w:rsidR="00EA186E" w:rsidRDefault="00E33E37">
      <w:pPr>
        <w:ind w:left="163" w:right="161"/>
        <w:jc w:val="center"/>
        <w:rPr>
          <w:rFonts w:cstheme="minorBidi"/>
          <w:sz w:val="24"/>
          <w:szCs w:val="24"/>
        </w:rPr>
      </w:pPr>
      <w:r>
        <w:rPr>
          <w:color w:val="000000"/>
          <w:sz w:val="28"/>
          <w:szCs w:val="28"/>
        </w:rPr>
        <w:t>План работы на 2025 год пункт 3.14.0.2, сроки проведения 29 марта 2024 – 30 мая 2025, проверяемый период 1 Января 2021 – 31 Декабря 2023, контрольное мероприятие «Проверка использования в 2021–2023 годах средств федерального бюджета, выделенных на оказание универсальных услуг связи (в части услуг по передаче данных и предоставлению доступа к информационно-телекоммуникационной сети «Интернет», оказываемых с использованием точек доступа, и услуг подвижной радиотелефонной связи, оказываемых с использованием точек доступа)»</w:t>
      </w:r>
    </w:p>
    <w:tbl>
      <w:tblPr>
        <w:tblW w:w="0" w:type="auto"/>
        <w:tblCellMar>
          <w:left w:w="0" w:type="dxa"/>
          <w:right w:w="0" w:type="dxa"/>
        </w:tblCellMar>
        <w:tblLook w:val="04A0" w:firstRow="1" w:lastRow="0" w:firstColumn="1" w:lastColumn="0" w:noHBand="0" w:noVBand="1"/>
      </w:tblPr>
      <w:tblGrid>
        <w:gridCol w:w="29"/>
        <w:gridCol w:w="150"/>
        <w:gridCol w:w="1305"/>
        <w:gridCol w:w="555"/>
        <w:gridCol w:w="450"/>
        <w:gridCol w:w="1590"/>
        <w:gridCol w:w="1815"/>
        <w:gridCol w:w="450"/>
        <w:gridCol w:w="2265"/>
        <w:gridCol w:w="30"/>
        <w:gridCol w:w="3555"/>
        <w:gridCol w:w="1245"/>
        <w:gridCol w:w="1515"/>
        <w:gridCol w:w="150"/>
        <w:gridCol w:w="15"/>
        <w:gridCol w:w="15"/>
      </w:tblGrid>
      <w:tr w:rsidR="00EA186E" w:rsidTr="003068DB">
        <w:trPr>
          <w:trHeight w:hRule="exact" w:val="150"/>
        </w:trPr>
        <w:tc>
          <w:tcPr>
            <w:tcW w:w="2039" w:type="dxa"/>
            <w:gridSpan w:val="4"/>
            <w:tcBorders>
              <w:top w:val="nil"/>
              <w:left w:val="nil"/>
              <w:bottom w:val="nil"/>
              <w:right w:val="nil"/>
            </w:tcBorders>
          </w:tcPr>
          <w:p w:rsidR="00EA186E" w:rsidRDefault="00EA186E">
            <w:pPr>
              <w:rPr>
                <w:rFonts w:cstheme="minorBidi"/>
                <w:sz w:val="1"/>
                <w:szCs w:val="1"/>
              </w:rPr>
            </w:pPr>
          </w:p>
        </w:tc>
        <w:tc>
          <w:tcPr>
            <w:tcW w:w="2040" w:type="dxa"/>
            <w:gridSpan w:val="2"/>
            <w:tcBorders>
              <w:top w:val="nil"/>
              <w:left w:val="nil"/>
              <w:bottom w:val="nil"/>
              <w:right w:val="nil"/>
            </w:tcBorders>
          </w:tcPr>
          <w:p w:rsidR="00EA186E" w:rsidRDefault="00EA186E">
            <w:pPr>
              <w:rPr>
                <w:rFonts w:cstheme="minorBidi"/>
                <w:sz w:val="1"/>
                <w:szCs w:val="1"/>
              </w:rPr>
            </w:pPr>
          </w:p>
        </w:tc>
        <w:tc>
          <w:tcPr>
            <w:tcW w:w="2265" w:type="dxa"/>
            <w:gridSpan w:val="2"/>
            <w:tcBorders>
              <w:top w:val="nil"/>
              <w:left w:val="nil"/>
              <w:bottom w:val="nil"/>
              <w:right w:val="nil"/>
            </w:tcBorders>
          </w:tcPr>
          <w:p w:rsidR="00EA186E" w:rsidRDefault="00EA186E">
            <w:pPr>
              <w:rPr>
                <w:rFonts w:cstheme="minorBidi"/>
                <w:sz w:val="1"/>
                <w:szCs w:val="1"/>
              </w:rPr>
            </w:pPr>
          </w:p>
        </w:tc>
        <w:tc>
          <w:tcPr>
            <w:tcW w:w="2265" w:type="dxa"/>
            <w:tcBorders>
              <w:top w:val="nil"/>
              <w:left w:val="nil"/>
              <w:bottom w:val="nil"/>
              <w:right w:val="nil"/>
            </w:tcBorders>
          </w:tcPr>
          <w:p w:rsidR="00EA186E" w:rsidRDefault="00EA186E">
            <w:pPr>
              <w:rPr>
                <w:rFonts w:cstheme="minorBidi"/>
                <w:sz w:val="1"/>
                <w:szCs w:val="1"/>
              </w:rPr>
            </w:pPr>
          </w:p>
        </w:tc>
        <w:tc>
          <w:tcPr>
            <w:tcW w:w="3585" w:type="dxa"/>
            <w:gridSpan w:val="2"/>
            <w:tcBorders>
              <w:top w:val="nil"/>
              <w:left w:val="nil"/>
              <w:bottom w:val="nil"/>
              <w:right w:val="nil"/>
            </w:tcBorders>
          </w:tcPr>
          <w:p w:rsidR="00EA186E" w:rsidRDefault="00EA186E">
            <w:pPr>
              <w:rPr>
                <w:rFonts w:cstheme="minorBidi"/>
                <w:sz w:val="1"/>
                <w:szCs w:val="1"/>
              </w:rPr>
            </w:pPr>
          </w:p>
        </w:tc>
        <w:tc>
          <w:tcPr>
            <w:tcW w:w="1245" w:type="dxa"/>
            <w:tcBorders>
              <w:top w:val="nil"/>
              <w:left w:val="nil"/>
              <w:bottom w:val="nil"/>
              <w:right w:val="nil"/>
            </w:tcBorders>
          </w:tcPr>
          <w:p w:rsidR="00EA186E" w:rsidRDefault="00EA186E">
            <w:pPr>
              <w:rPr>
                <w:rFonts w:cstheme="minorBidi"/>
                <w:sz w:val="1"/>
                <w:szCs w:val="1"/>
              </w:rPr>
            </w:pPr>
          </w:p>
        </w:tc>
        <w:tc>
          <w:tcPr>
            <w:tcW w:w="1695" w:type="dxa"/>
            <w:gridSpan w:val="4"/>
            <w:tcBorders>
              <w:top w:val="nil"/>
              <w:left w:val="nil"/>
              <w:bottom w:val="nil"/>
              <w:right w:val="nil"/>
            </w:tcBorders>
          </w:tcPr>
          <w:p w:rsidR="00EA186E" w:rsidRDefault="00EA186E">
            <w:pPr>
              <w:rPr>
                <w:rFonts w:cstheme="minorBidi"/>
                <w:sz w:val="1"/>
                <w:szCs w:val="1"/>
              </w:rPr>
            </w:pPr>
          </w:p>
        </w:tc>
      </w:tr>
      <w:tr w:rsidR="00EA186E" w:rsidTr="003068DB">
        <w:tc>
          <w:tcPr>
            <w:tcW w:w="2039" w:type="dxa"/>
            <w:gridSpan w:val="4"/>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color w:val="000000"/>
                <w:sz w:val="19"/>
                <w:szCs w:val="19"/>
              </w:rPr>
            </w:pPr>
            <w:r>
              <w:rPr>
                <w:color w:val="000000"/>
                <w:sz w:val="19"/>
                <w:szCs w:val="19"/>
              </w:rPr>
              <w:t>Объект контроля</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rsidR="00EA186E" w:rsidRDefault="00E33E37">
            <w:pPr>
              <w:spacing w:after="160" w:line="258" w:lineRule="auto"/>
              <w:jc w:val="center"/>
              <w:rPr>
                <w:rFonts w:cstheme="minorBidi"/>
                <w:color w:val="000000"/>
              </w:rPr>
            </w:pPr>
            <w:r>
              <w:rPr>
                <w:rFonts w:cstheme="minorBidi"/>
                <w:color w:val="000000"/>
              </w:rPr>
              <w:t>Главный распорядитель бюджетных средств</w:t>
            </w:r>
            <w:r>
              <w:rPr>
                <w:rFonts w:cstheme="minorBidi"/>
                <w:b/>
                <w:bCs/>
                <w:color w:val="000000"/>
                <w:vertAlign w:val="superscript"/>
                <w:lang w:val="en-US" w:eastAsia="en-US"/>
              </w:rPr>
              <w:t>1</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color w:val="000000"/>
                <w:sz w:val="19"/>
                <w:szCs w:val="19"/>
              </w:rPr>
            </w:pPr>
            <w:r>
              <w:rPr>
                <w:color w:val="000000"/>
                <w:sz w:val="19"/>
                <w:szCs w:val="19"/>
              </w:rPr>
              <w:t>Положения и реквизиты нормативных правовых актов, являющиеся правовым основанием квалификации нарушения</w:t>
            </w:r>
          </w:p>
        </w:tc>
        <w:tc>
          <w:tcPr>
            <w:tcW w:w="2265" w:type="dxa"/>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color w:val="000000"/>
                <w:sz w:val="19"/>
                <w:szCs w:val="19"/>
              </w:rPr>
            </w:pPr>
            <w:r>
              <w:rPr>
                <w:color w:val="000000"/>
                <w:sz w:val="19"/>
                <w:szCs w:val="19"/>
              </w:rPr>
              <w:t>Код и наименование нарушения в соответствии с Классификатором нарушений, выявленных в ходе внешнего государственного аудита (контроля)</w:t>
            </w:r>
          </w:p>
        </w:tc>
        <w:tc>
          <w:tcPr>
            <w:tcW w:w="3585" w:type="dxa"/>
            <w:gridSpan w:val="2"/>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color w:val="000000"/>
                <w:sz w:val="19"/>
                <w:szCs w:val="19"/>
              </w:rPr>
            </w:pPr>
            <w:r>
              <w:rPr>
                <w:color w:val="000000"/>
                <w:sz w:val="19"/>
                <w:szCs w:val="19"/>
              </w:rPr>
              <w:t>Краткое описание факта нарушения / факта неэффективного использования федеральных и иных ресурсов (на основе отчёта о  результатах контрольного мероприятия)</w:t>
            </w:r>
          </w:p>
        </w:tc>
        <w:tc>
          <w:tcPr>
            <w:tcW w:w="1245" w:type="dxa"/>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color w:val="000000"/>
                <w:sz w:val="19"/>
                <w:szCs w:val="19"/>
              </w:rPr>
            </w:pPr>
            <w:r>
              <w:rPr>
                <w:color w:val="000000"/>
                <w:sz w:val="19"/>
                <w:szCs w:val="19"/>
              </w:rPr>
              <w:t>Сумма</w:t>
            </w:r>
            <w:r>
              <w:rPr>
                <w:color w:val="000000"/>
                <w:sz w:val="19"/>
                <w:szCs w:val="19"/>
              </w:rPr>
              <w:br/>
              <w:t>(тыс. рублей)</w:t>
            </w:r>
          </w:p>
        </w:tc>
        <w:tc>
          <w:tcPr>
            <w:tcW w:w="1695" w:type="dxa"/>
            <w:gridSpan w:val="4"/>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color w:val="000000"/>
                <w:sz w:val="19"/>
                <w:szCs w:val="19"/>
              </w:rPr>
            </w:pPr>
            <w:r>
              <w:rPr>
                <w:color w:val="000000"/>
                <w:sz w:val="19"/>
                <w:szCs w:val="19"/>
              </w:rPr>
              <w:t>Реквизиты протокола об административной ответственности</w:t>
            </w:r>
          </w:p>
        </w:tc>
      </w:tr>
      <w:tr w:rsidR="00EA186E" w:rsidTr="003068DB">
        <w:trPr>
          <w:trHeight w:val="315"/>
        </w:trPr>
        <w:tc>
          <w:tcPr>
            <w:tcW w:w="2039" w:type="dxa"/>
            <w:gridSpan w:val="4"/>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color w:val="000000"/>
                <w:sz w:val="19"/>
                <w:szCs w:val="19"/>
              </w:rPr>
            </w:pPr>
            <w:r>
              <w:rPr>
                <w:color w:val="000000"/>
                <w:sz w:val="19"/>
                <w:szCs w:val="19"/>
              </w:rPr>
              <w:t>1</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color w:val="000000"/>
                <w:sz w:val="19"/>
                <w:szCs w:val="19"/>
              </w:rPr>
            </w:pPr>
            <w:r>
              <w:rPr>
                <w:color w:val="000000"/>
                <w:sz w:val="19"/>
                <w:szCs w:val="19"/>
              </w:rPr>
              <w:t>2</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color w:val="000000"/>
                <w:sz w:val="19"/>
                <w:szCs w:val="19"/>
              </w:rPr>
            </w:pPr>
            <w:r>
              <w:rPr>
                <w:color w:val="000000"/>
                <w:sz w:val="19"/>
                <w:szCs w:val="19"/>
              </w:rPr>
              <w:t>3</w:t>
            </w:r>
          </w:p>
        </w:tc>
        <w:tc>
          <w:tcPr>
            <w:tcW w:w="2265" w:type="dxa"/>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color w:val="000000"/>
                <w:sz w:val="19"/>
                <w:szCs w:val="19"/>
              </w:rPr>
            </w:pPr>
            <w:r>
              <w:rPr>
                <w:color w:val="000000"/>
                <w:sz w:val="19"/>
                <w:szCs w:val="19"/>
              </w:rPr>
              <w:t>4</w:t>
            </w:r>
          </w:p>
        </w:tc>
        <w:tc>
          <w:tcPr>
            <w:tcW w:w="3585" w:type="dxa"/>
            <w:gridSpan w:val="2"/>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color w:val="000000"/>
                <w:sz w:val="19"/>
                <w:szCs w:val="19"/>
              </w:rPr>
            </w:pPr>
            <w:r>
              <w:rPr>
                <w:color w:val="000000"/>
                <w:sz w:val="19"/>
                <w:szCs w:val="19"/>
              </w:rPr>
              <w:t>5</w:t>
            </w:r>
          </w:p>
        </w:tc>
        <w:tc>
          <w:tcPr>
            <w:tcW w:w="1245" w:type="dxa"/>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color w:val="000000"/>
                <w:sz w:val="19"/>
                <w:szCs w:val="19"/>
              </w:rPr>
            </w:pPr>
            <w:r>
              <w:rPr>
                <w:color w:val="000000"/>
                <w:sz w:val="19"/>
                <w:szCs w:val="19"/>
              </w:rPr>
              <w:t>6</w:t>
            </w:r>
          </w:p>
        </w:tc>
        <w:tc>
          <w:tcPr>
            <w:tcW w:w="1695" w:type="dxa"/>
            <w:gridSpan w:val="4"/>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color w:val="000000"/>
                <w:sz w:val="19"/>
                <w:szCs w:val="19"/>
              </w:rPr>
            </w:pPr>
            <w:r>
              <w:rPr>
                <w:color w:val="000000"/>
                <w:sz w:val="19"/>
                <w:szCs w:val="19"/>
              </w:rPr>
              <w:t>7</w:t>
            </w:r>
          </w:p>
        </w:tc>
      </w:tr>
      <w:tr w:rsidR="00EA186E" w:rsidTr="003068DB">
        <w:trPr>
          <w:trHeight w:val="345"/>
        </w:trPr>
        <w:tc>
          <w:tcPr>
            <w:tcW w:w="15134" w:type="dxa"/>
            <w:gridSpan w:val="16"/>
            <w:tcBorders>
              <w:top w:val="single" w:sz="6" w:space="0" w:color="000000"/>
              <w:left w:val="single" w:sz="6" w:space="0" w:color="000000"/>
              <w:bottom w:val="single" w:sz="6" w:space="0" w:color="000000"/>
              <w:right w:val="single" w:sz="6" w:space="0" w:color="000000"/>
            </w:tcBorders>
            <w:vAlign w:val="center"/>
          </w:tcPr>
          <w:p w:rsidR="00EA186E" w:rsidRDefault="00E33E37">
            <w:pPr>
              <w:rPr>
                <w:b/>
                <w:bCs/>
                <w:color w:val="000000"/>
                <w:sz w:val="19"/>
                <w:szCs w:val="19"/>
              </w:rPr>
            </w:pPr>
            <w:r>
              <w:rPr>
                <w:b/>
                <w:bCs/>
                <w:color w:val="000000"/>
                <w:sz w:val="19"/>
                <w:szCs w:val="19"/>
              </w:rPr>
              <w:t>1. Нарушения согласно Классификатору нарушений, выявленных в ходе внешнего государственного аудита (контроля)</w:t>
            </w:r>
          </w:p>
        </w:tc>
      </w:tr>
      <w:tr w:rsidR="00EA186E" w:rsidTr="003068DB">
        <w:tc>
          <w:tcPr>
            <w:tcW w:w="2039" w:type="dxa"/>
            <w:gridSpan w:val="4"/>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МИНИСТЕРСТВО ЦИФРОВОГО РАЗВИТИЯ, СВЯЗИ И МАССОВЫХ КОММУНИКАЦИЙ РОССИЙСКОЙ ФЕДЕРАЦИИ</w:t>
            </w:r>
          </w:p>
        </w:tc>
        <w:tc>
          <w:tcPr>
            <w:tcW w:w="2040"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МИНИСТЕРСТВО ЦИФРОВОГО РАЗВИТИЯ, СВЯЗИ И МАССОВЫХ КОММУНИКАЦИЙ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Федеральный закон от 07.07.2003 № 126-ФЗ "О связи", /пункт 2 Статьи 58</w:t>
            </w:r>
          </w:p>
        </w:tc>
        <w:tc>
          <w:tcPr>
            <w:tcW w:w="226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w:t>
            </w:r>
            <w:r>
              <w:rPr>
                <w:color w:val="000000"/>
                <w:sz w:val="19"/>
                <w:szCs w:val="19"/>
              </w:rPr>
              <w:lastRenderedPageBreak/>
              <w:t>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58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 xml:space="preserve">2507665883. В нарушение пункта 4.3 договора об условиях оказания универсальных услуг связи от 13 мая 2014 г. № УУС-01/2014 (далее – Договор) , заключенного между </w:t>
            </w:r>
            <w:proofErr w:type="spellStart"/>
            <w:r>
              <w:rPr>
                <w:color w:val="000000"/>
                <w:sz w:val="19"/>
                <w:szCs w:val="19"/>
              </w:rPr>
              <w:t>Минцифры</w:t>
            </w:r>
            <w:proofErr w:type="spellEnd"/>
            <w:r>
              <w:rPr>
                <w:color w:val="000000"/>
                <w:sz w:val="19"/>
                <w:szCs w:val="19"/>
              </w:rPr>
              <w:t xml:space="preserve"> России и ПАО «Ростелеком» (оператор универсального обслуживания), согласно которому пеня начисляется за каждый день просрочки исполнения оператором универсального обслуживания обязательства по выполнению организационно-технических мероприятий, необходимых для подготовки сети связи к началу оказания, оказанию универсальных услуг связи (далее – организационно-технические мероприятия) и (или) оказанию универсальных услуг связи (далее также – УУС), предусмотренного Договором, начиная со дня, следующего после дня истечения установленного Договором срока исполнения </w:t>
            </w:r>
            <w:r>
              <w:rPr>
                <w:color w:val="000000"/>
                <w:sz w:val="19"/>
                <w:szCs w:val="19"/>
              </w:rPr>
              <w:lastRenderedPageBreak/>
              <w:t xml:space="preserve">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размера финансового обеспечения за отчетный квартал, уменьшенного на сумму, пропорциональную объему обязательств, предусмотренных Договором за соответствующий отчетный квартал и фактически исполненных оператором универсального обслуживания, </w:t>
            </w:r>
            <w:proofErr w:type="spellStart"/>
            <w:r>
              <w:rPr>
                <w:color w:val="000000"/>
                <w:sz w:val="19"/>
                <w:szCs w:val="19"/>
              </w:rPr>
              <w:t>Минцифры</w:t>
            </w:r>
            <w:proofErr w:type="spellEnd"/>
            <w:r>
              <w:rPr>
                <w:color w:val="000000"/>
                <w:sz w:val="19"/>
                <w:szCs w:val="19"/>
              </w:rPr>
              <w:t xml:space="preserve"> России, руководствуясь пунктом 3 приложения № 5 к Договору , не начислило и не предъявило требование об уплате неустойки (пени) за несвоевременное исполнение обязательств ПАО «Ростелеком» по выполнению организационно-технических мероприятий, предусмотренных пунктом 2.1.1 Договора, что привело к </w:t>
            </w:r>
            <w:proofErr w:type="spellStart"/>
            <w:r>
              <w:rPr>
                <w:color w:val="000000"/>
                <w:sz w:val="19"/>
                <w:szCs w:val="19"/>
              </w:rPr>
              <w:t>недопоступлению</w:t>
            </w:r>
            <w:proofErr w:type="spellEnd"/>
            <w:r>
              <w:rPr>
                <w:color w:val="000000"/>
                <w:sz w:val="19"/>
                <w:szCs w:val="19"/>
              </w:rPr>
              <w:t xml:space="preserve"> дохода в федеральный бюджет в размере 51 736 818,81 рублей (</w:t>
            </w:r>
            <w:proofErr w:type="spellStart"/>
            <w:r>
              <w:rPr>
                <w:color w:val="000000"/>
                <w:sz w:val="19"/>
                <w:szCs w:val="19"/>
              </w:rPr>
              <w:t>расчетно</w:t>
            </w:r>
            <w:proofErr w:type="spellEnd"/>
            <w:r>
              <w:rPr>
                <w:color w:val="000000"/>
                <w:sz w:val="19"/>
                <w:szCs w:val="19"/>
              </w:rPr>
              <w:t xml:space="preserve"> ).</w:t>
            </w:r>
            <w:r>
              <w:rPr>
                <w:color w:val="000000"/>
                <w:sz w:val="19"/>
                <w:szCs w:val="19"/>
              </w:rPr>
              <w:br/>
              <w:t xml:space="preserve">Так, в нарушение пункта 2.1.1 Договора, согласно которому оператор универсального обслуживания обязан выполнить организационно-технические мероприятия, необходимые для подготовки сети связи к началу оказания и оказанию УУС по передаче данных и предоставлению доступа к информационно-телекоммуникационной сети «Интернет» (далее – сеть «Интернет»), оказываемых с использованием точек доступа, и приступить к оказанию данных услуг в 846 населенных пунктах, перечень которых определен в таблице 1.6 приложения № 2 к Договору, не позднее 31 декабря 2021 года, ПАО «Ростелеком» выполнило обязательства по 285 (из 846) точкам доступа, используемым для оказания УУС по передаче данных и предоставлению доступа к сети </w:t>
            </w:r>
            <w:r>
              <w:rPr>
                <w:color w:val="000000"/>
                <w:sz w:val="19"/>
                <w:szCs w:val="19"/>
              </w:rPr>
              <w:lastRenderedPageBreak/>
              <w:t>«Интернет», в Московской области 31 июля 2022 года, то есть позднее установленного срока на 7 месяцев.</w:t>
            </w:r>
            <w:r>
              <w:rPr>
                <w:color w:val="000000"/>
                <w:sz w:val="19"/>
                <w:szCs w:val="19"/>
              </w:rPr>
              <w:br/>
              <w:t>При этом пунктом 3 приложения № 5 к Договору установлены условия освобождения оператора универсального обслуживания от ответственности за неоказание УУС по передаче данных и предоставлению доступа к сети «Интернет», оказываемых с использованием точек доступа. Условия освобождения оператора универсального обслуживания от ответственности за невыполнение и (или) ненадлежащее выполнение организационно-технических мероприятий в части УУС по передаче данных и предоставлению доступа к сети «Интернет» Договором, в том числе приложением № 5, не установлены.</w:t>
            </w:r>
          </w:p>
        </w:tc>
        <w:tc>
          <w:tcPr>
            <w:tcW w:w="124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51 736,82</w:t>
            </w:r>
          </w:p>
        </w:tc>
        <w:tc>
          <w:tcPr>
            <w:tcW w:w="1695" w:type="dxa"/>
            <w:gridSpan w:val="4"/>
            <w:tcBorders>
              <w:top w:val="single" w:sz="6" w:space="0" w:color="000000"/>
              <w:left w:val="single" w:sz="6" w:space="0" w:color="000000"/>
              <w:bottom w:val="single" w:sz="6" w:space="0" w:color="000000"/>
              <w:right w:val="single" w:sz="6" w:space="0" w:color="000000"/>
            </w:tcBorders>
          </w:tcPr>
          <w:p w:rsidR="00EA186E" w:rsidRDefault="00EA186E">
            <w:pPr>
              <w:jc w:val="center"/>
              <w:rPr>
                <w:color w:val="000000"/>
                <w:sz w:val="19"/>
                <w:szCs w:val="19"/>
              </w:rPr>
            </w:pPr>
          </w:p>
        </w:tc>
      </w:tr>
      <w:tr w:rsidR="00EA186E" w:rsidTr="003068DB">
        <w:tc>
          <w:tcPr>
            <w:tcW w:w="2039" w:type="dxa"/>
            <w:gridSpan w:val="4"/>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МИНИСТЕРСТВО ЦИФРОВОГО РАЗВИТИЯ, СВЯЗИ И МАССОВЫХ КОММУНИКАЦИЙ РОССИЙСКОЙ ФЕДЕРАЦИИ</w:t>
            </w:r>
          </w:p>
        </w:tc>
        <w:tc>
          <w:tcPr>
            <w:tcW w:w="2040"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МИНИСТЕРСТВО ЦИФРОВОГО РАЗВИТИЯ, СВЯЗИ И МАССОВЫХ КОММУНИКАЦИЙ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Федеральный закон от 07.07.2003 № 126-ФЗ "О связи", /пункт 2 Статьи 58</w:t>
            </w:r>
          </w:p>
        </w:tc>
        <w:tc>
          <w:tcPr>
            <w:tcW w:w="226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w:t>
            </w:r>
            <w:r>
              <w:rPr>
                <w:color w:val="000000"/>
                <w:sz w:val="19"/>
                <w:szCs w:val="19"/>
              </w:rPr>
              <w:lastRenderedPageBreak/>
              <w:t>правовыми компаниями (за исключением нарушений, указанных в иных пунктах классификатора)</w:t>
            </w:r>
          </w:p>
        </w:tc>
        <w:tc>
          <w:tcPr>
            <w:tcW w:w="358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 xml:space="preserve">2594744215. В нарушение абзаца третьего пункта 2 статьи 58 Федерального закона от 7 июля 2003 г. № 126-ФЗ «О связи»  (далее – Закон о связи), согласно которому стороны могут вносить изменения в Договор в течение трех месяцев после дня вступления в силу федерального закона о федеральном бюджете на очередной финансовый год и на плановый период, </w:t>
            </w:r>
            <w:proofErr w:type="spellStart"/>
            <w:r>
              <w:rPr>
                <w:color w:val="000000"/>
                <w:sz w:val="19"/>
                <w:szCs w:val="19"/>
              </w:rPr>
              <w:t>Минцифры</w:t>
            </w:r>
            <w:proofErr w:type="spellEnd"/>
            <w:r>
              <w:rPr>
                <w:color w:val="000000"/>
                <w:sz w:val="19"/>
                <w:szCs w:val="19"/>
              </w:rPr>
              <w:t xml:space="preserve"> России в 2021–2023 годах заключило 11 дополнительных соглашений к Договору за пределами установленного срока.</w:t>
            </w:r>
          </w:p>
        </w:tc>
        <w:tc>
          <w:tcPr>
            <w:tcW w:w="124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EA186E" w:rsidRDefault="00EA186E">
            <w:pPr>
              <w:jc w:val="center"/>
              <w:rPr>
                <w:color w:val="000000"/>
                <w:sz w:val="19"/>
                <w:szCs w:val="19"/>
              </w:rPr>
            </w:pPr>
          </w:p>
        </w:tc>
      </w:tr>
      <w:tr w:rsidR="00EA186E" w:rsidTr="003068DB">
        <w:tc>
          <w:tcPr>
            <w:tcW w:w="2039" w:type="dxa"/>
            <w:gridSpan w:val="4"/>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МИНИСТЕРСТВО ЦИФРОВОГО РАЗВИТИЯ, СВЯЗИ И МАССОВЫХ КОММУНИКАЦИЙ РОССИЙСКОЙ ФЕДЕРАЦИИ</w:t>
            </w:r>
          </w:p>
        </w:tc>
        <w:tc>
          <w:tcPr>
            <w:tcW w:w="2040"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МИНИСТЕРСТВО ЦИФРОВОГО РАЗВИТИЯ, СВЯЗИ И МАССОВЫХ КОММУНИКАЦИЙ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Федеральный закон от 07.07.2003 № 126-ФЗ "О связи", /пункт 3 Статьи 57</w:t>
            </w:r>
          </w:p>
        </w:tc>
        <w:tc>
          <w:tcPr>
            <w:tcW w:w="226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58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 xml:space="preserve">2546274450. В нарушение пункта 3 статьи 57 Закона о связи , согласно которому федеральный орган исполнительной власти в области связи в соответствии с принципами, установленными пунктом 2 указанной статьи, определяет перечень населенных пунктов с населением от ста до пятисот человек, в которых должны быть установлены точки доступа, в том числе точки доступа, которые должны быть оборудованы средствами связи, используемыми для оказания услуг подвижной радиотелефонной связи, </w:t>
            </w:r>
            <w:proofErr w:type="spellStart"/>
            <w:r>
              <w:rPr>
                <w:color w:val="000000"/>
                <w:sz w:val="19"/>
                <w:szCs w:val="19"/>
              </w:rPr>
              <w:t>Минцифры</w:t>
            </w:r>
            <w:proofErr w:type="spellEnd"/>
            <w:r>
              <w:rPr>
                <w:color w:val="000000"/>
                <w:sz w:val="19"/>
                <w:szCs w:val="19"/>
              </w:rPr>
              <w:t xml:space="preserve"> России при определении указанных перечней не соблюдены следующие принципы, установленные пунктом 2 статьи 57 Закона о связи:</w:t>
            </w:r>
            <w:r>
              <w:rPr>
                <w:color w:val="000000"/>
                <w:sz w:val="19"/>
                <w:szCs w:val="19"/>
              </w:rPr>
              <w:br/>
              <w:t>в населенных пунктах с населением от ста до пятисот человек, в которых не оказываются услуги по передаче данных и предоставлению доступа к сети «Интернет», должна быть установлена не менее чем одна точка доступа для оказания услуг по передаче данных и предоставлению доступа к сети «Интернет»;</w:t>
            </w:r>
            <w:r>
              <w:rPr>
                <w:color w:val="000000"/>
                <w:sz w:val="19"/>
                <w:szCs w:val="19"/>
              </w:rPr>
              <w:br/>
              <w:t>в населенных пунктах с населением от ста до пятисот человек, в которых устанавливаются точки доступа в соответствии со статьей 57 Закона о связи, и при этом не оказываются услуги подвижной радиотелефонной связи, не менее чем одна точка доступа должна быть оборудована средствами связи, используемыми для оказания услуг подвижной радиотелефонной связи.</w:t>
            </w:r>
            <w:r>
              <w:rPr>
                <w:color w:val="000000"/>
                <w:sz w:val="19"/>
                <w:szCs w:val="19"/>
              </w:rPr>
              <w:br/>
              <w:t xml:space="preserve">В перечни населенных пунктов с населением от ста до пятисот человек, в которых должны быть установлены точки </w:t>
            </w:r>
            <w:r>
              <w:rPr>
                <w:color w:val="000000"/>
                <w:sz w:val="19"/>
                <w:szCs w:val="19"/>
              </w:rPr>
              <w:lastRenderedPageBreak/>
              <w:t xml:space="preserve">доступа, в том числе точки доступа, которые должны быть оборудованы средствами связи, используемыми для оказания услуг подвижной радиотелефонной связи, утвержденные приказами </w:t>
            </w:r>
            <w:proofErr w:type="spellStart"/>
            <w:r>
              <w:rPr>
                <w:color w:val="000000"/>
                <w:sz w:val="19"/>
                <w:szCs w:val="19"/>
              </w:rPr>
              <w:t>Минцифры</w:t>
            </w:r>
            <w:proofErr w:type="spellEnd"/>
            <w:r>
              <w:rPr>
                <w:color w:val="000000"/>
                <w:sz w:val="19"/>
                <w:szCs w:val="19"/>
              </w:rPr>
              <w:t xml:space="preserve"> России от 19 августа 2020 г. № 403  (далее – Перечень № 403) и от 3 июля 2023 г. № 606 (далее – Перечень № 606), и в Договор включены населенные пункты, численность населения которых не соответствует диапазону от ста до пятисот человек. В результате:</w:t>
            </w:r>
            <w:r>
              <w:rPr>
                <w:color w:val="000000"/>
                <w:sz w:val="19"/>
                <w:szCs w:val="19"/>
              </w:rPr>
              <w:br/>
              <w:t>в 2021 году в 11 случаях ПАО «Ростелеком» выполнило организационно-технические мероприятия и приступило к оказанию УУС по передаче данных и предоставлению доступа к сети «Интернет», оказываемых с использованием точек доступа, в населенных пунктах, численность которых не соответствует диапазону от ста до пятисот человек, что привело к расходованию средств федерального бюджета в размере 40 118 411,85 рублей (</w:t>
            </w:r>
            <w:proofErr w:type="spellStart"/>
            <w:r>
              <w:rPr>
                <w:color w:val="000000"/>
                <w:sz w:val="19"/>
                <w:szCs w:val="19"/>
              </w:rPr>
              <w:t>расчетно</w:t>
            </w:r>
            <w:proofErr w:type="spellEnd"/>
            <w:r>
              <w:rPr>
                <w:color w:val="000000"/>
                <w:sz w:val="19"/>
                <w:szCs w:val="19"/>
              </w:rPr>
              <w:t>) с несоблюдением установленных пунктом 2 статьи 57 Закона о связи принципов, определяющих критерии и условия оказания УУС;</w:t>
            </w:r>
            <w:r>
              <w:rPr>
                <w:color w:val="000000"/>
                <w:sz w:val="19"/>
                <w:szCs w:val="19"/>
              </w:rPr>
              <w:br/>
              <w:t>в 2021–2023 годах в 143 случаях ПАО «Ростелеком» выполнило организационно-технические мероприятия и приступило к оказанию УУС подвижной радиотелефонной связи, оказываемых с использованием точек доступа, в населенных пунктах, численность населения которых не соответствует диапазону от ста до пятисот человек, что привело к расходованию средств федерального бюджета в размере 918 041 338,29 рублей (</w:t>
            </w:r>
            <w:proofErr w:type="spellStart"/>
            <w:r>
              <w:rPr>
                <w:color w:val="000000"/>
                <w:sz w:val="19"/>
                <w:szCs w:val="19"/>
              </w:rPr>
              <w:t>расчетно</w:t>
            </w:r>
            <w:proofErr w:type="spellEnd"/>
            <w:r>
              <w:rPr>
                <w:color w:val="000000"/>
                <w:sz w:val="19"/>
                <w:szCs w:val="19"/>
              </w:rPr>
              <w:t>) с несоблюдением установленных пунктом 2 статьи 57 Закона о связи принципов, определяющих критерии и условия оказания УУС.</w:t>
            </w:r>
          </w:p>
        </w:tc>
        <w:tc>
          <w:tcPr>
            <w:tcW w:w="124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958 159,75</w:t>
            </w:r>
          </w:p>
        </w:tc>
        <w:tc>
          <w:tcPr>
            <w:tcW w:w="1695" w:type="dxa"/>
            <w:gridSpan w:val="4"/>
            <w:tcBorders>
              <w:top w:val="single" w:sz="6" w:space="0" w:color="000000"/>
              <w:left w:val="single" w:sz="6" w:space="0" w:color="000000"/>
              <w:bottom w:val="single" w:sz="6" w:space="0" w:color="000000"/>
              <w:right w:val="single" w:sz="6" w:space="0" w:color="000000"/>
            </w:tcBorders>
          </w:tcPr>
          <w:p w:rsidR="00EA186E" w:rsidRDefault="00EA186E">
            <w:pPr>
              <w:jc w:val="center"/>
              <w:rPr>
                <w:color w:val="000000"/>
                <w:sz w:val="19"/>
                <w:szCs w:val="19"/>
              </w:rPr>
            </w:pPr>
          </w:p>
        </w:tc>
      </w:tr>
      <w:tr w:rsidR="00EA186E" w:rsidTr="003068DB">
        <w:tc>
          <w:tcPr>
            <w:tcW w:w="2039" w:type="dxa"/>
            <w:gridSpan w:val="4"/>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МИНИСТЕРСТВО ЦИФРОВОГО РАЗВИТИЯ, СВЯЗИ И МАССОВЫХ КОММУНИКАЦИЙ РОССИЙСКОЙ ФЕДЕРАЦИИ</w:t>
            </w:r>
          </w:p>
        </w:tc>
        <w:tc>
          <w:tcPr>
            <w:tcW w:w="2040"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МИНИСТЕРСТВО ЦИФРОВОГО РАЗВИТИЯ, СВЯЗИ И МАССОВЫХ КОММУНИКАЦИЙ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Федеральный закон от 07.07.2003 № 126-ФЗ "О связи", /пункт 3 Статьи 57</w:t>
            </w:r>
          </w:p>
        </w:tc>
        <w:tc>
          <w:tcPr>
            <w:tcW w:w="226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58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 xml:space="preserve">2504628206. В нарушение пункта 3 статьи 57 Закона о связи , согласно которому федеральный орган исполнительной власти в области связи в соответствии с принципами, установленными пунктом 2 указанной статьи, определяет перечень населенных пунктов с населением от ста до пятисот человек, в которых должны быть установлены точки доступа, в том числе точки доступа, которые должны быть оборудованы средствами связи, используемыми для оказания услуг подвижной радиотелефонной связи, </w:t>
            </w:r>
            <w:proofErr w:type="spellStart"/>
            <w:r>
              <w:rPr>
                <w:color w:val="000000"/>
                <w:sz w:val="19"/>
                <w:szCs w:val="19"/>
              </w:rPr>
              <w:t>Минцифры</w:t>
            </w:r>
            <w:proofErr w:type="spellEnd"/>
            <w:r>
              <w:rPr>
                <w:color w:val="000000"/>
                <w:sz w:val="19"/>
                <w:szCs w:val="19"/>
              </w:rPr>
              <w:t xml:space="preserve"> России при определении указанных перечней не соблюдены следующие принципы, установленные пунктом 2 статьи 57 Закона о связи:</w:t>
            </w:r>
            <w:r>
              <w:rPr>
                <w:color w:val="000000"/>
                <w:sz w:val="19"/>
                <w:szCs w:val="19"/>
              </w:rPr>
              <w:br/>
              <w:t>в населенных пунктах с населением от ста до пятисот человек, в которых не оказываются услуги по передаче данных и предоставлению доступа к сети «Интернет», должна быть установлена не менее чем одна точка доступа для оказания услуг по передаче данных и предоставлению доступа к сети «Интернет»;</w:t>
            </w:r>
            <w:r>
              <w:rPr>
                <w:color w:val="000000"/>
                <w:sz w:val="19"/>
                <w:szCs w:val="19"/>
              </w:rPr>
              <w:br/>
              <w:t>в населенных пунктах с населением от ста до пятисот человек, в которых устанавливаются точки доступа в соответствии со статьей 57 Закона о связи, и при этом не оказываются услуги подвижной радиотелефонной связи, не менее чем одна точка доступа должна быть оборудована средствами связи, используемыми для оказания услуг подвижной радиотелефонной связи.</w:t>
            </w:r>
            <w:r>
              <w:rPr>
                <w:color w:val="000000"/>
                <w:sz w:val="19"/>
                <w:szCs w:val="19"/>
              </w:rPr>
              <w:br/>
              <w:t>В перечни № 403 и № 606 и в Договор  для установки точек доступа, используемых для оказания услуг по передаче данных и предоставления доступа к сети «Интернет», включены населенные пункты, в которых уже оказывались данные услуги.</w:t>
            </w:r>
            <w:r>
              <w:rPr>
                <w:color w:val="000000"/>
                <w:sz w:val="19"/>
                <w:szCs w:val="19"/>
              </w:rPr>
              <w:br/>
              <w:t xml:space="preserve">Указанное нарушение допущено в том </w:t>
            </w:r>
            <w:r>
              <w:rPr>
                <w:color w:val="000000"/>
                <w:sz w:val="19"/>
                <w:szCs w:val="19"/>
              </w:rPr>
              <w:lastRenderedPageBreak/>
              <w:t>числе в результате выполнения ПАО «Ростелеком» в рамках Договора организационно-технических мероприятий без подтверждения отсутствия в населенных пунктах существующих услуг по передаче данных и предоставлению доступа к сети «Интернет» и, соответственно, без внесения предложений по исключению из Договора населенных пунктов, в которых уже оказываются услуги связи.</w:t>
            </w:r>
            <w:r>
              <w:rPr>
                <w:color w:val="000000"/>
                <w:sz w:val="19"/>
                <w:szCs w:val="19"/>
              </w:rPr>
              <w:br/>
              <w:t xml:space="preserve">Так, согласно абзацу третьему пункта 3.2 Правил оказания универсальных услуг связи, утвержденных постановлением Правительства Российской Федерации от 21 апреля 2005 г. № 241 (далее – Правила № 241), в целях установки точки доступа для оказания услуг по передаче данных и предоставлению доступа к сети «Интернет» отсутствием указанных услуг в населенном пункте считается ситуация, при которой в населенном пункте оказывают </w:t>
            </w:r>
            <w:proofErr w:type="spellStart"/>
            <w:r>
              <w:rPr>
                <w:color w:val="000000"/>
                <w:sz w:val="19"/>
                <w:szCs w:val="19"/>
              </w:rPr>
              <w:t>телематические</w:t>
            </w:r>
            <w:proofErr w:type="spellEnd"/>
            <w:r>
              <w:rPr>
                <w:color w:val="000000"/>
                <w:sz w:val="19"/>
                <w:szCs w:val="19"/>
              </w:rPr>
              <w:t xml:space="preserve"> услуги связи и услуги связи по передаче данных со скоростью передачи данных от оборудования оператора связи к пользовательскому оборудованию абонента менее 10 Мбит/с.</w:t>
            </w:r>
            <w:r>
              <w:rPr>
                <w:color w:val="000000"/>
                <w:sz w:val="19"/>
                <w:szCs w:val="19"/>
              </w:rPr>
              <w:br/>
              <w:t xml:space="preserve">ПАО «Ростелеком» в 2021 году выполнило организационно-технические мероприятия (установило точки доступа) в 188 населенных пунктах, в которых согласно данным, предоставленным </w:t>
            </w:r>
            <w:proofErr w:type="spellStart"/>
            <w:r>
              <w:rPr>
                <w:color w:val="000000"/>
                <w:sz w:val="19"/>
                <w:szCs w:val="19"/>
              </w:rPr>
              <w:t>Роскомнадзором</w:t>
            </w:r>
            <w:proofErr w:type="spellEnd"/>
            <w:r>
              <w:rPr>
                <w:color w:val="000000"/>
                <w:sz w:val="19"/>
                <w:szCs w:val="19"/>
              </w:rPr>
              <w:t xml:space="preserve"> , на момент начала оказания УУС по передаче данных и предоставлению доступа к сети «Интернет», оказываемых с использованием точек доступа, другие операторы связи оказывали </w:t>
            </w:r>
            <w:proofErr w:type="spellStart"/>
            <w:r>
              <w:rPr>
                <w:color w:val="000000"/>
                <w:sz w:val="19"/>
                <w:szCs w:val="19"/>
              </w:rPr>
              <w:t>телематические</w:t>
            </w:r>
            <w:proofErr w:type="spellEnd"/>
            <w:r>
              <w:rPr>
                <w:color w:val="000000"/>
                <w:sz w:val="19"/>
                <w:szCs w:val="19"/>
              </w:rPr>
              <w:t xml:space="preserve"> услуги связи и услуги по передаче данных в стандарте LTE , то есть качеством не ниже предусмотренного Договором. В этой связи обеспечение точками доступа </w:t>
            </w:r>
            <w:r>
              <w:rPr>
                <w:color w:val="000000"/>
                <w:sz w:val="19"/>
                <w:szCs w:val="19"/>
              </w:rPr>
              <w:lastRenderedPageBreak/>
              <w:t>указанных населенных пунктов привело к расходованию средств федерального бюджета в размере 699 681 698,68 рублей (</w:t>
            </w:r>
            <w:proofErr w:type="spellStart"/>
            <w:r>
              <w:rPr>
                <w:color w:val="000000"/>
                <w:sz w:val="19"/>
                <w:szCs w:val="19"/>
              </w:rPr>
              <w:t>расчетно</w:t>
            </w:r>
            <w:proofErr w:type="spellEnd"/>
            <w:r>
              <w:rPr>
                <w:color w:val="000000"/>
                <w:sz w:val="19"/>
                <w:szCs w:val="19"/>
              </w:rPr>
              <w:t>) с несоблюдением установленных пунктом 2 статьи 57 Закона о связи принципов, определяющих критерии и условия оказания УУС.</w:t>
            </w:r>
          </w:p>
        </w:tc>
        <w:tc>
          <w:tcPr>
            <w:tcW w:w="124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699 681,7</w:t>
            </w:r>
          </w:p>
        </w:tc>
        <w:tc>
          <w:tcPr>
            <w:tcW w:w="1695" w:type="dxa"/>
            <w:gridSpan w:val="4"/>
            <w:tcBorders>
              <w:top w:val="single" w:sz="6" w:space="0" w:color="000000"/>
              <w:left w:val="single" w:sz="6" w:space="0" w:color="000000"/>
              <w:bottom w:val="single" w:sz="6" w:space="0" w:color="000000"/>
              <w:right w:val="single" w:sz="6" w:space="0" w:color="000000"/>
            </w:tcBorders>
          </w:tcPr>
          <w:p w:rsidR="00EA186E" w:rsidRDefault="00EA186E">
            <w:pPr>
              <w:jc w:val="center"/>
              <w:rPr>
                <w:color w:val="000000"/>
                <w:sz w:val="19"/>
                <w:szCs w:val="19"/>
              </w:rPr>
            </w:pPr>
          </w:p>
        </w:tc>
      </w:tr>
      <w:tr w:rsidR="00EA186E" w:rsidTr="003068DB">
        <w:tc>
          <w:tcPr>
            <w:tcW w:w="2039" w:type="dxa"/>
            <w:gridSpan w:val="4"/>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МИНИСТЕРСТВО ЦИФРОВОГО РАЗВИТИЯ, СВЯЗИ И МАССОВЫХ КОММУНИКАЦИЙ РОССИЙСКОЙ ФЕДЕРАЦИИ</w:t>
            </w:r>
          </w:p>
        </w:tc>
        <w:tc>
          <w:tcPr>
            <w:tcW w:w="2040"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МИНИСТЕРСТВО ЦИФРОВОГО РАЗВИТИЯ, СВЯЗИ И МАССОВЫХ КОММУНИКАЦИЙ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Федеральный закон от 07.07.2003 № 126-ФЗ "О связи", /пункт 3 Статьи 57</w:t>
            </w:r>
          </w:p>
        </w:tc>
        <w:tc>
          <w:tcPr>
            <w:tcW w:w="226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58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 xml:space="preserve">2587590393. В нарушение пункта 3 статьи 57 Закона о связи , согласно которому федеральный орган исполнительной власти в области связи в соответствии с принципами, установленными пунктом 2 указанной статьи, определяет перечень населенных пунктов с населением от ста до пятисот человек, в которых должны быть установлены точки доступа, в том числе точки доступа, которые должны быть оборудованы средствами связи, используемыми для оказания услуг подвижной радиотелефонной связи, </w:t>
            </w:r>
            <w:proofErr w:type="spellStart"/>
            <w:r>
              <w:rPr>
                <w:color w:val="000000"/>
                <w:sz w:val="19"/>
                <w:szCs w:val="19"/>
              </w:rPr>
              <w:t>Минцифры</w:t>
            </w:r>
            <w:proofErr w:type="spellEnd"/>
            <w:r>
              <w:rPr>
                <w:color w:val="000000"/>
                <w:sz w:val="19"/>
                <w:szCs w:val="19"/>
              </w:rPr>
              <w:t xml:space="preserve"> России при определении указанных перечней не соблюдены следующие принципы, установленные пунктом 2 статьи 57 Закона о связи:</w:t>
            </w:r>
            <w:r>
              <w:rPr>
                <w:color w:val="000000"/>
                <w:sz w:val="19"/>
                <w:szCs w:val="19"/>
              </w:rPr>
              <w:br/>
              <w:t>в населенных пунктах с населением от ста до пятисот человек, в которых не оказываются услуги по передаче данных и предоставлению доступа к сети «Интернет», должна быть установлена не менее чем одна точка доступа для оказания услуг по передаче данных и предоставлению доступа к сети «Интернет»;</w:t>
            </w:r>
            <w:r>
              <w:rPr>
                <w:color w:val="000000"/>
                <w:sz w:val="19"/>
                <w:szCs w:val="19"/>
              </w:rPr>
              <w:br/>
              <w:t>в населенных пунктах с населением от ста до пятисот человек, в которых устанавливаются точки доступа в соответствии со статьей 57 Закона о связи, и при этом не оказываются услуги подвижной радиотелефонной связи, не менее чем одна точка доступа должна быть оборудована средствами связи, используемыми для оказания услуг подвижной радиотелефонной связи.</w:t>
            </w:r>
            <w:r>
              <w:rPr>
                <w:color w:val="000000"/>
                <w:sz w:val="19"/>
                <w:szCs w:val="19"/>
              </w:rPr>
              <w:br/>
            </w:r>
            <w:r>
              <w:rPr>
                <w:color w:val="000000"/>
                <w:sz w:val="19"/>
                <w:szCs w:val="19"/>
              </w:rPr>
              <w:lastRenderedPageBreak/>
              <w:t>В перечни № 403 и № 606 и в Договор для установки точек доступа, которые должны быть оборудованы средствами связи, используемыми для оказания услуг подвижной радиотелефонной связи, включены населенные пункты, в которых уже оказывались данные услуги.</w:t>
            </w:r>
            <w:r>
              <w:rPr>
                <w:color w:val="000000"/>
                <w:sz w:val="19"/>
                <w:szCs w:val="19"/>
              </w:rPr>
              <w:br/>
              <w:t>Согласно абзацу четвертому пункта 3.2 Правил № 241 в целях оборудования точек доступа средствами связи для оказания услуг подвижной радиотелефонной связи считается, что указанные услуги в населенном пункте не оказываются, если покрытие населенного пункта услугами подвижной радиотелефонной связи всех операторов связи в совокупности составляет менее 75 процентов его территории.</w:t>
            </w:r>
            <w:r>
              <w:rPr>
                <w:color w:val="000000"/>
                <w:sz w:val="19"/>
                <w:szCs w:val="19"/>
              </w:rPr>
              <w:br/>
              <w:t xml:space="preserve">В 2021–2023 годах ПАО «Ростелеком», руководствуясь приложением № 8 к Договору (Техническое задание на выполнение организационно-технических мероприятий), выполнило организационно-технические мероприятия (то есть установило базовые станции) и приступило к оказанию УУС подвижной радиотелефонной связи, оказываемых с использованием точек доступа, в 308 населенных пунктах , на всей территории которых согласно данным, предоставленным </w:t>
            </w:r>
            <w:proofErr w:type="spellStart"/>
            <w:r>
              <w:rPr>
                <w:color w:val="000000"/>
                <w:sz w:val="19"/>
                <w:szCs w:val="19"/>
              </w:rPr>
              <w:t>Роскомнадзором</w:t>
            </w:r>
            <w:proofErr w:type="spellEnd"/>
            <w:r>
              <w:rPr>
                <w:color w:val="000000"/>
                <w:sz w:val="19"/>
                <w:szCs w:val="19"/>
              </w:rPr>
              <w:t xml:space="preserve"> , на момент начала оказания УУС подвижной радиотелефонной связи другие операторы связи оказывали услуги подвижной радиотелефонной связи в стандарте LTE , то есть качеством не ниже предусмотренного Договором. В этой связи обеспечение базовыми станциями указанных населенных пунктов привело к расходованию средств федерального бюджета в размере 1 338 090 779,83 рублей (</w:t>
            </w:r>
            <w:proofErr w:type="spellStart"/>
            <w:r>
              <w:rPr>
                <w:color w:val="000000"/>
                <w:sz w:val="19"/>
                <w:szCs w:val="19"/>
              </w:rPr>
              <w:t>расчетно</w:t>
            </w:r>
            <w:proofErr w:type="spellEnd"/>
            <w:r>
              <w:rPr>
                <w:color w:val="000000"/>
                <w:sz w:val="19"/>
                <w:szCs w:val="19"/>
              </w:rPr>
              <w:t xml:space="preserve">) с несоблюдением установленных пунктом 2 статьи 57 Закона </w:t>
            </w:r>
            <w:r>
              <w:rPr>
                <w:color w:val="000000"/>
                <w:sz w:val="19"/>
                <w:szCs w:val="19"/>
              </w:rPr>
              <w:lastRenderedPageBreak/>
              <w:t>о связи принципов, определяющих критерии и условия оказания УУС.</w:t>
            </w:r>
          </w:p>
        </w:tc>
        <w:tc>
          <w:tcPr>
            <w:tcW w:w="124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1 338 090,78</w:t>
            </w:r>
          </w:p>
        </w:tc>
        <w:tc>
          <w:tcPr>
            <w:tcW w:w="1695" w:type="dxa"/>
            <w:gridSpan w:val="4"/>
            <w:tcBorders>
              <w:top w:val="single" w:sz="6" w:space="0" w:color="000000"/>
              <w:left w:val="single" w:sz="6" w:space="0" w:color="000000"/>
              <w:bottom w:val="single" w:sz="6" w:space="0" w:color="000000"/>
              <w:right w:val="single" w:sz="6" w:space="0" w:color="000000"/>
            </w:tcBorders>
          </w:tcPr>
          <w:p w:rsidR="00EA186E" w:rsidRDefault="00EA186E">
            <w:pPr>
              <w:jc w:val="center"/>
              <w:rPr>
                <w:color w:val="000000"/>
                <w:sz w:val="19"/>
                <w:szCs w:val="19"/>
              </w:rPr>
            </w:pPr>
          </w:p>
        </w:tc>
      </w:tr>
      <w:tr w:rsidR="00EA186E" w:rsidTr="003068DB">
        <w:tc>
          <w:tcPr>
            <w:tcW w:w="2039" w:type="dxa"/>
            <w:gridSpan w:val="4"/>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МИНИСТЕРСТВО ЦИФРОВОГО РАЗВИТИЯ, СВЯЗИ И МАССОВЫХ КОММУНИКАЦИЙ РОССИЙСКОЙ ФЕДЕРАЦИИ</w:t>
            </w:r>
          </w:p>
        </w:tc>
        <w:tc>
          <w:tcPr>
            <w:tcW w:w="2040"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МИНИСТЕРСТВО ЦИФРОВОГО РАЗВИТИЯ, СВЯЗИ И МАССОВЫХ КОММУНИКАЦИЙ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Федеральный закон от 07.07.2003 № 126-ФЗ "О связи", /пункт 2 Статьи 58</w:t>
            </w:r>
          </w:p>
        </w:tc>
        <w:tc>
          <w:tcPr>
            <w:tcW w:w="226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58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 xml:space="preserve">2571296952. </w:t>
            </w:r>
            <w:proofErr w:type="spellStart"/>
            <w:r>
              <w:rPr>
                <w:color w:val="000000"/>
                <w:sz w:val="19"/>
                <w:szCs w:val="19"/>
              </w:rPr>
              <w:t>Минцифры</w:t>
            </w:r>
            <w:proofErr w:type="spellEnd"/>
            <w:r>
              <w:rPr>
                <w:color w:val="000000"/>
                <w:sz w:val="19"/>
                <w:szCs w:val="19"/>
              </w:rPr>
              <w:t xml:space="preserve"> России не осуществлен достаточный контроль за исполнением ПАО «Ростелеком» условий Договора, в том числе в части обязанности оператора оказывать УУС с соблюдением требований, установленных нормативными правовыми актами, не осуществлялась претензионная работа по фактам  ненадлежащего исполнения договорных обязательств ПАО «Ростелеком».</w:t>
            </w:r>
            <w:r>
              <w:rPr>
                <w:color w:val="000000"/>
                <w:sz w:val="19"/>
                <w:szCs w:val="19"/>
              </w:rPr>
              <w:br/>
              <w:t>Пунктом 4.2 Договора установлен штраф  за факт неисполнения или ненадлежащего исполнения оператором универсального обслуживания обязательства по выполнению организационно-технических мероприятий и (или) по оказанию УУС, предусмотренных Договором в отчетном квартале, за исключением просрочки исполнения обязательств, предусмотренных Договором.</w:t>
            </w:r>
            <w:r>
              <w:rPr>
                <w:color w:val="000000"/>
                <w:sz w:val="19"/>
                <w:szCs w:val="19"/>
              </w:rPr>
              <w:br/>
            </w:r>
            <w:proofErr w:type="spellStart"/>
            <w:r>
              <w:rPr>
                <w:color w:val="000000"/>
                <w:sz w:val="19"/>
                <w:szCs w:val="19"/>
              </w:rPr>
              <w:t>Минцифры</w:t>
            </w:r>
            <w:proofErr w:type="spellEnd"/>
            <w:r>
              <w:rPr>
                <w:color w:val="000000"/>
                <w:sz w:val="19"/>
                <w:szCs w:val="19"/>
              </w:rPr>
              <w:t xml:space="preserve"> России не начислило и не предъявило требование об уплате неустойки (штрафов) в размере 1 847 041 969,46 рублей (</w:t>
            </w:r>
            <w:proofErr w:type="spellStart"/>
            <w:r>
              <w:rPr>
                <w:color w:val="000000"/>
                <w:sz w:val="19"/>
                <w:szCs w:val="19"/>
              </w:rPr>
              <w:t>расчетно</w:t>
            </w:r>
            <w:proofErr w:type="spellEnd"/>
            <w:r>
              <w:rPr>
                <w:color w:val="000000"/>
                <w:sz w:val="19"/>
                <w:szCs w:val="19"/>
              </w:rPr>
              <w:t xml:space="preserve"> ) за ненадлежащее исполнение обязательств ПАО «Ростелеком» по выполнению организационно-технических мероприятий в 2021 году в 188 населенных пунктах, в которых согласно данным, предоставленным </w:t>
            </w:r>
            <w:proofErr w:type="spellStart"/>
            <w:r>
              <w:rPr>
                <w:color w:val="000000"/>
                <w:sz w:val="19"/>
                <w:szCs w:val="19"/>
              </w:rPr>
              <w:t>Роскомнадзором</w:t>
            </w:r>
            <w:proofErr w:type="spellEnd"/>
            <w:r>
              <w:rPr>
                <w:color w:val="000000"/>
                <w:sz w:val="19"/>
                <w:szCs w:val="19"/>
              </w:rPr>
              <w:t xml:space="preserve"> , на момент начала оказания УУС по передаче данных и предоставлению доступа к сети «Интернет», оказываемых с использованием точек доступа, другие операторы связи оказывали </w:t>
            </w:r>
            <w:proofErr w:type="spellStart"/>
            <w:r>
              <w:rPr>
                <w:color w:val="000000"/>
                <w:sz w:val="19"/>
                <w:szCs w:val="19"/>
              </w:rPr>
              <w:t>телематические</w:t>
            </w:r>
            <w:proofErr w:type="spellEnd"/>
            <w:r>
              <w:rPr>
                <w:color w:val="000000"/>
                <w:sz w:val="19"/>
                <w:szCs w:val="19"/>
              </w:rPr>
              <w:t xml:space="preserve"> услуги связи и услуги по передаче данных в стандарте LTE, то есть качеством не ниже предусмотренного Договором.</w:t>
            </w:r>
          </w:p>
        </w:tc>
        <w:tc>
          <w:tcPr>
            <w:tcW w:w="124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1 847 041,97</w:t>
            </w:r>
          </w:p>
        </w:tc>
        <w:tc>
          <w:tcPr>
            <w:tcW w:w="1695" w:type="dxa"/>
            <w:gridSpan w:val="4"/>
            <w:tcBorders>
              <w:top w:val="single" w:sz="6" w:space="0" w:color="000000"/>
              <w:left w:val="single" w:sz="6" w:space="0" w:color="000000"/>
              <w:bottom w:val="single" w:sz="6" w:space="0" w:color="000000"/>
              <w:right w:val="single" w:sz="6" w:space="0" w:color="000000"/>
            </w:tcBorders>
          </w:tcPr>
          <w:p w:rsidR="00EA186E" w:rsidRDefault="00EA186E">
            <w:pPr>
              <w:jc w:val="center"/>
              <w:rPr>
                <w:color w:val="000000"/>
                <w:sz w:val="19"/>
                <w:szCs w:val="19"/>
              </w:rPr>
            </w:pPr>
          </w:p>
        </w:tc>
      </w:tr>
      <w:tr w:rsidR="00EA186E" w:rsidTr="003068DB">
        <w:tc>
          <w:tcPr>
            <w:tcW w:w="2039" w:type="dxa"/>
            <w:gridSpan w:val="4"/>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 xml:space="preserve">ПУБЛИЧНОЕ АКЦИОНЕРНОЕ ОБЩЕСТВО </w:t>
            </w:r>
            <w:r>
              <w:rPr>
                <w:color w:val="000000"/>
                <w:sz w:val="19"/>
                <w:szCs w:val="19"/>
              </w:rPr>
              <w:lastRenderedPageBreak/>
              <w:t>"РОСТЕЛЕКОМ"</w:t>
            </w:r>
          </w:p>
        </w:tc>
        <w:tc>
          <w:tcPr>
            <w:tcW w:w="2040"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 xml:space="preserve">МИНИСТЕРСТВО ЦИФРОВОГО РАЗВИТИЯ, СВЯЗИ И </w:t>
            </w:r>
            <w:r>
              <w:rPr>
                <w:color w:val="000000"/>
                <w:sz w:val="19"/>
                <w:szCs w:val="19"/>
              </w:rPr>
              <w:lastRenderedPageBreak/>
              <w:t>МАССОВЫХ КОММУНИКАЦИЙ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 xml:space="preserve">"Гражданский кодекс Российской Федерации (часть первая)" от </w:t>
            </w:r>
            <w:r>
              <w:rPr>
                <w:color w:val="000000"/>
                <w:sz w:val="19"/>
                <w:szCs w:val="19"/>
              </w:rPr>
              <w:lastRenderedPageBreak/>
              <w:t>30.11.1994 № 51-ФЗ, Статья 309</w:t>
            </w:r>
          </w:p>
        </w:tc>
        <w:tc>
          <w:tcPr>
            <w:tcW w:w="226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 xml:space="preserve">3.60 Неисполнение (ненадлежащее исполнение) договорных </w:t>
            </w:r>
            <w:r>
              <w:rPr>
                <w:color w:val="000000"/>
                <w:sz w:val="19"/>
                <w:szCs w:val="19"/>
              </w:rPr>
              <w:lastRenderedPageBreak/>
              <w:t>обязательств в отношении государственного (муниципального) имущества и (или) непринятие мер ответственности за неисполнение (ненадлежащее исполнение) договорных отношений, в том числе непринятие мер по взиманию просроченной задолженности по арендной плате за пользование государственным (муниципальным) имуществом, убытков, неустойки</w:t>
            </w:r>
          </w:p>
        </w:tc>
        <w:tc>
          <w:tcPr>
            <w:tcW w:w="358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 xml:space="preserve">2558058035. В нарушение статьи 309 Гражданского кодекса Российской Федерации, устанавливающей, что </w:t>
            </w:r>
            <w:r>
              <w:rPr>
                <w:color w:val="000000"/>
                <w:sz w:val="19"/>
                <w:szCs w:val="19"/>
              </w:rPr>
              <w:lastRenderedPageBreak/>
              <w:t>обязательства должны исполняться надлежащим образом в соответствии с условиями обязательства и требованиями закона, иных правовых актов, пункта 2.1.1 договора об условиях оказания УУС от 13 мая 2014 г. № УУС-01/2014  (далее – Договор), согласно которому ПАО «Ростелеком» (оператор универсального обслуживания) обязан выполнить организационно-технические мероприятия, необходимые для подготовки сети связи к началу оказания, оказанию универсальных услуг связи (далее соответственно – организационно-технические мероприятия, УУС) в части УУС по передаче данных и предоставлению доступа к информационно-телекоммуникационной сети «Интернет» (далее – сеть «Интернет»), оказываемых с использованием точек доступа, и приступить к оказанию данных услуг в 846 населенных пунктах, перечень которых определен в таблице 1.6 приложения № 2 к Договору, не позднее 31 декабря 2021 года, ПАО «Ростелеком» выполнило обязательства по 285 (из 846) точкам доступа, используемым для оказания УУС по передаче данных и предоставлению доступа к сети «Интернет», в Московской области 31 июля 2022 года, то есть позднее установленного срока на 7 месяцев.</w:t>
            </w:r>
          </w:p>
        </w:tc>
        <w:tc>
          <w:tcPr>
            <w:tcW w:w="124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EA186E" w:rsidRDefault="00EA186E">
            <w:pPr>
              <w:jc w:val="center"/>
              <w:rPr>
                <w:color w:val="000000"/>
                <w:sz w:val="19"/>
                <w:szCs w:val="19"/>
              </w:rPr>
            </w:pPr>
          </w:p>
        </w:tc>
      </w:tr>
      <w:tr w:rsidR="00EA186E" w:rsidTr="003068DB">
        <w:tc>
          <w:tcPr>
            <w:tcW w:w="2039" w:type="dxa"/>
            <w:gridSpan w:val="4"/>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ПУБЛИЧНОЕ АКЦИОНЕРНОЕ ОБЩЕСТВО "РОСТЕЛЕКОМ"</w:t>
            </w:r>
          </w:p>
        </w:tc>
        <w:tc>
          <w:tcPr>
            <w:tcW w:w="2040"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МИНИСТЕРСТВО ЦИФРОВОГО РАЗВИТИЯ, СВЯЗИ И МАССОВЫХ КОММУНИКАЦИЙ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Постановление Правительства РФ от 21.04.2005 N 241 "О мерах по организации оказания универсальных услуг связи"</w:t>
            </w:r>
          </w:p>
        </w:tc>
        <w:tc>
          <w:tcPr>
            <w:tcW w:w="226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 xml:space="preserve">1.2.101 Нарушения при выполнении или невыполнение государственных (муниципальных) задач и функций государственными органами и органами местного самоуправления, органами государственных внебюджетных фондов, государственными </w:t>
            </w:r>
            <w:r>
              <w:rPr>
                <w:color w:val="000000"/>
                <w:sz w:val="19"/>
                <w:szCs w:val="19"/>
              </w:rPr>
              <w:lastRenderedPageBreak/>
              <w:t>(муниципальными) казенными учреждениями, государственными (муниципальными) бюджетными и государственными (муниципальными) автономными учреждениями, государственными корпорациями (компаниями), публично-правовыми компаниями (за исключением нарушений, указанных в иных пунктах классификатора)</w:t>
            </w:r>
          </w:p>
        </w:tc>
        <w:tc>
          <w:tcPr>
            <w:tcW w:w="358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 xml:space="preserve">2501680870. Согласно пункту 1 и абзацу четвертому пункта 3.2 Правил № 241, операторы связи, на которых Правительством Российской Федерации возложена обязанность по оказанию УУС, оказывают УУС в соответствии с положениями Правил № 241, в том числе предусматривающими, что в целях оборудования точек доступа средствами связи для оказания услуг подвижной радиотелефонной связи считается, что указанные услуги в населенном пункте не </w:t>
            </w:r>
            <w:r>
              <w:rPr>
                <w:color w:val="000000"/>
                <w:sz w:val="19"/>
                <w:szCs w:val="19"/>
              </w:rPr>
              <w:lastRenderedPageBreak/>
              <w:t>оказываются, если покрытие населенного пункта услугами подвижной радиотелефонной связи всех операторов связи в совокупности составляет менее 75 процентов его территории.</w:t>
            </w:r>
            <w:r>
              <w:rPr>
                <w:color w:val="000000"/>
                <w:sz w:val="19"/>
                <w:szCs w:val="19"/>
              </w:rPr>
              <w:br/>
              <w:t xml:space="preserve">ПАО «Ростелеком» в 2021–2023 годах, руководствуясь приложением № 8 к Договору (Техническое задание на выполнение организационно-технических мероприятий), выполнило организационно-технические мероприятия (то есть установило базовые станции) и приступило к оказанию УУС подвижной радиотелефонной связи, оказываемых с использованием точек доступа, в 308 населенных пунктах, на всей территории которых согласно данным, предоставленным </w:t>
            </w:r>
            <w:proofErr w:type="spellStart"/>
            <w:r>
              <w:rPr>
                <w:color w:val="000000"/>
                <w:sz w:val="19"/>
                <w:szCs w:val="19"/>
              </w:rPr>
              <w:t>Роскомнадзором</w:t>
            </w:r>
            <w:proofErr w:type="spellEnd"/>
            <w:r>
              <w:rPr>
                <w:color w:val="000000"/>
                <w:sz w:val="19"/>
                <w:szCs w:val="19"/>
              </w:rPr>
              <w:t xml:space="preserve"> , на момент начала оказания УУС подвижной радиотелефонной связи в рамках Договора другие операторы связи оказывали услуги подвижной радиотелефонной связи в стандарте LTE, то есть качеством не ниже предусмотренного Договором, что свидетельствует о ненадлежащем исполнении ПАО «Ростелеком» обязанностей оператора универсального обслуживания, в том числе предусмотренных пунктом 2.1.4 Договора. </w:t>
            </w:r>
            <w:r>
              <w:rPr>
                <w:color w:val="000000"/>
                <w:sz w:val="19"/>
                <w:szCs w:val="19"/>
              </w:rPr>
              <w:br/>
              <w:t>В этой связи обеспечение базовыми станциями указанных населенных пунктов привело к расходованию средств федерального бюджета в размере 1 364 775 848,96 рублей (</w:t>
            </w:r>
            <w:proofErr w:type="spellStart"/>
            <w:r>
              <w:rPr>
                <w:color w:val="000000"/>
                <w:sz w:val="19"/>
                <w:szCs w:val="19"/>
              </w:rPr>
              <w:t>расчетно</w:t>
            </w:r>
            <w:proofErr w:type="spellEnd"/>
            <w:r>
              <w:rPr>
                <w:color w:val="000000"/>
                <w:sz w:val="19"/>
                <w:szCs w:val="19"/>
              </w:rPr>
              <w:t xml:space="preserve"> ) с несоблюдением установленных пунктом 2 статьи 57 Закона о связи принципов, определяющих критерии и условия оказания УУС.</w:t>
            </w:r>
          </w:p>
        </w:tc>
        <w:tc>
          <w:tcPr>
            <w:tcW w:w="124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EA186E" w:rsidRDefault="00EA186E">
            <w:pPr>
              <w:jc w:val="center"/>
              <w:rPr>
                <w:color w:val="000000"/>
                <w:sz w:val="19"/>
                <w:szCs w:val="19"/>
              </w:rPr>
            </w:pPr>
          </w:p>
        </w:tc>
      </w:tr>
      <w:tr w:rsidR="00EA186E" w:rsidTr="003068DB">
        <w:trPr>
          <w:gridAfter w:val="1"/>
          <w:wAfter w:w="15" w:type="dxa"/>
          <w:trHeight w:val="330"/>
        </w:trPr>
        <w:tc>
          <w:tcPr>
            <w:tcW w:w="12194" w:type="dxa"/>
            <w:gridSpan w:val="11"/>
            <w:tcBorders>
              <w:top w:val="single" w:sz="6" w:space="0" w:color="000000"/>
              <w:left w:val="single" w:sz="6" w:space="0" w:color="000000"/>
              <w:bottom w:val="single" w:sz="6" w:space="0" w:color="000000"/>
              <w:right w:val="single" w:sz="6" w:space="0" w:color="000000"/>
            </w:tcBorders>
            <w:vAlign w:val="center"/>
          </w:tcPr>
          <w:p w:rsidR="00EA186E" w:rsidRDefault="00E33E37">
            <w:pPr>
              <w:ind w:right="113"/>
              <w:jc w:val="right"/>
              <w:rPr>
                <w:b/>
                <w:bCs/>
                <w:color w:val="000000"/>
                <w:sz w:val="19"/>
                <w:szCs w:val="19"/>
              </w:rPr>
            </w:pPr>
            <w:r>
              <w:rPr>
                <w:b/>
                <w:bCs/>
                <w:color w:val="000000"/>
                <w:sz w:val="19"/>
                <w:szCs w:val="19"/>
              </w:rPr>
              <w:lastRenderedPageBreak/>
              <w:t>Всего по разделу 1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b/>
                <w:bCs/>
                <w:color w:val="000000"/>
                <w:sz w:val="19"/>
                <w:szCs w:val="19"/>
              </w:rPr>
            </w:pPr>
            <w:r>
              <w:rPr>
                <w:b/>
                <w:bCs/>
                <w:color w:val="000000"/>
                <w:sz w:val="19"/>
                <w:szCs w:val="19"/>
              </w:rPr>
              <w:t>4 894 711,02</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EA186E" w:rsidRDefault="00EA186E">
            <w:pPr>
              <w:jc w:val="center"/>
              <w:rPr>
                <w:b/>
                <w:bCs/>
                <w:color w:val="000000"/>
                <w:sz w:val="19"/>
                <w:szCs w:val="19"/>
              </w:rPr>
            </w:pPr>
          </w:p>
        </w:tc>
      </w:tr>
      <w:tr w:rsidR="00EA186E" w:rsidTr="003068DB">
        <w:trPr>
          <w:trHeight w:val="345"/>
        </w:trPr>
        <w:tc>
          <w:tcPr>
            <w:tcW w:w="15134" w:type="dxa"/>
            <w:gridSpan w:val="16"/>
            <w:tcBorders>
              <w:top w:val="single" w:sz="6" w:space="0" w:color="000000"/>
              <w:left w:val="single" w:sz="6" w:space="0" w:color="000000"/>
              <w:bottom w:val="single" w:sz="6" w:space="0" w:color="000000"/>
              <w:right w:val="single" w:sz="6" w:space="0" w:color="000000"/>
            </w:tcBorders>
            <w:vAlign w:val="center"/>
          </w:tcPr>
          <w:p w:rsidR="00EA186E" w:rsidRDefault="00E33E37">
            <w:pPr>
              <w:rPr>
                <w:b/>
                <w:bCs/>
                <w:color w:val="000000"/>
                <w:sz w:val="19"/>
                <w:szCs w:val="19"/>
              </w:rPr>
            </w:pPr>
            <w:r>
              <w:rPr>
                <w:b/>
                <w:bCs/>
                <w:color w:val="000000"/>
                <w:sz w:val="19"/>
                <w:szCs w:val="19"/>
              </w:rPr>
              <w:t>2. Прочие нарушения и недостатки</w:t>
            </w:r>
          </w:p>
        </w:tc>
      </w:tr>
      <w:tr w:rsidR="00EA186E" w:rsidTr="003068DB">
        <w:tc>
          <w:tcPr>
            <w:tcW w:w="2039" w:type="dxa"/>
            <w:gridSpan w:val="4"/>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 xml:space="preserve">МИНИСТЕРСТВО ЦИФРОВОГО РАЗВИТИЯ, СВЯЗИ И </w:t>
            </w:r>
            <w:r>
              <w:rPr>
                <w:color w:val="000000"/>
                <w:sz w:val="19"/>
                <w:szCs w:val="19"/>
              </w:rPr>
              <w:lastRenderedPageBreak/>
              <w:t>МАССОВЫХ КОММУНИКАЦИЙ РОССИЙСКОЙ ФЕДЕРАЦИИ</w:t>
            </w:r>
          </w:p>
        </w:tc>
        <w:tc>
          <w:tcPr>
            <w:tcW w:w="2040"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 xml:space="preserve">МИНИСТЕРСТВО ЦИФРОВОГО РАЗВИТИЯ, СВЯЗИ И </w:t>
            </w:r>
            <w:r>
              <w:rPr>
                <w:color w:val="000000"/>
                <w:sz w:val="19"/>
                <w:szCs w:val="19"/>
              </w:rPr>
              <w:lastRenderedPageBreak/>
              <w:t>МАССОВЫХ КОММУНИКАЦИЙ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Федеральный закон от 07.07.2003 № 126-ФЗ "О связи", /пункт 3 Статьи 57</w:t>
            </w:r>
          </w:p>
        </w:tc>
        <w:tc>
          <w:tcPr>
            <w:tcW w:w="226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XXX</w:t>
            </w:r>
          </w:p>
        </w:tc>
        <w:tc>
          <w:tcPr>
            <w:tcW w:w="358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 xml:space="preserve">2554884852. В процессе выполнения организационно-технических мероприятий в рамках Договора ПАО «Ростелеком» был </w:t>
            </w:r>
            <w:r>
              <w:rPr>
                <w:color w:val="000000"/>
                <w:sz w:val="19"/>
                <w:szCs w:val="19"/>
              </w:rPr>
              <w:lastRenderedPageBreak/>
              <w:t>установлен ряд населенных пунктов, в которых уже оказывались услуги подвижной радиотелефонной связи, в связи с чем дополнительным соглашением от 31 мая 2023 г. № 30 к Договору в перечень населенных пунктов, в которых должны быть выполнены организационно-технические мероприятия в части УУС подвижной радиотелефонной связи, предусмотренный Договором, были внесены изменения в части исключения из него указанных населенных пунктов и включения новых населенных пунктов, соответствующих принципам, установленным пунктом 2 статьи 57 Закона о связи.</w:t>
            </w:r>
            <w:r>
              <w:rPr>
                <w:color w:val="000000"/>
                <w:sz w:val="19"/>
                <w:szCs w:val="19"/>
              </w:rPr>
              <w:br/>
              <w:t xml:space="preserve">При этом </w:t>
            </w:r>
            <w:proofErr w:type="spellStart"/>
            <w:r>
              <w:rPr>
                <w:color w:val="000000"/>
                <w:sz w:val="19"/>
                <w:szCs w:val="19"/>
              </w:rPr>
              <w:t>Минцифры</w:t>
            </w:r>
            <w:proofErr w:type="spellEnd"/>
            <w:r>
              <w:rPr>
                <w:color w:val="000000"/>
                <w:sz w:val="19"/>
                <w:szCs w:val="19"/>
              </w:rPr>
              <w:t xml:space="preserve"> России не включило новые населенные пункты, в которых ПАО «Ростелеком» приступило к выполнению организационно-технических мероприятий, в перечни № 403 и № 606.</w:t>
            </w:r>
            <w:r>
              <w:rPr>
                <w:color w:val="000000"/>
                <w:sz w:val="19"/>
                <w:szCs w:val="19"/>
              </w:rPr>
              <w:br/>
              <w:t xml:space="preserve">В результате в 7 случаях ПАО «Ростелеком» выполнило организационно-технические мероприятия и оказывает УУС подвижной радиотелефонной связи в населенных пунктах, не вошедших в перечни № 403 и № 606, что не соответствует пункту 1 статьи 46 Закона о связи, согласно которому оператор связи обязан руководствоваться при проектировании, построении, реконструкции, вводе в эксплуатацию и эксплуатации сетей связи нормативными правовыми актами федерального органа исполнительной власти в области связи, пункту 3 Требований к построению, управлению или нумерации, организационно-техническому обеспечению устойчивого функционирования, условиям взаимодействия сети связи при оказании УУС подвижной радиотелефонной связи, оказываемых с использованием точек </w:t>
            </w:r>
            <w:r>
              <w:rPr>
                <w:color w:val="000000"/>
                <w:sz w:val="19"/>
                <w:szCs w:val="19"/>
              </w:rPr>
              <w:lastRenderedPageBreak/>
              <w:t xml:space="preserve">доступа, утвержденных приказом </w:t>
            </w:r>
            <w:proofErr w:type="spellStart"/>
            <w:r>
              <w:rPr>
                <w:color w:val="000000"/>
                <w:sz w:val="19"/>
                <w:szCs w:val="19"/>
              </w:rPr>
              <w:t>Минцифры</w:t>
            </w:r>
            <w:proofErr w:type="spellEnd"/>
            <w:r>
              <w:rPr>
                <w:color w:val="000000"/>
                <w:sz w:val="19"/>
                <w:szCs w:val="19"/>
              </w:rPr>
              <w:t xml:space="preserve"> России от 10 сентября 2021 г. № 940, предусматривающему, что при построении и эксплуатации сети связи для оказания УУС подвижной радиотелефонной связи должна обеспечиваться возможность оказания УУС подвижной радиотелефонной связи в пределах административных границ населенных пунктов, вошедших в Перечень № 403 , а также пункту 2.1.4 Договора, согласно которому ПАО «Ростелеком» обязано оказывать УУС с соблюдением требований, установленных нормативными правовыми актами Российской Федерации.</w:t>
            </w:r>
          </w:p>
        </w:tc>
        <w:tc>
          <w:tcPr>
            <w:tcW w:w="124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EA186E" w:rsidRDefault="00EA186E">
            <w:pPr>
              <w:jc w:val="center"/>
              <w:rPr>
                <w:color w:val="000000"/>
                <w:sz w:val="19"/>
                <w:szCs w:val="19"/>
              </w:rPr>
            </w:pPr>
          </w:p>
        </w:tc>
      </w:tr>
      <w:tr w:rsidR="00EA186E" w:rsidTr="003068DB">
        <w:tc>
          <w:tcPr>
            <w:tcW w:w="2039" w:type="dxa"/>
            <w:gridSpan w:val="4"/>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ПУБЛИЧНОЕ АКЦИОНЕРНОЕ ОБЩЕСТВО "РОСТЕЛЕКОМ"</w:t>
            </w:r>
          </w:p>
        </w:tc>
        <w:tc>
          <w:tcPr>
            <w:tcW w:w="2040"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МИНИСТЕРСТВО ЦИФРОВОГО РАЗВИТИЯ, СВЯЗИ И МАССОВЫХ КОММУНИКАЦИЙ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Федеральный закон от 07.07.2003 № 126-ФЗ "О связи", /пункт 2 Статьи 58</w:t>
            </w:r>
          </w:p>
        </w:tc>
        <w:tc>
          <w:tcPr>
            <w:tcW w:w="226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XXX</w:t>
            </w:r>
          </w:p>
        </w:tc>
        <w:tc>
          <w:tcPr>
            <w:tcW w:w="358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2584623452. В нарушение пункта 2 статьи 58 Федерального закона от 7 июля 2003 г. № 126-ФЗ «О связи» (далее – Закон о связи), согласно которому стороны могут вносить изменения в договор об условиях оказания УУС в течение трех месяцев после дня вступления в силу федерального закона о федеральном бюджете на очередной финансовый год и на плановый период, ПАО «Ростелеком» в 2021–2023 годах заключило 11 дополнительных соглашений к Договору за пределами установленного срока.</w:t>
            </w:r>
          </w:p>
        </w:tc>
        <w:tc>
          <w:tcPr>
            <w:tcW w:w="124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EA186E" w:rsidRDefault="00EA186E">
            <w:pPr>
              <w:jc w:val="center"/>
              <w:rPr>
                <w:color w:val="000000"/>
                <w:sz w:val="19"/>
                <w:szCs w:val="19"/>
              </w:rPr>
            </w:pPr>
          </w:p>
        </w:tc>
      </w:tr>
      <w:tr w:rsidR="00EA186E" w:rsidTr="003068DB">
        <w:tc>
          <w:tcPr>
            <w:tcW w:w="2039" w:type="dxa"/>
            <w:gridSpan w:val="4"/>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ПУБЛИЧНОЕ АКЦИОНЕРНОЕ ОБЩЕСТВО "РОСТЕЛЕКОМ"</w:t>
            </w:r>
          </w:p>
        </w:tc>
        <w:tc>
          <w:tcPr>
            <w:tcW w:w="2040"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МИНИСТЕРСТВО ЦИФРОВОГО РАЗВИТИЯ, СВЯЗИ И МАССОВЫХ КОММУНИКАЦИЙ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Федеральный закон от 07.07.2003 № 126-ФЗ "О связи", /пункт 2 Статьи 57</w:t>
            </w:r>
          </w:p>
        </w:tc>
        <w:tc>
          <w:tcPr>
            <w:tcW w:w="226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XXX</w:t>
            </w:r>
          </w:p>
        </w:tc>
        <w:tc>
          <w:tcPr>
            <w:tcW w:w="358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2512006453. Пунктом 2 статьи 57 Закона о связи  установлены принципы, определяющие критерии и условия оказания УУС в том числе:</w:t>
            </w:r>
            <w:r>
              <w:rPr>
                <w:color w:val="000000"/>
                <w:sz w:val="19"/>
                <w:szCs w:val="19"/>
              </w:rPr>
              <w:br/>
              <w:t>в населенных пунктах с населением от ста до пятисот человек, в которых не оказываются услуги по передаче данных и предоставлению доступа к сети «Интернет», должна быть установлена не менее чем одна точка доступа для оказания услуг по передаче данных и предоставлению доступа к сети «Интернет»;</w:t>
            </w:r>
            <w:r>
              <w:rPr>
                <w:color w:val="000000"/>
                <w:sz w:val="19"/>
                <w:szCs w:val="19"/>
              </w:rPr>
              <w:br/>
              <w:t xml:space="preserve">в населенных пунктах с населением от ста до пятисот человек, в которых </w:t>
            </w:r>
            <w:r>
              <w:rPr>
                <w:color w:val="000000"/>
                <w:sz w:val="19"/>
                <w:szCs w:val="19"/>
              </w:rPr>
              <w:lastRenderedPageBreak/>
              <w:t>устанавливаются точки доступа в соответствии со статьей 57 Закона о связи, и при этом не оказываются услуги подвижной радиотелефонной связи, не менее чем одна точка доступа должна быть оборудована средствами связи, используемыми для оказания услуг подвижной радиотелефонной связи.</w:t>
            </w:r>
            <w:r>
              <w:rPr>
                <w:color w:val="000000"/>
                <w:sz w:val="19"/>
                <w:szCs w:val="19"/>
              </w:rPr>
              <w:br/>
              <w:t xml:space="preserve">Согласно пункту 1 и абзацу третьему пункта 3.2 Правил оказания универсальных услуг связи, утвержденных постановлением Правительства Российской Федерации от 21 апреля 2005 г. № 241 (далее – Правила № 241), операторы связи, на которых Правительством Российской Федерации возложена обязанность по оказанию УУС, оказывают УУС в соответствии с положениями Правил № 241, в том числе предусматривающими, что в целях установки точки доступа для оказания услуг по передаче данных и предоставлению доступа к сети «Интернет» отсутствием указанных услуг в населенном пункте считается ситуация, при которой в населенном пункте оказывают </w:t>
            </w:r>
            <w:proofErr w:type="spellStart"/>
            <w:r>
              <w:rPr>
                <w:color w:val="000000"/>
                <w:sz w:val="19"/>
                <w:szCs w:val="19"/>
              </w:rPr>
              <w:t>телематические</w:t>
            </w:r>
            <w:proofErr w:type="spellEnd"/>
            <w:r>
              <w:rPr>
                <w:color w:val="000000"/>
                <w:sz w:val="19"/>
                <w:szCs w:val="19"/>
              </w:rPr>
              <w:t xml:space="preserve"> услуги связи и услуги связи по передаче данных со скоростью передачи данных от оборудования оператора связи к пользовательскому оборудованию абонента менее 10 Мбит/с.</w:t>
            </w:r>
            <w:r>
              <w:rPr>
                <w:color w:val="000000"/>
                <w:sz w:val="19"/>
                <w:szCs w:val="19"/>
              </w:rPr>
              <w:br/>
              <w:t xml:space="preserve">ПАО «Ростелеком» в 2021 году выполнило организационно-технические мероприятия (то есть установило точки доступа) в 188 населенных пунктах, в которых согласно данным, предоставленным </w:t>
            </w:r>
            <w:proofErr w:type="spellStart"/>
            <w:r>
              <w:rPr>
                <w:color w:val="000000"/>
                <w:sz w:val="19"/>
                <w:szCs w:val="19"/>
              </w:rPr>
              <w:t>Роскомнадзором</w:t>
            </w:r>
            <w:proofErr w:type="spellEnd"/>
            <w:r>
              <w:rPr>
                <w:color w:val="000000"/>
                <w:sz w:val="19"/>
                <w:szCs w:val="19"/>
              </w:rPr>
              <w:t xml:space="preserve"> , на момент начала оказания УУС по передаче данных и предоставлению доступа к сети «Интернет», оказываемых с использованием точек доступа, другие операторы связи оказывали </w:t>
            </w:r>
            <w:proofErr w:type="spellStart"/>
            <w:r>
              <w:rPr>
                <w:color w:val="000000"/>
                <w:sz w:val="19"/>
                <w:szCs w:val="19"/>
              </w:rPr>
              <w:t>телематические</w:t>
            </w:r>
            <w:proofErr w:type="spellEnd"/>
            <w:r>
              <w:rPr>
                <w:color w:val="000000"/>
                <w:sz w:val="19"/>
                <w:szCs w:val="19"/>
              </w:rPr>
              <w:t xml:space="preserve"> услуги связи и услуги по передаче данных </w:t>
            </w:r>
            <w:r>
              <w:rPr>
                <w:color w:val="000000"/>
                <w:sz w:val="19"/>
                <w:szCs w:val="19"/>
              </w:rPr>
              <w:lastRenderedPageBreak/>
              <w:t xml:space="preserve">в стандарте LTE , то есть качеством не ниже предусмотренного Договором. </w:t>
            </w:r>
            <w:r>
              <w:rPr>
                <w:color w:val="000000"/>
                <w:sz w:val="19"/>
                <w:szCs w:val="19"/>
              </w:rPr>
              <w:br/>
              <w:t>При этом ПАО «Ростелеком» выполнило указанные организационно-технические мероприятия без подтверждения отсутствия существующих услуг по передаче данных и предоставлению доступа к сети «Интернет» и, соответственно, без внесения предложений по исключению населенных пунктов из перечня населенных пунктов, подлежащих обеспечению указанными услугами, что свидетельствует о ненадлежащем исполнении ПАО «Ростелеком» обязанностей оператора универсального обслуживания, в том числе предусмотренных пунктом 2.1.4 Договора, согласно которому оператор универсального обслуживания обязан оказывать УУС с соблюдением требований, установленных нормативными правовыми актами Российской Федерации.</w:t>
            </w:r>
            <w:r>
              <w:rPr>
                <w:color w:val="000000"/>
                <w:sz w:val="19"/>
                <w:szCs w:val="19"/>
              </w:rPr>
              <w:br/>
              <w:t>В этой связи обеспечение точками доступа указанных населенных пунктов привело к расходованию средств федерального бюджета в размере 699 681 698,68 рублей (</w:t>
            </w:r>
            <w:proofErr w:type="spellStart"/>
            <w:r>
              <w:rPr>
                <w:color w:val="000000"/>
                <w:sz w:val="19"/>
                <w:szCs w:val="19"/>
              </w:rPr>
              <w:t>расчетно</w:t>
            </w:r>
            <w:proofErr w:type="spellEnd"/>
            <w:r>
              <w:rPr>
                <w:color w:val="000000"/>
                <w:sz w:val="19"/>
                <w:szCs w:val="19"/>
              </w:rPr>
              <w:t xml:space="preserve"> ) с несоблюдением установленных пунктом 2 статьи 57 Закона о связи принципов, определяющих критерии и условия оказания УУС.</w:t>
            </w:r>
          </w:p>
        </w:tc>
        <w:tc>
          <w:tcPr>
            <w:tcW w:w="124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EA186E" w:rsidRDefault="00EA186E">
            <w:pPr>
              <w:jc w:val="center"/>
              <w:rPr>
                <w:color w:val="000000"/>
                <w:sz w:val="19"/>
                <w:szCs w:val="19"/>
              </w:rPr>
            </w:pPr>
          </w:p>
        </w:tc>
      </w:tr>
      <w:tr w:rsidR="00EA186E" w:rsidTr="003068DB">
        <w:tc>
          <w:tcPr>
            <w:tcW w:w="2039" w:type="dxa"/>
            <w:gridSpan w:val="4"/>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ПУБЛИЧНОЕ АКЦИОНЕРНОЕ ОБЩЕСТВО "РОСТЕЛЕКОМ"</w:t>
            </w:r>
          </w:p>
        </w:tc>
        <w:tc>
          <w:tcPr>
            <w:tcW w:w="2040"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МИНИСТЕРСТВО ЦИФРОВОГО РАЗВИТИЯ, СВЯЗИ И МАССОВЫХ КОММУНИКАЦИЙ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Федеральный закон от 07.07.2003 № 126-ФЗ "О связи", /пункт 1 Статьи 46</w:t>
            </w:r>
          </w:p>
        </w:tc>
        <w:tc>
          <w:tcPr>
            <w:tcW w:w="226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XXX</w:t>
            </w:r>
          </w:p>
        </w:tc>
        <w:tc>
          <w:tcPr>
            <w:tcW w:w="3585" w:type="dxa"/>
            <w:gridSpan w:val="2"/>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t xml:space="preserve">2598794385. В 7 случаях ПАО «Ростелеком», руководствуясь дополнительным соглашением от 31 мая 2023 г. № 30  к Договору, выполнило организационно-технические мероприятия (установило базовые станции) и приступило к оказанию УУС подвижной радиотелефонной связи в населенных пунктах, не вошедших в перечень населенных пунктов с населением от ста до пятисот человек, в которых должны быть установлены точки доступа, в том числе точки доступа, которые должны быть </w:t>
            </w:r>
            <w:r>
              <w:rPr>
                <w:color w:val="000000"/>
                <w:sz w:val="19"/>
                <w:szCs w:val="19"/>
              </w:rPr>
              <w:lastRenderedPageBreak/>
              <w:t xml:space="preserve">оборудованы средствами связи, используемыми для оказания услуг подвижной радиотелефонной связи, утвержденный приказом </w:t>
            </w:r>
            <w:proofErr w:type="spellStart"/>
            <w:r>
              <w:rPr>
                <w:color w:val="000000"/>
                <w:sz w:val="19"/>
                <w:szCs w:val="19"/>
              </w:rPr>
              <w:t>Минцифры</w:t>
            </w:r>
            <w:proofErr w:type="spellEnd"/>
            <w:r>
              <w:rPr>
                <w:color w:val="000000"/>
                <w:sz w:val="19"/>
                <w:szCs w:val="19"/>
              </w:rPr>
              <w:t xml:space="preserve"> России от 19 августа 2020 г. № 403  (далее – Перечень № 403), и перечень, утвержденный взамен названного приказом </w:t>
            </w:r>
            <w:proofErr w:type="spellStart"/>
            <w:r>
              <w:rPr>
                <w:color w:val="000000"/>
                <w:sz w:val="19"/>
                <w:szCs w:val="19"/>
              </w:rPr>
              <w:t>Минцифры</w:t>
            </w:r>
            <w:proofErr w:type="spellEnd"/>
            <w:r>
              <w:rPr>
                <w:color w:val="000000"/>
                <w:sz w:val="19"/>
                <w:szCs w:val="19"/>
              </w:rPr>
              <w:t xml:space="preserve"> России от 3 июля 2023 г. № 606, что не соответствует пункту 1 статьи 46 Закона о связи, согласно которому оператор связи обязан руководствоваться при проектировании, построении, реконструкции, вводе в эксплуатацию и эксплуатации сетей связи нормативными правовыми актами федерального органа исполнительной власти в области связи, пункту 3 Требований к построению, управлению или нумерации, организационно-техническому обеспечению устойчивого функционирования, условиям взаимодействия сети связи при оказании УУС подвижной радиотелефонной связи, оказываемых с использованием точек доступа, утвержденных приказом </w:t>
            </w:r>
            <w:proofErr w:type="spellStart"/>
            <w:r>
              <w:rPr>
                <w:color w:val="000000"/>
                <w:sz w:val="19"/>
                <w:szCs w:val="19"/>
              </w:rPr>
              <w:t>Минцифры</w:t>
            </w:r>
            <w:proofErr w:type="spellEnd"/>
            <w:r>
              <w:rPr>
                <w:color w:val="000000"/>
                <w:sz w:val="19"/>
                <w:szCs w:val="19"/>
              </w:rPr>
              <w:t xml:space="preserve"> России от 10 сентября 2021 г. № 940, предусматривающему, что при построении и эксплуатации сети связи для оказания УУС подвижной радиотелефонной связи должна обеспечиваться возможность оказания УУС подвижной радиотелефонной связи в пределах административных границ населенных пунктов, вошедших в Перечень № 403, а также пункту 2.1.4 Договора.</w:t>
            </w:r>
          </w:p>
        </w:tc>
        <w:tc>
          <w:tcPr>
            <w:tcW w:w="1245" w:type="dxa"/>
            <w:tcBorders>
              <w:top w:val="single" w:sz="6" w:space="0" w:color="000000"/>
              <w:left w:val="single" w:sz="6" w:space="0" w:color="000000"/>
              <w:bottom w:val="single" w:sz="6" w:space="0" w:color="000000"/>
              <w:right w:val="single" w:sz="6" w:space="0" w:color="000000"/>
            </w:tcBorders>
          </w:tcPr>
          <w:p w:rsidR="00EA186E" w:rsidRDefault="00E33E37">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EA186E" w:rsidRDefault="00EA186E">
            <w:pPr>
              <w:jc w:val="center"/>
              <w:rPr>
                <w:color w:val="000000"/>
                <w:sz w:val="19"/>
                <w:szCs w:val="19"/>
              </w:rPr>
            </w:pPr>
          </w:p>
        </w:tc>
      </w:tr>
      <w:tr w:rsidR="00EA186E" w:rsidTr="003068DB">
        <w:trPr>
          <w:gridAfter w:val="1"/>
          <w:wAfter w:w="15" w:type="dxa"/>
          <w:trHeight w:val="345"/>
        </w:trPr>
        <w:tc>
          <w:tcPr>
            <w:tcW w:w="12194" w:type="dxa"/>
            <w:gridSpan w:val="11"/>
            <w:tcBorders>
              <w:top w:val="single" w:sz="6" w:space="0" w:color="000000"/>
              <w:left w:val="single" w:sz="6" w:space="0" w:color="000000"/>
              <w:bottom w:val="single" w:sz="6" w:space="0" w:color="000000"/>
              <w:right w:val="single" w:sz="6" w:space="0" w:color="000000"/>
            </w:tcBorders>
            <w:vAlign w:val="center"/>
          </w:tcPr>
          <w:p w:rsidR="00EA186E" w:rsidRDefault="00E33E37">
            <w:pPr>
              <w:ind w:right="113"/>
              <w:jc w:val="right"/>
              <w:rPr>
                <w:b/>
                <w:bCs/>
                <w:color w:val="000000"/>
                <w:sz w:val="19"/>
                <w:szCs w:val="19"/>
              </w:rPr>
            </w:pPr>
            <w:r>
              <w:rPr>
                <w:b/>
                <w:bCs/>
                <w:color w:val="000000"/>
                <w:sz w:val="19"/>
                <w:szCs w:val="19"/>
              </w:rPr>
              <w:lastRenderedPageBreak/>
              <w:t>Всего по разделу 2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b/>
                <w:bCs/>
                <w:color w:val="000000"/>
                <w:sz w:val="19"/>
                <w:szCs w:val="19"/>
              </w:rPr>
            </w:pPr>
            <w:r>
              <w:rPr>
                <w:b/>
                <w:bCs/>
                <w:color w:val="000000"/>
                <w:sz w:val="19"/>
                <w:szCs w:val="19"/>
              </w:rPr>
              <w:t>0,0</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EA186E" w:rsidRDefault="00EA186E">
            <w:pPr>
              <w:jc w:val="center"/>
              <w:rPr>
                <w:b/>
                <w:bCs/>
                <w:color w:val="000000"/>
                <w:sz w:val="19"/>
                <w:szCs w:val="19"/>
              </w:rPr>
            </w:pPr>
          </w:p>
        </w:tc>
      </w:tr>
      <w:tr w:rsidR="00EA186E" w:rsidTr="003068DB">
        <w:trPr>
          <w:trHeight w:val="330"/>
        </w:trPr>
        <w:tc>
          <w:tcPr>
            <w:tcW w:w="15134" w:type="dxa"/>
            <w:gridSpan w:val="16"/>
            <w:tcBorders>
              <w:top w:val="single" w:sz="6" w:space="0" w:color="000000"/>
              <w:left w:val="single" w:sz="6" w:space="0" w:color="000000"/>
              <w:bottom w:val="single" w:sz="6" w:space="0" w:color="000000"/>
              <w:right w:val="single" w:sz="6" w:space="0" w:color="000000"/>
            </w:tcBorders>
            <w:vAlign w:val="center"/>
          </w:tcPr>
          <w:p w:rsidR="00EA186E" w:rsidRDefault="00E33E37">
            <w:pPr>
              <w:rPr>
                <w:b/>
                <w:bCs/>
                <w:color w:val="000000"/>
                <w:sz w:val="19"/>
                <w:szCs w:val="19"/>
              </w:rPr>
            </w:pPr>
            <w:r>
              <w:rPr>
                <w:b/>
                <w:bCs/>
                <w:color w:val="000000"/>
                <w:sz w:val="19"/>
                <w:szCs w:val="19"/>
              </w:rPr>
              <w:t>3. Неэффективное использование федеральных и иных ресурсов в пределах компетенции Счетной палаты</w:t>
            </w:r>
          </w:p>
        </w:tc>
      </w:tr>
      <w:tr w:rsidR="00EA186E" w:rsidTr="003068DB">
        <w:trPr>
          <w:trHeight w:val="345"/>
        </w:trPr>
        <w:tc>
          <w:tcPr>
            <w:tcW w:w="15134" w:type="dxa"/>
            <w:gridSpan w:val="16"/>
            <w:tcBorders>
              <w:top w:val="single" w:sz="6" w:space="0" w:color="000000"/>
              <w:left w:val="single" w:sz="6" w:space="0" w:color="000000"/>
              <w:bottom w:val="single" w:sz="6" w:space="0" w:color="000000"/>
              <w:right w:val="single" w:sz="6" w:space="0" w:color="000000"/>
            </w:tcBorders>
            <w:vAlign w:val="center"/>
          </w:tcPr>
          <w:p w:rsidR="00EA186E" w:rsidRDefault="00E33E37">
            <w:pPr>
              <w:rPr>
                <w:b/>
                <w:bCs/>
                <w:color w:val="000000"/>
                <w:sz w:val="19"/>
                <w:szCs w:val="19"/>
              </w:rPr>
            </w:pPr>
            <w:r>
              <w:rPr>
                <w:b/>
                <w:bCs/>
                <w:color w:val="000000"/>
                <w:sz w:val="19"/>
                <w:szCs w:val="19"/>
              </w:rPr>
              <w:t>3.1. Неэффективное использование средств федерального бюджета и бюджета государственных внебюджетных фондов</w:t>
            </w:r>
          </w:p>
        </w:tc>
      </w:tr>
      <w:tr w:rsidR="00EA186E" w:rsidTr="003068DB">
        <w:trPr>
          <w:trHeight w:val="345"/>
        </w:trPr>
        <w:tc>
          <w:tcPr>
            <w:tcW w:w="15134" w:type="dxa"/>
            <w:gridSpan w:val="16"/>
            <w:tcBorders>
              <w:top w:val="single" w:sz="6" w:space="0" w:color="000000"/>
              <w:left w:val="single" w:sz="6" w:space="0" w:color="000000"/>
              <w:bottom w:val="single" w:sz="6" w:space="0" w:color="000000"/>
              <w:right w:val="single" w:sz="6" w:space="0" w:color="000000"/>
            </w:tcBorders>
            <w:vAlign w:val="center"/>
          </w:tcPr>
          <w:p w:rsidR="00EA186E" w:rsidRDefault="00E33E37">
            <w:pPr>
              <w:rPr>
                <w:b/>
                <w:bCs/>
                <w:color w:val="000000"/>
                <w:sz w:val="19"/>
                <w:szCs w:val="19"/>
              </w:rPr>
            </w:pPr>
            <w:r>
              <w:rPr>
                <w:b/>
                <w:bCs/>
                <w:color w:val="000000"/>
                <w:sz w:val="19"/>
                <w:szCs w:val="19"/>
              </w:rPr>
              <w:t>3.2. Неэффективное использование федеральной собственности и иных ресурсов</w:t>
            </w:r>
          </w:p>
        </w:tc>
      </w:tr>
      <w:tr w:rsidR="00EA186E" w:rsidTr="003068DB">
        <w:trPr>
          <w:gridAfter w:val="1"/>
          <w:wAfter w:w="15" w:type="dxa"/>
          <w:trHeight w:val="330"/>
        </w:trPr>
        <w:tc>
          <w:tcPr>
            <w:tcW w:w="12194" w:type="dxa"/>
            <w:gridSpan w:val="11"/>
            <w:tcBorders>
              <w:top w:val="single" w:sz="6" w:space="0" w:color="000000"/>
              <w:left w:val="single" w:sz="6" w:space="0" w:color="000000"/>
              <w:bottom w:val="single" w:sz="6" w:space="0" w:color="000000"/>
              <w:right w:val="single" w:sz="6" w:space="0" w:color="000000"/>
            </w:tcBorders>
            <w:vAlign w:val="center"/>
          </w:tcPr>
          <w:p w:rsidR="00EA186E" w:rsidRDefault="00E33E37">
            <w:pPr>
              <w:ind w:right="113"/>
              <w:jc w:val="right"/>
              <w:rPr>
                <w:b/>
                <w:bCs/>
                <w:color w:val="000000"/>
                <w:sz w:val="19"/>
                <w:szCs w:val="19"/>
              </w:rPr>
            </w:pPr>
            <w:r>
              <w:rPr>
                <w:b/>
                <w:bCs/>
                <w:color w:val="000000"/>
                <w:sz w:val="19"/>
                <w:szCs w:val="19"/>
              </w:rPr>
              <w:t>Всего по разделу 3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b/>
                <w:bCs/>
                <w:color w:val="000000"/>
                <w:sz w:val="19"/>
                <w:szCs w:val="19"/>
              </w:rPr>
            </w:pPr>
            <w:r>
              <w:rPr>
                <w:b/>
                <w:bCs/>
                <w:color w:val="000000"/>
                <w:sz w:val="19"/>
                <w:szCs w:val="19"/>
              </w:rPr>
              <w:t>0,0</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EA186E" w:rsidRDefault="00EA186E">
            <w:pPr>
              <w:jc w:val="center"/>
              <w:rPr>
                <w:b/>
                <w:bCs/>
                <w:color w:val="000000"/>
                <w:sz w:val="19"/>
                <w:szCs w:val="19"/>
              </w:rPr>
            </w:pPr>
          </w:p>
        </w:tc>
      </w:tr>
      <w:tr w:rsidR="00EA186E" w:rsidTr="003068DB">
        <w:trPr>
          <w:trHeight w:hRule="exact" w:val="30"/>
        </w:trPr>
        <w:tc>
          <w:tcPr>
            <w:tcW w:w="29" w:type="dxa"/>
            <w:vMerge w:val="restart"/>
            <w:tcBorders>
              <w:top w:val="nil"/>
              <w:left w:val="nil"/>
              <w:bottom w:val="nil"/>
              <w:right w:val="nil"/>
            </w:tcBorders>
          </w:tcPr>
          <w:p w:rsidR="00EA186E" w:rsidRDefault="00E33E37">
            <w:pPr>
              <w:rPr>
                <w:color w:val="000000"/>
                <w:sz w:val="1"/>
                <w:szCs w:val="1"/>
              </w:rPr>
            </w:pPr>
            <w:r>
              <w:rPr>
                <w:noProof/>
              </w:rPr>
              <w:drawing>
                <wp:inline distT="0" distB="0" distL="0" distR="0">
                  <wp:extent cx="19050" cy="358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9050" cy="3581400"/>
                          </a:xfrm>
                          <a:prstGeom prst="rect">
                            <a:avLst/>
                          </a:prstGeom>
                          <a:noFill/>
                        </pic:spPr>
                      </pic:pic>
                    </a:graphicData>
                  </a:graphic>
                </wp:inline>
              </w:drawing>
            </w:r>
          </w:p>
        </w:tc>
        <w:tc>
          <w:tcPr>
            <w:tcW w:w="15075" w:type="dxa"/>
            <w:gridSpan w:val="13"/>
            <w:tcBorders>
              <w:top w:val="nil"/>
              <w:left w:val="nil"/>
              <w:bottom w:val="nil"/>
              <w:right w:val="nil"/>
            </w:tcBorders>
          </w:tcPr>
          <w:p w:rsidR="00EA186E" w:rsidRDefault="00E33E37">
            <w:pPr>
              <w:rPr>
                <w:color w:val="000000"/>
                <w:sz w:val="1"/>
                <w:szCs w:val="1"/>
              </w:rPr>
            </w:pPr>
            <w:r>
              <w:rPr>
                <w:noProof/>
              </w:rPr>
              <w:drawing>
                <wp:inline distT="0" distB="0" distL="0" distR="0">
                  <wp:extent cx="9572625"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9572625" cy="19050"/>
                          </a:xfrm>
                          <a:prstGeom prst="rect">
                            <a:avLst/>
                          </a:prstGeom>
                          <a:noFill/>
                        </pic:spPr>
                      </pic:pic>
                    </a:graphicData>
                  </a:graphic>
                </wp:inline>
              </w:drawing>
            </w:r>
          </w:p>
        </w:tc>
        <w:tc>
          <w:tcPr>
            <w:tcW w:w="30" w:type="dxa"/>
            <w:gridSpan w:val="2"/>
            <w:vMerge w:val="restart"/>
            <w:tcBorders>
              <w:top w:val="nil"/>
              <w:left w:val="nil"/>
              <w:bottom w:val="nil"/>
              <w:right w:val="nil"/>
            </w:tcBorders>
          </w:tcPr>
          <w:p w:rsidR="00EA186E" w:rsidRDefault="00E33E37">
            <w:pPr>
              <w:rPr>
                <w:color w:val="000000"/>
                <w:sz w:val="1"/>
                <w:szCs w:val="1"/>
              </w:rPr>
            </w:pPr>
            <w:r>
              <w:rPr>
                <w:noProof/>
              </w:rPr>
              <w:drawing>
                <wp:inline distT="0" distB="0" distL="0" distR="0">
                  <wp:extent cx="19050" cy="3581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19050" cy="3581400"/>
                          </a:xfrm>
                          <a:prstGeom prst="rect">
                            <a:avLst/>
                          </a:prstGeom>
                          <a:noFill/>
                        </pic:spPr>
                      </pic:pic>
                    </a:graphicData>
                  </a:graphic>
                </wp:inline>
              </w:drawing>
            </w:r>
          </w:p>
        </w:tc>
      </w:tr>
      <w:tr w:rsidR="00EA186E" w:rsidTr="003068DB">
        <w:trPr>
          <w:trHeight w:hRule="exact" w:val="150"/>
        </w:trPr>
        <w:tc>
          <w:tcPr>
            <w:tcW w:w="29" w:type="dxa"/>
            <w:vMerge/>
            <w:tcBorders>
              <w:top w:val="nil"/>
              <w:left w:val="nil"/>
              <w:bottom w:val="nil"/>
              <w:right w:val="nil"/>
            </w:tcBorders>
          </w:tcPr>
          <w:p w:rsidR="00EA186E" w:rsidRDefault="00EA186E">
            <w:pPr>
              <w:rPr>
                <w:rFonts w:cstheme="minorBidi"/>
                <w:sz w:val="1"/>
                <w:szCs w:val="1"/>
              </w:rPr>
            </w:pPr>
          </w:p>
        </w:tc>
        <w:tc>
          <w:tcPr>
            <w:tcW w:w="150" w:type="dxa"/>
            <w:tcBorders>
              <w:top w:val="nil"/>
              <w:left w:val="nil"/>
              <w:bottom w:val="nil"/>
              <w:right w:val="nil"/>
            </w:tcBorders>
          </w:tcPr>
          <w:p w:rsidR="00EA186E" w:rsidRDefault="00EA186E">
            <w:pPr>
              <w:rPr>
                <w:rFonts w:cstheme="minorBidi"/>
                <w:sz w:val="1"/>
                <w:szCs w:val="1"/>
              </w:rPr>
            </w:pPr>
          </w:p>
        </w:tc>
        <w:tc>
          <w:tcPr>
            <w:tcW w:w="1305" w:type="dxa"/>
            <w:tcBorders>
              <w:top w:val="nil"/>
              <w:left w:val="nil"/>
              <w:bottom w:val="nil"/>
              <w:right w:val="nil"/>
            </w:tcBorders>
          </w:tcPr>
          <w:p w:rsidR="00EA186E" w:rsidRDefault="00EA186E">
            <w:pPr>
              <w:rPr>
                <w:rFonts w:cstheme="minorBidi"/>
                <w:sz w:val="1"/>
                <w:szCs w:val="1"/>
              </w:rPr>
            </w:pPr>
          </w:p>
        </w:tc>
        <w:tc>
          <w:tcPr>
            <w:tcW w:w="1005" w:type="dxa"/>
            <w:gridSpan w:val="2"/>
            <w:tcBorders>
              <w:top w:val="nil"/>
              <w:left w:val="nil"/>
              <w:bottom w:val="nil"/>
              <w:right w:val="nil"/>
            </w:tcBorders>
          </w:tcPr>
          <w:p w:rsidR="00EA186E" w:rsidRDefault="00EA186E">
            <w:pPr>
              <w:rPr>
                <w:rFonts w:cstheme="minorBidi"/>
                <w:sz w:val="1"/>
                <w:szCs w:val="1"/>
              </w:rPr>
            </w:pPr>
          </w:p>
        </w:tc>
        <w:tc>
          <w:tcPr>
            <w:tcW w:w="3405" w:type="dxa"/>
            <w:gridSpan w:val="2"/>
            <w:tcBorders>
              <w:top w:val="nil"/>
              <w:left w:val="nil"/>
              <w:bottom w:val="nil"/>
              <w:right w:val="nil"/>
            </w:tcBorders>
          </w:tcPr>
          <w:p w:rsidR="00EA186E" w:rsidRDefault="00EA186E">
            <w:pPr>
              <w:rPr>
                <w:rFonts w:cstheme="minorBidi"/>
                <w:sz w:val="1"/>
                <w:szCs w:val="1"/>
              </w:rPr>
            </w:pPr>
          </w:p>
        </w:tc>
        <w:tc>
          <w:tcPr>
            <w:tcW w:w="2745" w:type="dxa"/>
            <w:gridSpan w:val="3"/>
            <w:tcBorders>
              <w:top w:val="nil"/>
              <w:left w:val="nil"/>
              <w:bottom w:val="nil"/>
              <w:right w:val="nil"/>
            </w:tcBorders>
          </w:tcPr>
          <w:p w:rsidR="00EA186E" w:rsidRDefault="00EA186E">
            <w:pPr>
              <w:rPr>
                <w:rFonts w:cstheme="minorBidi"/>
                <w:sz w:val="1"/>
                <w:szCs w:val="1"/>
              </w:rPr>
            </w:pPr>
          </w:p>
        </w:tc>
        <w:tc>
          <w:tcPr>
            <w:tcW w:w="6315" w:type="dxa"/>
            <w:gridSpan w:val="3"/>
            <w:tcBorders>
              <w:top w:val="nil"/>
              <w:left w:val="nil"/>
              <w:bottom w:val="nil"/>
              <w:right w:val="nil"/>
            </w:tcBorders>
          </w:tcPr>
          <w:p w:rsidR="00EA186E" w:rsidRDefault="00EA186E">
            <w:pPr>
              <w:rPr>
                <w:rFonts w:cstheme="minorBidi"/>
                <w:sz w:val="1"/>
                <w:szCs w:val="1"/>
              </w:rPr>
            </w:pPr>
          </w:p>
        </w:tc>
        <w:tc>
          <w:tcPr>
            <w:tcW w:w="150" w:type="dxa"/>
            <w:tcBorders>
              <w:top w:val="nil"/>
              <w:left w:val="nil"/>
              <w:bottom w:val="nil"/>
              <w:right w:val="nil"/>
            </w:tcBorders>
          </w:tcPr>
          <w:p w:rsidR="00EA186E" w:rsidRDefault="00EA186E">
            <w:pPr>
              <w:rPr>
                <w:rFonts w:cstheme="minorBidi"/>
                <w:sz w:val="1"/>
                <w:szCs w:val="1"/>
              </w:rPr>
            </w:pPr>
          </w:p>
        </w:tc>
        <w:tc>
          <w:tcPr>
            <w:tcW w:w="30" w:type="dxa"/>
            <w:gridSpan w:val="2"/>
            <w:vMerge/>
            <w:tcBorders>
              <w:top w:val="nil"/>
              <w:left w:val="nil"/>
              <w:bottom w:val="nil"/>
              <w:right w:val="nil"/>
            </w:tcBorders>
          </w:tcPr>
          <w:p w:rsidR="00EA186E" w:rsidRDefault="00EA186E">
            <w:pPr>
              <w:rPr>
                <w:rFonts w:cstheme="minorBidi"/>
                <w:sz w:val="1"/>
                <w:szCs w:val="1"/>
              </w:rPr>
            </w:pPr>
          </w:p>
        </w:tc>
      </w:tr>
      <w:tr w:rsidR="00EA186E" w:rsidTr="003068DB">
        <w:tc>
          <w:tcPr>
            <w:tcW w:w="29" w:type="dxa"/>
            <w:vMerge/>
            <w:tcBorders>
              <w:top w:val="nil"/>
              <w:left w:val="nil"/>
              <w:bottom w:val="nil"/>
              <w:right w:val="nil"/>
            </w:tcBorders>
          </w:tcPr>
          <w:p w:rsidR="00EA186E" w:rsidRDefault="00EA186E">
            <w:pPr>
              <w:rPr>
                <w:rFonts w:cstheme="minorBidi"/>
                <w:sz w:val="1"/>
                <w:szCs w:val="1"/>
              </w:rPr>
            </w:pPr>
          </w:p>
        </w:tc>
        <w:tc>
          <w:tcPr>
            <w:tcW w:w="150" w:type="dxa"/>
            <w:tcBorders>
              <w:top w:val="nil"/>
              <w:left w:val="nil"/>
              <w:bottom w:val="nil"/>
              <w:right w:val="nil"/>
            </w:tcBorders>
          </w:tcPr>
          <w:p w:rsidR="00EA186E" w:rsidRDefault="00EA186E">
            <w:pPr>
              <w:rPr>
                <w:rFonts w:cstheme="minorBidi"/>
                <w:sz w:val="1"/>
                <w:szCs w:val="1"/>
              </w:rPr>
            </w:pPr>
          </w:p>
        </w:tc>
        <w:tc>
          <w:tcPr>
            <w:tcW w:w="1305" w:type="dxa"/>
            <w:tcBorders>
              <w:top w:val="nil"/>
              <w:left w:val="nil"/>
              <w:bottom w:val="nil"/>
              <w:right w:val="nil"/>
            </w:tcBorders>
            <w:vAlign w:val="center"/>
          </w:tcPr>
          <w:p w:rsidR="00EA186E" w:rsidRDefault="00E33E37">
            <w:pPr>
              <w:jc w:val="center"/>
              <w:rPr>
                <w:color w:val="000000"/>
                <w:sz w:val="1"/>
                <w:szCs w:val="1"/>
              </w:rPr>
            </w:pPr>
            <w:r>
              <w:rPr>
                <w:noProof/>
              </w:rPr>
              <w:drawing>
                <wp:inline distT="0" distB="0" distL="0" distR="0">
                  <wp:extent cx="82550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825500" cy="647700"/>
                          </a:xfrm>
                          <a:prstGeom prst="rect">
                            <a:avLst/>
                          </a:prstGeom>
                          <a:noFill/>
                        </pic:spPr>
                      </pic:pic>
                    </a:graphicData>
                  </a:graphic>
                </wp:inline>
              </w:drawing>
            </w:r>
          </w:p>
        </w:tc>
        <w:tc>
          <w:tcPr>
            <w:tcW w:w="13470" w:type="dxa"/>
            <w:gridSpan w:val="10"/>
            <w:tcBorders>
              <w:top w:val="nil"/>
              <w:left w:val="nil"/>
              <w:bottom w:val="nil"/>
              <w:right w:val="nil"/>
            </w:tcBorders>
            <w:vAlign w:val="center"/>
          </w:tcPr>
          <w:p w:rsidR="00EA186E" w:rsidRDefault="00E33E37">
            <w:pPr>
              <w:jc w:val="center"/>
              <w:rPr>
                <w:color w:val="000000"/>
                <w:sz w:val="40"/>
                <w:szCs w:val="40"/>
              </w:rPr>
            </w:pPr>
            <w:r>
              <w:rPr>
                <w:color w:val="000000"/>
                <w:sz w:val="40"/>
                <w:szCs w:val="40"/>
              </w:rPr>
              <w:t>ДОКУМЕНТ ПОДПИСАН ЭЛЕКТРОННОЙ ПОДПИСЬЮ</w:t>
            </w:r>
          </w:p>
        </w:tc>
        <w:tc>
          <w:tcPr>
            <w:tcW w:w="150" w:type="dxa"/>
            <w:tcBorders>
              <w:top w:val="nil"/>
              <w:left w:val="nil"/>
              <w:bottom w:val="nil"/>
              <w:right w:val="nil"/>
            </w:tcBorders>
          </w:tcPr>
          <w:p w:rsidR="00EA186E" w:rsidRDefault="00EA186E">
            <w:pPr>
              <w:rPr>
                <w:rFonts w:cstheme="minorBidi"/>
                <w:sz w:val="1"/>
                <w:szCs w:val="1"/>
              </w:rPr>
            </w:pPr>
          </w:p>
        </w:tc>
        <w:tc>
          <w:tcPr>
            <w:tcW w:w="30" w:type="dxa"/>
            <w:gridSpan w:val="2"/>
            <w:vMerge/>
            <w:tcBorders>
              <w:top w:val="nil"/>
              <w:left w:val="nil"/>
              <w:bottom w:val="nil"/>
              <w:right w:val="nil"/>
            </w:tcBorders>
          </w:tcPr>
          <w:p w:rsidR="00EA186E" w:rsidRDefault="00EA186E">
            <w:pPr>
              <w:rPr>
                <w:rFonts w:cstheme="minorBidi"/>
                <w:sz w:val="1"/>
                <w:szCs w:val="1"/>
              </w:rPr>
            </w:pPr>
          </w:p>
        </w:tc>
      </w:tr>
      <w:tr w:rsidR="00EA186E" w:rsidTr="003068DB">
        <w:trPr>
          <w:trHeight w:val="345"/>
        </w:trPr>
        <w:tc>
          <w:tcPr>
            <w:tcW w:w="29" w:type="dxa"/>
            <w:vMerge/>
            <w:tcBorders>
              <w:top w:val="nil"/>
              <w:left w:val="nil"/>
              <w:bottom w:val="nil"/>
              <w:right w:val="nil"/>
            </w:tcBorders>
          </w:tcPr>
          <w:p w:rsidR="00EA186E" w:rsidRDefault="00EA186E">
            <w:pPr>
              <w:rPr>
                <w:rFonts w:cstheme="minorBidi"/>
                <w:sz w:val="1"/>
                <w:szCs w:val="1"/>
              </w:rPr>
            </w:pPr>
          </w:p>
        </w:tc>
        <w:tc>
          <w:tcPr>
            <w:tcW w:w="150" w:type="dxa"/>
            <w:tcBorders>
              <w:top w:val="nil"/>
              <w:left w:val="nil"/>
              <w:bottom w:val="nil"/>
              <w:right w:val="nil"/>
            </w:tcBorders>
          </w:tcPr>
          <w:p w:rsidR="00EA186E" w:rsidRDefault="00EA186E">
            <w:pPr>
              <w:rPr>
                <w:rFonts w:cstheme="minorBidi"/>
                <w:sz w:val="1"/>
                <w:szCs w:val="1"/>
              </w:rPr>
            </w:pPr>
          </w:p>
        </w:tc>
        <w:tc>
          <w:tcPr>
            <w:tcW w:w="14775" w:type="dxa"/>
            <w:gridSpan w:val="11"/>
            <w:tcBorders>
              <w:top w:val="nil"/>
              <w:left w:val="nil"/>
              <w:bottom w:val="nil"/>
              <w:right w:val="nil"/>
            </w:tcBorders>
            <w:shd w:val="clear" w:color="auto" w:fill="000000"/>
            <w:vAlign w:val="center"/>
          </w:tcPr>
          <w:p w:rsidR="00EA186E" w:rsidRDefault="00E33E37">
            <w:pPr>
              <w:jc w:val="center"/>
              <w:rPr>
                <w:color w:val="FFFFFF"/>
                <w:sz w:val="28"/>
                <w:szCs w:val="28"/>
              </w:rPr>
            </w:pPr>
            <w:r>
              <w:rPr>
                <w:color w:val="FFFFFF"/>
                <w:sz w:val="28"/>
                <w:szCs w:val="28"/>
              </w:rPr>
              <w:t>СВЕДЕНИЯ О СЕРТИФИКАТЕ ЭП</w:t>
            </w:r>
          </w:p>
        </w:tc>
        <w:tc>
          <w:tcPr>
            <w:tcW w:w="150" w:type="dxa"/>
            <w:tcBorders>
              <w:top w:val="nil"/>
              <w:left w:val="nil"/>
              <w:bottom w:val="nil"/>
              <w:right w:val="nil"/>
            </w:tcBorders>
          </w:tcPr>
          <w:p w:rsidR="00EA186E" w:rsidRDefault="00EA186E">
            <w:pPr>
              <w:rPr>
                <w:rFonts w:cstheme="minorBidi"/>
                <w:sz w:val="1"/>
                <w:szCs w:val="1"/>
              </w:rPr>
            </w:pPr>
          </w:p>
        </w:tc>
        <w:tc>
          <w:tcPr>
            <w:tcW w:w="30" w:type="dxa"/>
            <w:gridSpan w:val="2"/>
            <w:vMerge/>
            <w:tcBorders>
              <w:top w:val="nil"/>
              <w:left w:val="nil"/>
              <w:bottom w:val="nil"/>
              <w:right w:val="nil"/>
            </w:tcBorders>
          </w:tcPr>
          <w:p w:rsidR="00EA186E" w:rsidRDefault="00EA186E">
            <w:pPr>
              <w:rPr>
                <w:rFonts w:cstheme="minorBidi"/>
                <w:sz w:val="1"/>
                <w:szCs w:val="1"/>
              </w:rPr>
            </w:pPr>
          </w:p>
        </w:tc>
      </w:tr>
      <w:tr w:rsidR="00EA186E" w:rsidTr="003068DB">
        <w:trPr>
          <w:trHeight w:val="330"/>
        </w:trPr>
        <w:tc>
          <w:tcPr>
            <w:tcW w:w="29" w:type="dxa"/>
            <w:vMerge/>
            <w:tcBorders>
              <w:top w:val="nil"/>
              <w:left w:val="nil"/>
              <w:bottom w:val="nil"/>
              <w:right w:val="nil"/>
            </w:tcBorders>
          </w:tcPr>
          <w:p w:rsidR="00EA186E" w:rsidRDefault="00EA186E">
            <w:pPr>
              <w:rPr>
                <w:rFonts w:cstheme="minorBidi"/>
                <w:sz w:val="1"/>
                <w:szCs w:val="1"/>
              </w:rPr>
            </w:pPr>
          </w:p>
        </w:tc>
        <w:tc>
          <w:tcPr>
            <w:tcW w:w="150" w:type="dxa"/>
            <w:tcBorders>
              <w:top w:val="nil"/>
              <w:left w:val="nil"/>
              <w:bottom w:val="nil"/>
              <w:right w:val="nil"/>
            </w:tcBorders>
          </w:tcPr>
          <w:p w:rsidR="00EA186E" w:rsidRDefault="00EA186E">
            <w:pPr>
              <w:rPr>
                <w:rFonts w:cstheme="minorBidi"/>
                <w:sz w:val="1"/>
                <w:szCs w:val="1"/>
              </w:rPr>
            </w:pPr>
          </w:p>
        </w:tc>
        <w:tc>
          <w:tcPr>
            <w:tcW w:w="2310" w:type="dxa"/>
            <w:gridSpan w:val="3"/>
            <w:tcBorders>
              <w:top w:val="single" w:sz="6" w:space="0" w:color="000000"/>
              <w:left w:val="single" w:sz="6" w:space="0" w:color="000000"/>
              <w:bottom w:val="single" w:sz="6" w:space="0" w:color="000000"/>
              <w:right w:val="single" w:sz="6" w:space="0" w:color="000000"/>
            </w:tcBorders>
            <w:vAlign w:val="center"/>
          </w:tcPr>
          <w:p w:rsidR="00EA186E" w:rsidRDefault="00E33E37">
            <w:pPr>
              <w:jc w:val="center"/>
              <w:rPr>
                <w:b/>
                <w:bCs/>
                <w:color w:val="000000"/>
                <w:sz w:val="24"/>
                <w:szCs w:val="24"/>
              </w:rPr>
            </w:pPr>
            <w:r>
              <w:rPr>
                <w:b/>
                <w:bCs/>
                <w:color w:val="000000"/>
                <w:sz w:val="24"/>
                <w:szCs w:val="24"/>
              </w:rPr>
              <w:t>Подписант</w:t>
            </w:r>
          </w:p>
        </w:tc>
        <w:tc>
          <w:tcPr>
            <w:tcW w:w="3405" w:type="dxa"/>
            <w:gridSpan w:val="2"/>
            <w:tcBorders>
              <w:top w:val="single" w:sz="6" w:space="0" w:color="000000"/>
              <w:left w:val="nil"/>
              <w:bottom w:val="single" w:sz="6" w:space="0" w:color="000000"/>
              <w:right w:val="single" w:sz="6" w:space="0" w:color="000000"/>
            </w:tcBorders>
            <w:vAlign w:val="center"/>
          </w:tcPr>
          <w:p w:rsidR="00EA186E" w:rsidRDefault="00E33E37">
            <w:pPr>
              <w:jc w:val="center"/>
              <w:rPr>
                <w:b/>
                <w:bCs/>
                <w:color w:val="000000"/>
                <w:sz w:val="24"/>
                <w:szCs w:val="24"/>
              </w:rPr>
            </w:pPr>
            <w:r>
              <w:rPr>
                <w:b/>
                <w:bCs/>
                <w:color w:val="000000"/>
                <w:sz w:val="24"/>
                <w:szCs w:val="24"/>
              </w:rPr>
              <w:t>Направление / Департамент</w:t>
            </w:r>
          </w:p>
        </w:tc>
        <w:tc>
          <w:tcPr>
            <w:tcW w:w="2745" w:type="dxa"/>
            <w:gridSpan w:val="3"/>
            <w:tcBorders>
              <w:top w:val="single" w:sz="6" w:space="0" w:color="000000"/>
              <w:left w:val="nil"/>
              <w:bottom w:val="single" w:sz="6" w:space="0" w:color="000000"/>
              <w:right w:val="single" w:sz="6" w:space="0" w:color="000000"/>
            </w:tcBorders>
            <w:vAlign w:val="center"/>
          </w:tcPr>
          <w:p w:rsidR="00EA186E" w:rsidRDefault="00E33E37">
            <w:pPr>
              <w:jc w:val="center"/>
              <w:rPr>
                <w:b/>
                <w:bCs/>
                <w:color w:val="000000"/>
                <w:sz w:val="24"/>
                <w:szCs w:val="24"/>
              </w:rPr>
            </w:pPr>
            <w:r>
              <w:rPr>
                <w:b/>
                <w:bCs/>
                <w:color w:val="000000"/>
                <w:sz w:val="24"/>
                <w:szCs w:val="24"/>
              </w:rPr>
              <w:t>Дата, время подписания</w:t>
            </w:r>
          </w:p>
        </w:tc>
        <w:tc>
          <w:tcPr>
            <w:tcW w:w="6315" w:type="dxa"/>
            <w:gridSpan w:val="3"/>
            <w:tcBorders>
              <w:top w:val="single" w:sz="6" w:space="0" w:color="000000"/>
              <w:left w:val="nil"/>
              <w:bottom w:val="single" w:sz="6" w:space="0" w:color="000000"/>
              <w:right w:val="single" w:sz="6" w:space="0" w:color="000000"/>
            </w:tcBorders>
            <w:vAlign w:val="center"/>
          </w:tcPr>
          <w:p w:rsidR="00EA186E" w:rsidRDefault="00E33E37">
            <w:pPr>
              <w:jc w:val="center"/>
              <w:rPr>
                <w:b/>
                <w:bCs/>
                <w:color w:val="000000"/>
                <w:sz w:val="24"/>
                <w:szCs w:val="24"/>
              </w:rPr>
            </w:pPr>
            <w:r>
              <w:rPr>
                <w:b/>
                <w:bCs/>
                <w:color w:val="000000"/>
                <w:sz w:val="24"/>
                <w:szCs w:val="24"/>
              </w:rPr>
              <w:t>Серийный номер, срок действия сертификата</w:t>
            </w:r>
          </w:p>
        </w:tc>
        <w:tc>
          <w:tcPr>
            <w:tcW w:w="150" w:type="dxa"/>
            <w:tcBorders>
              <w:top w:val="nil"/>
              <w:left w:val="nil"/>
              <w:bottom w:val="nil"/>
              <w:right w:val="nil"/>
            </w:tcBorders>
          </w:tcPr>
          <w:p w:rsidR="00EA186E" w:rsidRDefault="00EA186E">
            <w:pPr>
              <w:rPr>
                <w:rFonts w:cstheme="minorBidi"/>
                <w:sz w:val="1"/>
                <w:szCs w:val="1"/>
              </w:rPr>
            </w:pPr>
          </w:p>
        </w:tc>
        <w:tc>
          <w:tcPr>
            <w:tcW w:w="30" w:type="dxa"/>
            <w:gridSpan w:val="2"/>
            <w:vMerge/>
            <w:tcBorders>
              <w:top w:val="nil"/>
              <w:left w:val="nil"/>
              <w:bottom w:val="nil"/>
              <w:right w:val="nil"/>
            </w:tcBorders>
          </w:tcPr>
          <w:p w:rsidR="00EA186E" w:rsidRDefault="00EA186E">
            <w:pPr>
              <w:rPr>
                <w:rFonts w:cstheme="minorBidi"/>
                <w:sz w:val="1"/>
                <w:szCs w:val="1"/>
              </w:rPr>
            </w:pPr>
          </w:p>
        </w:tc>
      </w:tr>
      <w:tr w:rsidR="00EA186E" w:rsidTr="003068DB">
        <w:tc>
          <w:tcPr>
            <w:tcW w:w="29" w:type="dxa"/>
            <w:vMerge/>
            <w:tcBorders>
              <w:top w:val="nil"/>
              <w:left w:val="nil"/>
              <w:bottom w:val="nil"/>
              <w:right w:val="nil"/>
            </w:tcBorders>
          </w:tcPr>
          <w:p w:rsidR="00EA186E" w:rsidRDefault="00EA186E">
            <w:pPr>
              <w:rPr>
                <w:rFonts w:cstheme="minorBidi"/>
                <w:sz w:val="1"/>
                <w:szCs w:val="1"/>
              </w:rPr>
            </w:pPr>
          </w:p>
        </w:tc>
        <w:tc>
          <w:tcPr>
            <w:tcW w:w="150" w:type="dxa"/>
            <w:tcBorders>
              <w:top w:val="nil"/>
              <w:left w:val="nil"/>
              <w:bottom w:val="nil"/>
              <w:right w:val="nil"/>
            </w:tcBorders>
          </w:tcPr>
          <w:p w:rsidR="00EA186E" w:rsidRDefault="00EA186E">
            <w:pPr>
              <w:rPr>
                <w:rFonts w:cstheme="minorBidi"/>
                <w:sz w:val="1"/>
                <w:szCs w:val="1"/>
              </w:rPr>
            </w:pPr>
          </w:p>
        </w:tc>
        <w:tc>
          <w:tcPr>
            <w:tcW w:w="2310" w:type="dxa"/>
            <w:gridSpan w:val="3"/>
            <w:tcBorders>
              <w:top w:val="single" w:sz="6" w:space="0" w:color="000000"/>
              <w:left w:val="single" w:sz="6" w:space="0" w:color="000000"/>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Терсков С.В.</w:t>
            </w:r>
          </w:p>
        </w:tc>
        <w:tc>
          <w:tcPr>
            <w:tcW w:w="3405" w:type="dxa"/>
            <w:gridSpan w:val="2"/>
            <w:tcBorders>
              <w:top w:val="single" w:sz="6" w:space="0" w:color="000000"/>
              <w:left w:val="nil"/>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 xml:space="preserve">Направление </w:t>
            </w:r>
            <w:proofErr w:type="spellStart"/>
            <w:r>
              <w:rPr>
                <w:color w:val="000000"/>
                <w:sz w:val="24"/>
                <w:szCs w:val="24"/>
              </w:rPr>
              <w:t>Шилкова</w:t>
            </w:r>
            <w:proofErr w:type="spellEnd"/>
            <w:r>
              <w:rPr>
                <w:color w:val="000000"/>
                <w:sz w:val="24"/>
                <w:szCs w:val="24"/>
              </w:rPr>
              <w:t xml:space="preserve"> Д.Е.</w:t>
            </w:r>
          </w:p>
        </w:tc>
        <w:tc>
          <w:tcPr>
            <w:tcW w:w="2745" w:type="dxa"/>
            <w:gridSpan w:val="3"/>
            <w:tcBorders>
              <w:top w:val="single" w:sz="6" w:space="0" w:color="000000"/>
              <w:left w:val="nil"/>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20 мая 2025 г. 15:29:05</w:t>
            </w:r>
          </w:p>
        </w:tc>
        <w:tc>
          <w:tcPr>
            <w:tcW w:w="6315" w:type="dxa"/>
            <w:gridSpan w:val="3"/>
            <w:tcBorders>
              <w:top w:val="single" w:sz="6" w:space="0" w:color="000000"/>
              <w:left w:val="nil"/>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Терсков Сергей Владимирович   DEABC1504D7CFCD6DC08F37905FFCD0F15807BB5</w:t>
            </w:r>
            <w:r>
              <w:rPr>
                <w:color w:val="000000"/>
                <w:sz w:val="24"/>
                <w:szCs w:val="24"/>
              </w:rPr>
              <w:br/>
              <w:t>с 5 марта 2025 г. 12:08:39 по 29 мая 2026 г. 12:08:39</w:t>
            </w:r>
          </w:p>
        </w:tc>
        <w:tc>
          <w:tcPr>
            <w:tcW w:w="150" w:type="dxa"/>
            <w:tcBorders>
              <w:top w:val="nil"/>
              <w:left w:val="nil"/>
              <w:bottom w:val="nil"/>
              <w:right w:val="nil"/>
            </w:tcBorders>
          </w:tcPr>
          <w:p w:rsidR="00EA186E" w:rsidRDefault="00EA186E">
            <w:pPr>
              <w:rPr>
                <w:rFonts w:cstheme="minorBidi"/>
                <w:sz w:val="1"/>
                <w:szCs w:val="1"/>
              </w:rPr>
            </w:pPr>
          </w:p>
        </w:tc>
        <w:tc>
          <w:tcPr>
            <w:tcW w:w="30" w:type="dxa"/>
            <w:gridSpan w:val="2"/>
            <w:vMerge/>
            <w:tcBorders>
              <w:top w:val="nil"/>
              <w:left w:val="nil"/>
              <w:bottom w:val="nil"/>
              <w:right w:val="nil"/>
            </w:tcBorders>
          </w:tcPr>
          <w:p w:rsidR="00EA186E" w:rsidRDefault="00EA186E">
            <w:pPr>
              <w:rPr>
                <w:rFonts w:cstheme="minorBidi"/>
                <w:sz w:val="1"/>
                <w:szCs w:val="1"/>
              </w:rPr>
            </w:pPr>
          </w:p>
        </w:tc>
      </w:tr>
      <w:tr w:rsidR="00EA186E" w:rsidTr="003068DB">
        <w:tc>
          <w:tcPr>
            <w:tcW w:w="29" w:type="dxa"/>
            <w:vMerge/>
            <w:tcBorders>
              <w:top w:val="nil"/>
              <w:left w:val="nil"/>
              <w:bottom w:val="nil"/>
              <w:right w:val="nil"/>
            </w:tcBorders>
          </w:tcPr>
          <w:p w:rsidR="00EA186E" w:rsidRDefault="00EA186E">
            <w:pPr>
              <w:rPr>
                <w:rFonts w:cstheme="minorBidi"/>
                <w:sz w:val="1"/>
                <w:szCs w:val="1"/>
              </w:rPr>
            </w:pPr>
          </w:p>
        </w:tc>
        <w:tc>
          <w:tcPr>
            <w:tcW w:w="150" w:type="dxa"/>
            <w:tcBorders>
              <w:top w:val="nil"/>
              <w:left w:val="nil"/>
              <w:bottom w:val="nil"/>
              <w:right w:val="nil"/>
            </w:tcBorders>
          </w:tcPr>
          <w:p w:rsidR="00EA186E" w:rsidRDefault="00EA186E">
            <w:pPr>
              <w:rPr>
                <w:rFonts w:cstheme="minorBidi"/>
                <w:sz w:val="1"/>
                <w:szCs w:val="1"/>
              </w:rPr>
            </w:pPr>
          </w:p>
        </w:tc>
        <w:tc>
          <w:tcPr>
            <w:tcW w:w="2310" w:type="dxa"/>
            <w:gridSpan w:val="3"/>
            <w:tcBorders>
              <w:top w:val="single" w:sz="6" w:space="0" w:color="000000"/>
              <w:left w:val="single" w:sz="6" w:space="0" w:color="000000"/>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Потапенко Г.Г.</w:t>
            </w:r>
          </w:p>
        </w:tc>
        <w:tc>
          <w:tcPr>
            <w:tcW w:w="3405" w:type="dxa"/>
            <w:gridSpan w:val="2"/>
            <w:tcBorders>
              <w:top w:val="single" w:sz="6" w:space="0" w:color="000000"/>
              <w:left w:val="nil"/>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 xml:space="preserve">Направление </w:t>
            </w:r>
            <w:proofErr w:type="spellStart"/>
            <w:r>
              <w:rPr>
                <w:color w:val="000000"/>
                <w:sz w:val="24"/>
                <w:szCs w:val="24"/>
              </w:rPr>
              <w:t>Шилкова</w:t>
            </w:r>
            <w:proofErr w:type="spellEnd"/>
            <w:r>
              <w:rPr>
                <w:color w:val="000000"/>
                <w:sz w:val="24"/>
                <w:szCs w:val="24"/>
              </w:rPr>
              <w:t xml:space="preserve"> Д.Е.</w:t>
            </w:r>
          </w:p>
        </w:tc>
        <w:tc>
          <w:tcPr>
            <w:tcW w:w="2745" w:type="dxa"/>
            <w:gridSpan w:val="3"/>
            <w:tcBorders>
              <w:top w:val="single" w:sz="6" w:space="0" w:color="000000"/>
              <w:left w:val="nil"/>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20 мая 2025 г. 17:18:15</w:t>
            </w:r>
          </w:p>
        </w:tc>
        <w:tc>
          <w:tcPr>
            <w:tcW w:w="6315" w:type="dxa"/>
            <w:gridSpan w:val="3"/>
            <w:tcBorders>
              <w:top w:val="single" w:sz="6" w:space="0" w:color="000000"/>
              <w:left w:val="nil"/>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Потапенко Григорий Григорьевич   49F7AC1D5A1375D5FB36229DAA4350277F511CA3</w:t>
            </w:r>
            <w:r>
              <w:rPr>
                <w:color w:val="000000"/>
                <w:sz w:val="24"/>
                <w:szCs w:val="24"/>
              </w:rPr>
              <w:br/>
              <w:t>с 3 марта 2025 г. 16:34:22 по 27 мая 2026 г. 16:34:22</w:t>
            </w:r>
          </w:p>
        </w:tc>
        <w:tc>
          <w:tcPr>
            <w:tcW w:w="150" w:type="dxa"/>
            <w:tcBorders>
              <w:top w:val="nil"/>
              <w:left w:val="nil"/>
              <w:bottom w:val="nil"/>
              <w:right w:val="nil"/>
            </w:tcBorders>
          </w:tcPr>
          <w:p w:rsidR="00EA186E" w:rsidRDefault="00EA186E">
            <w:pPr>
              <w:rPr>
                <w:rFonts w:cstheme="minorBidi"/>
                <w:sz w:val="1"/>
                <w:szCs w:val="1"/>
              </w:rPr>
            </w:pPr>
          </w:p>
        </w:tc>
        <w:tc>
          <w:tcPr>
            <w:tcW w:w="30" w:type="dxa"/>
            <w:gridSpan w:val="2"/>
            <w:vMerge/>
            <w:tcBorders>
              <w:top w:val="nil"/>
              <w:left w:val="nil"/>
              <w:bottom w:val="nil"/>
              <w:right w:val="nil"/>
            </w:tcBorders>
          </w:tcPr>
          <w:p w:rsidR="00EA186E" w:rsidRDefault="00EA186E">
            <w:pPr>
              <w:rPr>
                <w:rFonts w:cstheme="minorBidi"/>
                <w:sz w:val="1"/>
                <w:szCs w:val="1"/>
              </w:rPr>
            </w:pPr>
          </w:p>
        </w:tc>
      </w:tr>
      <w:tr w:rsidR="00EA186E" w:rsidTr="003068DB">
        <w:tc>
          <w:tcPr>
            <w:tcW w:w="29" w:type="dxa"/>
            <w:vMerge/>
            <w:tcBorders>
              <w:top w:val="nil"/>
              <w:left w:val="nil"/>
              <w:bottom w:val="nil"/>
              <w:right w:val="nil"/>
            </w:tcBorders>
          </w:tcPr>
          <w:p w:rsidR="00EA186E" w:rsidRDefault="00EA186E">
            <w:pPr>
              <w:rPr>
                <w:rFonts w:cstheme="minorBidi"/>
                <w:sz w:val="1"/>
                <w:szCs w:val="1"/>
              </w:rPr>
            </w:pPr>
          </w:p>
        </w:tc>
        <w:tc>
          <w:tcPr>
            <w:tcW w:w="150" w:type="dxa"/>
            <w:tcBorders>
              <w:top w:val="nil"/>
              <w:left w:val="nil"/>
              <w:bottom w:val="nil"/>
              <w:right w:val="nil"/>
            </w:tcBorders>
          </w:tcPr>
          <w:p w:rsidR="00EA186E" w:rsidRDefault="00EA186E">
            <w:pPr>
              <w:rPr>
                <w:rFonts w:cstheme="minorBidi"/>
                <w:sz w:val="1"/>
                <w:szCs w:val="1"/>
              </w:rPr>
            </w:pPr>
          </w:p>
        </w:tc>
        <w:tc>
          <w:tcPr>
            <w:tcW w:w="2310" w:type="dxa"/>
            <w:gridSpan w:val="3"/>
            <w:tcBorders>
              <w:top w:val="single" w:sz="6" w:space="0" w:color="000000"/>
              <w:left w:val="single" w:sz="6" w:space="0" w:color="000000"/>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Селюков Д.П.</w:t>
            </w:r>
          </w:p>
        </w:tc>
        <w:tc>
          <w:tcPr>
            <w:tcW w:w="3405" w:type="dxa"/>
            <w:gridSpan w:val="2"/>
            <w:tcBorders>
              <w:top w:val="single" w:sz="6" w:space="0" w:color="000000"/>
              <w:left w:val="nil"/>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Департамент финансового аудита</w:t>
            </w:r>
          </w:p>
        </w:tc>
        <w:tc>
          <w:tcPr>
            <w:tcW w:w="2745" w:type="dxa"/>
            <w:gridSpan w:val="3"/>
            <w:tcBorders>
              <w:top w:val="single" w:sz="6" w:space="0" w:color="000000"/>
              <w:left w:val="nil"/>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20 мая 2025 г. 17:25:52</w:t>
            </w:r>
          </w:p>
        </w:tc>
        <w:tc>
          <w:tcPr>
            <w:tcW w:w="6315" w:type="dxa"/>
            <w:gridSpan w:val="3"/>
            <w:tcBorders>
              <w:top w:val="single" w:sz="6" w:space="0" w:color="000000"/>
              <w:left w:val="nil"/>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Селюков Дмитрий Павлович   0A1A8A5E59A332F997AA1A9546A40437FB54A9D0</w:t>
            </w:r>
            <w:r>
              <w:rPr>
                <w:color w:val="000000"/>
                <w:sz w:val="24"/>
                <w:szCs w:val="24"/>
              </w:rPr>
              <w:br/>
              <w:t>с 9 декабря 2024 г. 14:16:02 по 4 марта 2026 г. 14:16:02</w:t>
            </w:r>
          </w:p>
        </w:tc>
        <w:tc>
          <w:tcPr>
            <w:tcW w:w="150" w:type="dxa"/>
            <w:tcBorders>
              <w:top w:val="nil"/>
              <w:left w:val="nil"/>
              <w:bottom w:val="nil"/>
              <w:right w:val="nil"/>
            </w:tcBorders>
          </w:tcPr>
          <w:p w:rsidR="00EA186E" w:rsidRDefault="00EA186E">
            <w:pPr>
              <w:rPr>
                <w:rFonts w:cstheme="minorBidi"/>
                <w:sz w:val="1"/>
                <w:szCs w:val="1"/>
              </w:rPr>
            </w:pPr>
          </w:p>
        </w:tc>
        <w:tc>
          <w:tcPr>
            <w:tcW w:w="30" w:type="dxa"/>
            <w:gridSpan w:val="2"/>
            <w:vMerge/>
            <w:tcBorders>
              <w:top w:val="nil"/>
              <w:left w:val="nil"/>
              <w:bottom w:val="nil"/>
              <w:right w:val="nil"/>
            </w:tcBorders>
          </w:tcPr>
          <w:p w:rsidR="00EA186E" w:rsidRDefault="00EA186E">
            <w:pPr>
              <w:rPr>
                <w:rFonts w:cstheme="minorBidi"/>
                <w:sz w:val="1"/>
                <w:szCs w:val="1"/>
              </w:rPr>
            </w:pPr>
          </w:p>
        </w:tc>
      </w:tr>
      <w:tr w:rsidR="00EA186E" w:rsidTr="003068DB">
        <w:tc>
          <w:tcPr>
            <w:tcW w:w="29" w:type="dxa"/>
            <w:vMerge/>
            <w:tcBorders>
              <w:top w:val="nil"/>
              <w:left w:val="nil"/>
              <w:bottom w:val="nil"/>
              <w:right w:val="nil"/>
            </w:tcBorders>
          </w:tcPr>
          <w:p w:rsidR="00EA186E" w:rsidRDefault="00EA186E">
            <w:pPr>
              <w:rPr>
                <w:rFonts w:cstheme="minorBidi"/>
                <w:sz w:val="1"/>
                <w:szCs w:val="1"/>
              </w:rPr>
            </w:pPr>
          </w:p>
        </w:tc>
        <w:tc>
          <w:tcPr>
            <w:tcW w:w="150" w:type="dxa"/>
            <w:tcBorders>
              <w:top w:val="nil"/>
              <w:left w:val="nil"/>
              <w:bottom w:val="nil"/>
              <w:right w:val="nil"/>
            </w:tcBorders>
          </w:tcPr>
          <w:p w:rsidR="00EA186E" w:rsidRDefault="00EA186E">
            <w:pPr>
              <w:rPr>
                <w:rFonts w:cstheme="minorBidi"/>
                <w:sz w:val="1"/>
                <w:szCs w:val="1"/>
              </w:rPr>
            </w:pPr>
          </w:p>
        </w:tc>
        <w:tc>
          <w:tcPr>
            <w:tcW w:w="2310" w:type="dxa"/>
            <w:gridSpan w:val="3"/>
            <w:tcBorders>
              <w:top w:val="single" w:sz="6" w:space="0" w:color="000000"/>
              <w:left w:val="single" w:sz="6" w:space="0" w:color="000000"/>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Крупенева Е.С.</w:t>
            </w:r>
          </w:p>
        </w:tc>
        <w:tc>
          <w:tcPr>
            <w:tcW w:w="3405" w:type="dxa"/>
            <w:gridSpan w:val="2"/>
            <w:tcBorders>
              <w:top w:val="single" w:sz="6" w:space="0" w:color="000000"/>
              <w:left w:val="nil"/>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Департамент финансового аудита</w:t>
            </w:r>
          </w:p>
        </w:tc>
        <w:tc>
          <w:tcPr>
            <w:tcW w:w="2745" w:type="dxa"/>
            <w:gridSpan w:val="3"/>
            <w:tcBorders>
              <w:top w:val="single" w:sz="6" w:space="0" w:color="000000"/>
              <w:left w:val="nil"/>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20 мая 2025 г. 18:04:45</w:t>
            </w:r>
          </w:p>
        </w:tc>
        <w:tc>
          <w:tcPr>
            <w:tcW w:w="6315" w:type="dxa"/>
            <w:gridSpan w:val="3"/>
            <w:tcBorders>
              <w:top w:val="single" w:sz="6" w:space="0" w:color="000000"/>
              <w:left w:val="nil"/>
              <w:bottom w:val="single" w:sz="6" w:space="0" w:color="000000"/>
              <w:right w:val="single" w:sz="6" w:space="0" w:color="000000"/>
            </w:tcBorders>
          </w:tcPr>
          <w:p w:rsidR="00EA186E" w:rsidRDefault="00E33E37">
            <w:pPr>
              <w:spacing w:before="11"/>
              <w:ind w:left="56"/>
              <w:rPr>
                <w:color w:val="000000"/>
                <w:sz w:val="24"/>
                <w:szCs w:val="24"/>
              </w:rPr>
            </w:pPr>
            <w:r>
              <w:rPr>
                <w:color w:val="000000"/>
                <w:sz w:val="24"/>
                <w:szCs w:val="24"/>
              </w:rPr>
              <w:t>Крупенева Елена Станиславовна   027DADF1AECA7D4FB41113E4E80315BBE93F216D</w:t>
            </w:r>
            <w:r>
              <w:rPr>
                <w:color w:val="000000"/>
                <w:sz w:val="24"/>
                <w:szCs w:val="24"/>
              </w:rPr>
              <w:br/>
              <w:t>с 24 февраля 2025 г. 16:05:15 по 20 мая 2026 г. 16:05:15</w:t>
            </w:r>
          </w:p>
        </w:tc>
        <w:tc>
          <w:tcPr>
            <w:tcW w:w="150" w:type="dxa"/>
            <w:tcBorders>
              <w:top w:val="nil"/>
              <w:left w:val="nil"/>
              <w:bottom w:val="nil"/>
              <w:right w:val="nil"/>
            </w:tcBorders>
          </w:tcPr>
          <w:p w:rsidR="00EA186E" w:rsidRDefault="00EA186E">
            <w:pPr>
              <w:rPr>
                <w:rFonts w:cstheme="minorBidi"/>
                <w:sz w:val="1"/>
                <w:szCs w:val="1"/>
              </w:rPr>
            </w:pPr>
          </w:p>
        </w:tc>
        <w:tc>
          <w:tcPr>
            <w:tcW w:w="30" w:type="dxa"/>
            <w:gridSpan w:val="2"/>
            <w:vMerge/>
            <w:tcBorders>
              <w:top w:val="nil"/>
              <w:left w:val="nil"/>
              <w:bottom w:val="nil"/>
              <w:right w:val="nil"/>
            </w:tcBorders>
          </w:tcPr>
          <w:p w:rsidR="00EA186E" w:rsidRDefault="00EA186E">
            <w:pPr>
              <w:rPr>
                <w:rFonts w:cstheme="minorBidi"/>
                <w:sz w:val="1"/>
                <w:szCs w:val="1"/>
              </w:rPr>
            </w:pPr>
          </w:p>
        </w:tc>
      </w:tr>
      <w:tr w:rsidR="00EA186E" w:rsidTr="003068DB">
        <w:trPr>
          <w:trHeight w:val="135"/>
        </w:trPr>
        <w:tc>
          <w:tcPr>
            <w:tcW w:w="29" w:type="dxa"/>
            <w:vMerge/>
            <w:tcBorders>
              <w:top w:val="nil"/>
              <w:left w:val="nil"/>
              <w:bottom w:val="nil"/>
              <w:right w:val="nil"/>
            </w:tcBorders>
          </w:tcPr>
          <w:p w:rsidR="00EA186E" w:rsidRDefault="00EA186E">
            <w:pPr>
              <w:rPr>
                <w:rFonts w:cstheme="minorBidi"/>
                <w:sz w:val="1"/>
                <w:szCs w:val="1"/>
              </w:rPr>
            </w:pPr>
          </w:p>
        </w:tc>
        <w:tc>
          <w:tcPr>
            <w:tcW w:w="150" w:type="dxa"/>
            <w:tcBorders>
              <w:top w:val="nil"/>
              <w:left w:val="nil"/>
              <w:bottom w:val="nil"/>
              <w:right w:val="nil"/>
            </w:tcBorders>
          </w:tcPr>
          <w:p w:rsidR="00EA186E" w:rsidRDefault="00EA186E">
            <w:pPr>
              <w:rPr>
                <w:rFonts w:cstheme="minorBidi"/>
                <w:sz w:val="1"/>
                <w:szCs w:val="1"/>
              </w:rPr>
            </w:pPr>
          </w:p>
        </w:tc>
        <w:tc>
          <w:tcPr>
            <w:tcW w:w="1305" w:type="dxa"/>
            <w:tcBorders>
              <w:top w:val="nil"/>
              <w:left w:val="nil"/>
              <w:bottom w:val="nil"/>
              <w:right w:val="nil"/>
            </w:tcBorders>
          </w:tcPr>
          <w:p w:rsidR="00EA186E" w:rsidRDefault="00EA186E">
            <w:pPr>
              <w:rPr>
                <w:rFonts w:cstheme="minorBidi"/>
                <w:sz w:val="1"/>
                <w:szCs w:val="1"/>
              </w:rPr>
            </w:pPr>
          </w:p>
        </w:tc>
        <w:tc>
          <w:tcPr>
            <w:tcW w:w="1005" w:type="dxa"/>
            <w:gridSpan w:val="2"/>
            <w:tcBorders>
              <w:top w:val="nil"/>
              <w:left w:val="nil"/>
              <w:bottom w:val="nil"/>
              <w:right w:val="nil"/>
            </w:tcBorders>
          </w:tcPr>
          <w:p w:rsidR="00EA186E" w:rsidRDefault="00EA186E">
            <w:pPr>
              <w:rPr>
                <w:rFonts w:cstheme="minorBidi"/>
                <w:sz w:val="1"/>
                <w:szCs w:val="1"/>
              </w:rPr>
            </w:pPr>
          </w:p>
        </w:tc>
        <w:tc>
          <w:tcPr>
            <w:tcW w:w="3405" w:type="dxa"/>
            <w:gridSpan w:val="2"/>
            <w:tcBorders>
              <w:top w:val="nil"/>
              <w:left w:val="nil"/>
              <w:bottom w:val="nil"/>
              <w:right w:val="nil"/>
            </w:tcBorders>
          </w:tcPr>
          <w:p w:rsidR="00EA186E" w:rsidRDefault="00EA186E">
            <w:pPr>
              <w:rPr>
                <w:rFonts w:cstheme="minorBidi"/>
                <w:sz w:val="1"/>
                <w:szCs w:val="1"/>
              </w:rPr>
            </w:pPr>
          </w:p>
        </w:tc>
        <w:tc>
          <w:tcPr>
            <w:tcW w:w="2745" w:type="dxa"/>
            <w:gridSpan w:val="3"/>
            <w:tcBorders>
              <w:top w:val="nil"/>
              <w:left w:val="nil"/>
              <w:bottom w:val="nil"/>
              <w:right w:val="nil"/>
            </w:tcBorders>
          </w:tcPr>
          <w:p w:rsidR="00EA186E" w:rsidRDefault="00EA186E">
            <w:pPr>
              <w:rPr>
                <w:rFonts w:cstheme="minorBidi"/>
                <w:sz w:val="1"/>
                <w:szCs w:val="1"/>
              </w:rPr>
            </w:pPr>
          </w:p>
        </w:tc>
        <w:tc>
          <w:tcPr>
            <w:tcW w:w="6315" w:type="dxa"/>
            <w:gridSpan w:val="3"/>
            <w:tcBorders>
              <w:top w:val="nil"/>
              <w:left w:val="nil"/>
              <w:bottom w:val="nil"/>
              <w:right w:val="nil"/>
            </w:tcBorders>
          </w:tcPr>
          <w:p w:rsidR="00EA186E" w:rsidRDefault="00EA186E">
            <w:pPr>
              <w:rPr>
                <w:rFonts w:cstheme="minorBidi"/>
                <w:sz w:val="1"/>
                <w:szCs w:val="1"/>
              </w:rPr>
            </w:pPr>
          </w:p>
        </w:tc>
        <w:tc>
          <w:tcPr>
            <w:tcW w:w="150" w:type="dxa"/>
            <w:tcBorders>
              <w:top w:val="nil"/>
              <w:left w:val="nil"/>
              <w:bottom w:val="nil"/>
              <w:right w:val="nil"/>
            </w:tcBorders>
          </w:tcPr>
          <w:p w:rsidR="00EA186E" w:rsidRDefault="00EA186E">
            <w:pPr>
              <w:rPr>
                <w:rFonts w:cstheme="minorBidi"/>
                <w:sz w:val="1"/>
                <w:szCs w:val="1"/>
              </w:rPr>
            </w:pPr>
          </w:p>
        </w:tc>
        <w:tc>
          <w:tcPr>
            <w:tcW w:w="30" w:type="dxa"/>
            <w:gridSpan w:val="2"/>
            <w:vMerge/>
            <w:tcBorders>
              <w:top w:val="nil"/>
              <w:left w:val="nil"/>
              <w:bottom w:val="nil"/>
              <w:right w:val="nil"/>
            </w:tcBorders>
          </w:tcPr>
          <w:p w:rsidR="00EA186E" w:rsidRDefault="00EA186E">
            <w:pPr>
              <w:rPr>
                <w:rFonts w:cstheme="minorBidi"/>
                <w:sz w:val="1"/>
                <w:szCs w:val="1"/>
              </w:rPr>
            </w:pPr>
          </w:p>
        </w:tc>
      </w:tr>
      <w:tr w:rsidR="00EA186E" w:rsidTr="003068DB">
        <w:trPr>
          <w:trHeight w:hRule="exact" w:val="30"/>
        </w:trPr>
        <w:tc>
          <w:tcPr>
            <w:tcW w:w="29" w:type="dxa"/>
            <w:vMerge/>
            <w:tcBorders>
              <w:top w:val="nil"/>
              <w:left w:val="nil"/>
              <w:bottom w:val="nil"/>
              <w:right w:val="nil"/>
            </w:tcBorders>
          </w:tcPr>
          <w:p w:rsidR="00EA186E" w:rsidRDefault="00EA186E">
            <w:pPr>
              <w:rPr>
                <w:rFonts w:cstheme="minorBidi"/>
                <w:sz w:val="1"/>
                <w:szCs w:val="1"/>
              </w:rPr>
            </w:pPr>
          </w:p>
        </w:tc>
        <w:tc>
          <w:tcPr>
            <w:tcW w:w="15075" w:type="dxa"/>
            <w:gridSpan w:val="13"/>
            <w:tcBorders>
              <w:top w:val="nil"/>
              <w:left w:val="nil"/>
              <w:bottom w:val="nil"/>
              <w:right w:val="nil"/>
            </w:tcBorders>
          </w:tcPr>
          <w:p w:rsidR="00EA186E" w:rsidRDefault="00E33E37">
            <w:pPr>
              <w:rPr>
                <w:color w:val="000000"/>
                <w:sz w:val="1"/>
                <w:szCs w:val="1"/>
              </w:rPr>
            </w:pPr>
            <w:r>
              <w:rPr>
                <w:noProof/>
              </w:rPr>
              <w:drawing>
                <wp:inline distT="0" distB="0" distL="0" distR="0">
                  <wp:extent cx="9572625" cy="19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9572625" cy="19050"/>
                          </a:xfrm>
                          <a:prstGeom prst="rect">
                            <a:avLst/>
                          </a:prstGeom>
                          <a:noFill/>
                        </pic:spPr>
                      </pic:pic>
                    </a:graphicData>
                  </a:graphic>
                </wp:inline>
              </w:drawing>
            </w:r>
          </w:p>
        </w:tc>
        <w:tc>
          <w:tcPr>
            <w:tcW w:w="30" w:type="dxa"/>
            <w:gridSpan w:val="2"/>
            <w:vMerge/>
            <w:tcBorders>
              <w:top w:val="nil"/>
              <w:left w:val="nil"/>
              <w:bottom w:val="nil"/>
              <w:right w:val="nil"/>
            </w:tcBorders>
          </w:tcPr>
          <w:p w:rsidR="00EA186E" w:rsidRDefault="00EA186E">
            <w:pPr>
              <w:rPr>
                <w:rFonts w:cstheme="minorBidi"/>
                <w:sz w:val="1"/>
                <w:szCs w:val="1"/>
              </w:rPr>
            </w:pPr>
          </w:p>
        </w:tc>
      </w:tr>
    </w:tbl>
    <w:p w:rsidR="00EA186E" w:rsidRDefault="00EA186E"/>
    <w:sectPr w:rsidR="00EA186E">
      <w:headerReference w:type="default" r:id="rId9"/>
      <w:footerReference w:type="default" r:id="rId10"/>
      <w:headerReference w:type="first" r:id="rId11"/>
      <w:footerReference w:type="first" r:id="rId12"/>
      <w:pgSz w:w="16833" w:h="11908" w:orient="landscape"/>
      <w:pgMar w:top="1133" w:right="566" w:bottom="1133" w:left="1133" w:header="0" w:footer="743"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491" w:rsidRDefault="00E33E37">
      <w:r>
        <w:separator/>
      </w:r>
    </w:p>
  </w:endnote>
  <w:endnote w:type="continuationSeparator" w:id="0">
    <w:p w:rsidR="00896491" w:rsidRDefault="00E3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6E" w:rsidRDefault="00EA186E">
    <w:pPr>
      <w:spacing w:after="160" w:line="258" w:lineRule="auto"/>
      <w:rPr>
        <w:rFonts w:cstheme="minorBidi"/>
        <w:color w:val="000000"/>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6E" w:rsidRDefault="00EA186E">
    <w:pPr>
      <w:rPr>
        <w:rFonts w:cstheme="minorBidi"/>
        <w:sz w:val="1"/>
        <w:szCs w:val="1"/>
      </w:rPr>
    </w:pPr>
  </w:p>
  <w:tbl>
    <w:tblPr>
      <w:tblW w:w="0" w:type="auto"/>
      <w:tblCellMar>
        <w:left w:w="0" w:type="dxa"/>
        <w:right w:w="0" w:type="dxa"/>
      </w:tblCellMar>
      <w:tblLook w:val="04A0" w:firstRow="1" w:lastRow="0" w:firstColumn="1" w:lastColumn="0" w:noHBand="0" w:noVBand="1"/>
    </w:tblPr>
    <w:tblGrid>
      <w:gridCol w:w="15134"/>
    </w:tblGrid>
    <w:tr w:rsidR="00EA186E">
      <w:trPr>
        <w:trHeight w:hRule="exact" w:val="405"/>
      </w:trPr>
      <w:tc>
        <w:tcPr>
          <w:tcW w:w="15135" w:type="dxa"/>
          <w:tcBorders>
            <w:top w:val="nil"/>
            <w:left w:val="nil"/>
            <w:bottom w:val="nil"/>
            <w:right w:val="nil"/>
          </w:tcBorders>
        </w:tcPr>
        <w:p w:rsidR="00EA186E" w:rsidRDefault="00E33E37">
          <w:pPr>
            <w:spacing w:after="160" w:line="258" w:lineRule="auto"/>
            <w:rPr>
              <w:rFonts w:cstheme="minorBidi"/>
              <w:color w:val="000000"/>
              <w:sz w:val="24"/>
              <w:szCs w:val="24"/>
            </w:rPr>
          </w:pPr>
          <w:r>
            <w:rPr>
              <w:rFonts w:cstheme="minorBidi"/>
              <w:b/>
              <w:bCs/>
              <w:color w:val="000000"/>
              <w:vertAlign w:val="superscript"/>
            </w:rPr>
            <w:t>1</w:t>
          </w:r>
          <w:r>
            <w:rPr>
              <w:rFonts w:cstheme="minorBidi"/>
              <w:color w:val="000000"/>
            </w:rPr>
            <w:t xml:space="preserve"> Источник финансирования средств, при использовании которых выявлены нарушения</w:t>
          </w:r>
        </w:p>
      </w:tc>
    </w:tr>
  </w:tbl>
  <w:p w:rsidR="00EA186E" w:rsidRDefault="00EA186E">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491" w:rsidRDefault="00E33E37">
      <w:r>
        <w:separator/>
      </w:r>
    </w:p>
  </w:footnote>
  <w:footnote w:type="continuationSeparator" w:id="0">
    <w:p w:rsidR="00896491" w:rsidRDefault="00E33E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6E" w:rsidRDefault="00EA186E">
    <w:pPr>
      <w:rPr>
        <w:rFonts w:cstheme="minorBidi"/>
        <w:sz w:val="1"/>
        <w:szCs w:val="1"/>
      </w:rPr>
    </w:pPr>
  </w:p>
  <w:tbl>
    <w:tblPr>
      <w:tblW w:w="0" w:type="auto"/>
      <w:tblCellMar>
        <w:left w:w="0" w:type="dxa"/>
        <w:right w:w="0" w:type="dxa"/>
      </w:tblCellMar>
      <w:tblLook w:val="04A0" w:firstRow="1" w:lastRow="0" w:firstColumn="1" w:lastColumn="0" w:noHBand="0" w:noVBand="1"/>
    </w:tblPr>
    <w:tblGrid>
      <w:gridCol w:w="9464"/>
      <w:gridCol w:w="5670"/>
    </w:tblGrid>
    <w:tr w:rsidR="00EA186E">
      <w:trPr>
        <w:trHeight w:hRule="exact" w:val="390"/>
      </w:trPr>
      <w:tc>
        <w:tcPr>
          <w:tcW w:w="9465" w:type="dxa"/>
          <w:tcBorders>
            <w:top w:val="nil"/>
            <w:left w:val="nil"/>
            <w:bottom w:val="nil"/>
            <w:right w:val="nil"/>
          </w:tcBorders>
        </w:tcPr>
        <w:p w:rsidR="00EA186E" w:rsidRDefault="00EA186E">
          <w:pPr>
            <w:rPr>
              <w:rFonts w:cstheme="minorBidi"/>
              <w:sz w:val="1"/>
              <w:szCs w:val="1"/>
            </w:rPr>
          </w:pPr>
        </w:p>
      </w:tc>
      <w:tc>
        <w:tcPr>
          <w:tcW w:w="5670" w:type="dxa"/>
          <w:tcBorders>
            <w:top w:val="nil"/>
            <w:left w:val="nil"/>
            <w:bottom w:val="nil"/>
            <w:right w:val="nil"/>
          </w:tcBorders>
          <w:vAlign w:val="center"/>
        </w:tcPr>
        <w:p w:rsidR="00EA186E" w:rsidRDefault="00EA186E">
          <w:pPr>
            <w:ind w:left="28" w:right="28"/>
            <w:jc w:val="right"/>
            <w:rPr>
              <w:color w:val="000000"/>
              <w:sz w:val="16"/>
              <w:szCs w:val="16"/>
            </w:rPr>
          </w:pPr>
        </w:p>
      </w:tc>
    </w:tr>
    <w:tr w:rsidR="00EA186E">
      <w:trPr>
        <w:trHeight w:hRule="exact" w:val="345"/>
      </w:trPr>
      <w:tc>
        <w:tcPr>
          <w:tcW w:w="15135" w:type="dxa"/>
          <w:gridSpan w:val="2"/>
          <w:tcBorders>
            <w:top w:val="nil"/>
            <w:left w:val="nil"/>
            <w:bottom w:val="nil"/>
            <w:right w:val="nil"/>
          </w:tcBorders>
          <w:vAlign w:val="center"/>
        </w:tcPr>
        <w:p w:rsidR="00EA186E" w:rsidRDefault="00E33E37">
          <w:pPr>
            <w:ind w:left="28" w:right="28"/>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sidR="0019335F">
            <w:rPr>
              <w:noProof/>
              <w:color w:val="000000"/>
              <w:sz w:val="24"/>
              <w:szCs w:val="24"/>
            </w:rPr>
            <w:t>18</w:t>
          </w:r>
          <w:r>
            <w:rPr>
              <w:color w:val="000000"/>
              <w:sz w:val="24"/>
              <w:szCs w:val="24"/>
            </w:rPr>
            <w:fldChar w:fldCharType="end"/>
          </w:r>
        </w:p>
      </w:tc>
    </w:tr>
  </w:tbl>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6E" w:rsidRDefault="00EA186E">
    <w:pPr>
      <w:rPr>
        <w:rFonts w:cstheme="minorBidi"/>
        <w:sz w:val="1"/>
        <w:szCs w:val="1"/>
      </w:rPr>
    </w:pPr>
  </w:p>
  <w:tbl>
    <w:tblPr>
      <w:tblW w:w="0" w:type="auto"/>
      <w:tblCellMar>
        <w:left w:w="0" w:type="dxa"/>
        <w:right w:w="0" w:type="dxa"/>
      </w:tblCellMar>
      <w:tblLook w:val="04A0" w:firstRow="1" w:lastRow="0" w:firstColumn="1" w:lastColumn="0" w:noHBand="0" w:noVBand="1"/>
    </w:tblPr>
    <w:tblGrid>
      <w:gridCol w:w="9464"/>
      <w:gridCol w:w="5670"/>
    </w:tblGrid>
    <w:tr w:rsidR="00EA186E">
      <w:trPr>
        <w:trHeight w:hRule="exact" w:val="390"/>
      </w:trPr>
      <w:tc>
        <w:tcPr>
          <w:tcW w:w="9465" w:type="dxa"/>
          <w:tcBorders>
            <w:top w:val="nil"/>
            <w:left w:val="nil"/>
            <w:bottom w:val="nil"/>
            <w:right w:val="nil"/>
          </w:tcBorders>
        </w:tcPr>
        <w:p w:rsidR="00EA186E" w:rsidRDefault="00EA186E">
          <w:pPr>
            <w:rPr>
              <w:rFonts w:cstheme="minorBidi"/>
              <w:sz w:val="1"/>
              <w:szCs w:val="1"/>
            </w:rPr>
          </w:pPr>
        </w:p>
      </w:tc>
      <w:tc>
        <w:tcPr>
          <w:tcW w:w="5670" w:type="dxa"/>
          <w:tcBorders>
            <w:top w:val="nil"/>
            <w:left w:val="nil"/>
            <w:bottom w:val="nil"/>
            <w:right w:val="nil"/>
          </w:tcBorders>
          <w:vAlign w:val="center"/>
        </w:tcPr>
        <w:p w:rsidR="00EA186E" w:rsidRDefault="00EA186E">
          <w:pPr>
            <w:ind w:left="28" w:right="28"/>
            <w:jc w:val="right"/>
            <w:rPr>
              <w:color w:val="000000"/>
              <w:sz w:val="16"/>
              <w:szCs w:val="16"/>
            </w:rPr>
          </w:pPr>
        </w:p>
      </w:tc>
    </w:tr>
  </w:tbl>
  <w:p w:rsidR="00EA186E" w:rsidRDefault="00EA186E">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oNotShadeFormData/>
  <w:characterSpacingControl w:val="compressPunctuation"/>
  <w:footnotePr>
    <w:footnote w:id="-1"/>
    <w:footnote w:id="0"/>
  </w:footnotePr>
  <w:endnotePr>
    <w:endnote w:id="-1"/>
    <w:endnote w:id="0"/>
  </w:endnotePr>
  <w:compat>
    <w:balanceSingleByteDoubleByteWidth/>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6E"/>
    <w:rsid w:val="0019335F"/>
    <w:rsid w:val="003068DB"/>
    <w:rsid w:val="00896491"/>
    <w:rsid w:val="00E33E37"/>
    <w:rsid w:val="00EA1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834C61-C1FD-4934-A203-A112071D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19335F"/>
    <w:pPr>
      <w:tabs>
        <w:tab w:val="center" w:pos="4677"/>
        <w:tab w:val="right" w:pos="9355"/>
      </w:tabs>
    </w:pPr>
  </w:style>
  <w:style w:type="character" w:customStyle="1" w:styleId="a6">
    <w:name w:val="Верхний колонтитул Знак"/>
    <w:basedOn w:val="a0"/>
    <w:link w:val="a5"/>
    <w:uiPriority w:val="99"/>
    <w:rsid w:val="0019335F"/>
  </w:style>
  <w:style w:type="paragraph" w:styleId="a7">
    <w:name w:val="footer"/>
    <w:basedOn w:val="a"/>
    <w:link w:val="a8"/>
    <w:uiPriority w:val="99"/>
    <w:unhideWhenUsed/>
    <w:rsid w:val="0019335F"/>
    <w:pPr>
      <w:tabs>
        <w:tab w:val="center" w:pos="4677"/>
        <w:tab w:val="right" w:pos="9355"/>
      </w:tabs>
    </w:pPr>
  </w:style>
  <w:style w:type="character" w:customStyle="1" w:styleId="a8">
    <w:name w:val="Нижний колонтитул Знак"/>
    <w:basedOn w:val="a0"/>
    <w:link w:val="a7"/>
    <w:uiPriority w:val="99"/>
    <w:rsid w:val="0019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4993</Words>
  <Characters>28461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Пасынков Александр Сергеевич</dc:creator>
  <cp:lastModifiedBy>Суворова Юлиана Олеговна</cp:lastModifiedBy>
  <cp:revision>4</cp:revision>
  <dcterms:created xsi:type="dcterms:W3CDTF">2025-05-26T12:22:00Z</dcterms:created>
  <dcterms:modified xsi:type="dcterms:W3CDTF">2025-07-14T06:38:00Z</dcterms:modified>
</cp:coreProperties>
</file>