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6FF" w:rsidRDefault="00B306FF" w:rsidP="00B306FF">
      <w:pPr>
        <w:jc w:val="right"/>
      </w:pPr>
      <w:r>
        <w:t>Приложение №</w:t>
      </w:r>
      <w:r w:rsidR="00CF34C2">
        <w:t xml:space="preserve"> 22</w:t>
      </w:r>
      <w:bookmarkStart w:id="0" w:name="_GoBack"/>
      <w:bookmarkEnd w:id="0"/>
    </w:p>
    <w:p w:rsidR="00405369" w:rsidRDefault="00405369" w:rsidP="00405369">
      <w:pPr>
        <w:spacing w:line="240" w:lineRule="auto"/>
        <w:ind w:left="284" w:right="-284" w:firstLine="709"/>
        <w:jc w:val="right"/>
        <w:rPr>
          <w:rFonts w:eastAsia="Times New Roman"/>
          <w:szCs w:val="20"/>
          <w:lang w:eastAsia="ru-RU"/>
        </w:rPr>
      </w:pPr>
    </w:p>
    <w:p w:rsidR="00B306FF" w:rsidRPr="00B306FF" w:rsidRDefault="00B306FF" w:rsidP="00A5702B">
      <w:pPr>
        <w:jc w:val="center"/>
        <w:rPr>
          <w:b/>
        </w:rPr>
      </w:pPr>
      <w:r w:rsidRPr="00B306FF">
        <w:rPr>
          <w:b/>
          <w:color w:val="000000" w:themeColor="text1"/>
        </w:rPr>
        <w:t xml:space="preserve">Информация о динамике числа лиц, размещенных в </w:t>
      </w:r>
      <w:r w:rsidR="00744B80">
        <w:rPr>
          <w:b/>
          <w:color w:val="000000" w:themeColor="text1"/>
        </w:rPr>
        <w:t>КСР</w:t>
      </w:r>
      <w:r w:rsidRPr="00B306FF">
        <w:rPr>
          <w:b/>
          <w:color w:val="000000" w:themeColor="text1"/>
        </w:rPr>
        <w:t>, среднем числе бронирований и краткосрочной аренде жилья для целей туризма</w:t>
      </w:r>
    </w:p>
    <w:p w:rsidR="00405369" w:rsidRDefault="00405369" w:rsidP="00FB3FE9">
      <w:pPr>
        <w:jc w:val="right"/>
      </w:pPr>
    </w:p>
    <w:p w:rsidR="000715AD" w:rsidRPr="007149BD" w:rsidRDefault="000715AD" w:rsidP="000715AD">
      <w:pPr>
        <w:spacing w:line="360" w:lineRule="auto"/>
        <w:ind w:firstLine="709"/>
        <w:rPr>
          <w:color w:val="000000" w:themeColor="text1"/>
        </w:rPr>
      </w:pPr>
      <w:r w:rsidRPr="007149BD">
        <w:rPr>
          <w:color w:val="000000" w:themeColor="text1"/>
        </w:rPr>
        <w:t>В соответствии с данным</w:t>
      </w:r>
      <w:r>
        <w:rPr>
          <w:color w:val="000000" w:themeColor="text1"/>
        </w:rPr>
        <w:t>и</w:t>
      </w:r>
      <w:r w:rsidRPr="007149BD">
        <w:rPr>
          <w:color w:val="000000" w:themeColor="text1"/>
        </w:rPr>
        <w:t xml:space="preserve"> Федеральной службы государственной статистики в Российской Федерации в период с 2019</w:t>
      </w:r>
      <w:r w:rsidR="00A5702B">
        <w:rPr>
          <w:color w:val="000000" w:themeColor="text1"/>
        </w:rPr>
        <w:t>–</w:t>
      </w:r>
      <w:r w:rsidRPr="007149BD">
        <w:rPr>
          <w:color w:val="000000" w:themeColor="text1"/>
        </w:rPr>
        <w:t>2022 годы число коллективных средств размещения на территории Российской Федерации в целом незначительно увеличилось (4</w:t>
      </w:r>
      <w:r w:rsidR="00A5702B">
        <w:rPr>
          <w:color w:val="000000" w:themeColor="text1"/>
        </w:rPr>
        <w:t> </w:t>
      </w:r>
      <w:r w:rsidRPr="007149BD">
        <w:rPr>
          <w:color w:val="000000" w:themeColor="text1"/>
        </w:rPr>
        <w:t>%).</w:t>
      </w:r>
    </w:p>
    <w:p w:rsidR="000715AD" w:rsidRPr="00A5702B" w:rsidRDefault="000715AD" w:rsidP="00A5702B">
      <w:pPr>
        <w:spacing w:line="360" w:lineRule="auto"/>
        <w:jc w:val="center"/>
        <w:rPr>
          <w:color w:val="auto"/>
        </w:rPr>
      </w:pPr>
      <w:r w:rsidRPr="00037C85">
        <w:rPr>
          <w:noProof/>
          <w:color w:val="FF0000"/>
          <w:lang w:eastAsia="ru-RU"/>
        </w:rPr>
        <w:drawing>
          <wp:inline distT="0" distB="0" distL="0" distR="0" wp14:anchorId="68B60AB4" wp14:editId="2AC596CD">
            <wp:extent cx="4572000" cy="2165230"/>
            <wp:effectExtent l="0" t="0" r="0" b="698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5702B" w:rsidRDefault="00A5702B" w:rsidP="00A5702B">
      <w:pPr>
        <w:spacing w:line="240" w:lineRule="auto"/>
        <w:rPr>
          <w:i/>
          <w:sz w:val="24"/>
          <w:szCs w:val="24"/>
        </w:rPr>
      </w:pPr>
      <w:r w:rsidRPr="00D14846">
        <w:rPr>
          <w:i/>
          <w:sz w:val="24"/>
          <w:szCs w:val="24"/>
        </w:rPr>
        <w:t xml:space="preserve">Рисунок </w:t>
      </w:r>
      <w:r>
        <w:rPr>
          <w:i/>
          <w:sz w:val="24"/>
          <w:szCs w:val="24"/>
        </w:rPr>
        <w:t>1</w:t>
      </w:r>
      <w:r w:rsidRPr="00D14846">
        <w:rPr>
          <w:i/>
          <w:sz w:val="24"/>
          <w:szCs w:val="24"/>
        </w:rPr>
        <w:t xml:space="preserve">. </w:t>
      </w:r>
      <w:r w:rsidRPr="00A5702B">
        <w:rPr>
          <w:i/>
          <w:sz w:val="24"/>
          <w:szCs w:val="24"/>
        </w:rPr>
        <w:t xml:space="preserve">Динамика изменения числа </w:t>
      </w:r>
      <w:r>
        <w:rPr>
          <w:i/>
          <w:sz w:val="24"/>
          <w:szCs w:val="24"/>
        </w:rPr>
        <w:t>коллективных средств размещения</w:t>
      </w:r>
    </w:p>
    <w:p w:rsidR="00A5702B" w:rsidRDefault="00A5702B" w:rsidP="00A5702B">
      <w:pPr>
        <w:spacing w:line="240" w:lineRule="auto"/>
        <w:ind w:firstLine="709"/>
        <w:rPr>
          <w:color w:val="000000" w:themeColor="text1"/>
        </w:rPr>
      </w:pPr>
    </w:p>
    <w:p w:rsidR="00A5702B" w:rsidRPr="007149BD" w:rsidRDefault="00A5702B" w:rsidP="00A5702B">
      <w:pPr>
        <w:spacing w:line="360" w:lineRule="auto"/>
        <w:ind w:firstLine="709"/>
        <w:rPr>
          <w:color w:val="000000" w:themeColor="text1"/>
        </w:rPr>
      </w:pPr>
      <w:r w:rsidRPr="007149BD">
        <w:rPr>
          <w:color w:val="000000" w:themeColor="text1"/>
        </w:rPr>
        <w:t>Наибольшим спросом в Российской Федерации в 2021</w:t>
      </w:r>
      <w:r>
        <w:rPr>
          <w:color w:val="000000" w:themeColor="text1"/>
        </w:rPr>
        <w:t>–</w:t>
      </w:r>
      <w:r w:rsidRPr="007149BD">
        <w:rPr>
          <w:color w:val="000000" w:themeColor="text1"/>
        </w:rPr>
        <w:t>2023 год</w:t>
      </w:r>
      <w:r>
        <w:rPr>
          <w:color w:val="000000" w:themeColor="text1"/>
        </w:rPr>
        <w:t>ах</w:t>
      </w:r>
      <w:r w:rsidRPr="007149BD">
        <w:rPr>
          <w:color w:val="000000" w:themeColor="text1"/>
        </w:rPr>
        <w:t xml:space="preserve"> пользовались средства размещения категорий 3* и 4*, распределение бронирований и средняя стоимость двухместного номера приведено на </w:t>
      </w:r>
      <w:r>
        <w:rPr>
          <w:color w:val="000000" w:themeColor="text1"/>
        </w:rPr>
        <w:t>рисунке 2</w:t>
      </w:r>
      <w:r w:rsidRPr="007149BD">
        <w:rPr>
          <w:color w:val="000000" w:themeColor="text1"/>
        </w:rPr>
        <w:t xml:space="preserve">. </w:t>
      </w:r>
    </w:p>
    <w:p w:rsidR="00A5702B" w:rsidRPr="00A5702B" w:rsidRDefault="000715AD" w:rsidP="00A5702B">
      <w:pPr>
        <w:spacing w:line="240" w:lineRule="auto"/>
        <w:rPr>
          <w:i/>
          <w:sz w:val="24"/>
          <w:szCs w:val="24"/>
        </w:rPr>
      </w:pPr>
      <w:r w:rsidRPr="007149BD">
        <w:rPr>
          <w:noProof/>
          <w:color w:val="000000" w:themeColor="text1"/>
          <w:lang w:eastAsia="ru-RU"/>
        </w:rPr>
        <w:drawing>
          <wp:inline distT="0" distB="0" distL="0" distR="0" wp14:anchorId="0AD6A87B" wp14:editId="680A3984">
            <wp:extent cx="6098876" cy="2277374"/>
            <wp:effectExtent l="0" t="0" r="0" b="889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A5702B" w:rsidRPr="00A5702B">
        <w:rPr>
          <w:color w:val="000000" w:themeColor="text1"/>
        </w:rPr>
        <w:t xml:space="preserve"> </w:t>
      </w:r>
      <w:r w:rsidR="00A5702B" w:rsidRPr="00A5702B">
        <w:rPr>
          <w:i/>
          <w:sz w:val="24"/>
          <w:szCs w:val="24"/>
        </w:rPr>
        <w:t>Рисунок 2.</w:t>
      </w:r>
      <w:r w:rsidR="00A5702B">
        <w:rPr>
          <w:color w:val="000000" w:themeColor="text1"/>
        </w:rPr>
        <w:t xml:space="preserve"> </w:t>
      </w:r>
      <w:r w:rsidR="00A5702B" w:rsidRPr="00A5702B">
        <w:rPr>
          <w:i/>
          <w:sz w:val="24"/>
          <w:szCs w:val="24"/>
        </w:rPr>
        <w:t>Среднее число бронирований (по данным ООО «ТрэвелЛайнСистем» (сервис TravelLine)</w:t>
      </w:r>
      <w:r w:rsidR="00A5702B" w:rsidRPr="00A5702B">
        <w:rPr>
          <w:i/>
          <w:sz w:val="24"/>
          <w:szCs w:val="24"/>
          <w:vertAlign w:val="superscript"/>
        </w:rPr>
        <w:footnoteReference w:id="1"/>
      </w:r>
      <w:r w:rsidR="00A5702B" w:rsidRPr="00A5702B">
        <w:rPr>
          <w:i/>
          <w:sz w:val="24"/>
          <w:szCs w:val="24"/>
        </w:rPr>
        <w:t>) различных категорий средств размещения в 2021–2023 годах</w:t>
      </w:r>
    </w:p>
    <w:p w:rsidR="000715AD" w:rsidRPr="007149BD" w:rsidRDefault="000715AD" w:rsidP="000715AD">
      <w:pPr>
        <w:spacing w:line="360" w:lineRule="auto"/>
        <w:ind w:firstLine="709"/>
        <w:rPr>
          <w:color w:val="000000" w:themeColor="text1"/>
        </w:rPr>
      </w:pPr>
      <w:r w:rsidRPr="007149BD">
        <w:rPr>
          <w:color w:val="000000" w:themeColor="text1"/>
        </w:rPr>
        <w:lastRenderedPageBreak/>
        <w:t>Число размещенных в КСР</w:t>
      </w:r>
      <w:r w:rsidRPr="007149BD">
        <w:rPr>
          <w:rStyle w:val="ae"/>
          <w:color w:val="000000" w:themeColor="text1"/>
        </w:rPr>
        <w:footnoteReference w:id="2"/>
      </w:r>
      <w:r w:rsidRPr="007149BD">
        <w:rPr>
          <w:color w:val="000000" w:themeColor="text1"/>
        </w:rPr>
        <w:t xml:space="preserve"> поступательно растет, вместе с тем показатель еще не достиг допандемийного уровня (2019 года). </w:t>
      </w:r>
    </w:p>
    <w:p w:rsidR="000715AD" w:rsidRPr="00037C85" w:rsidRDefault="000715AD" w:rsidP="00A5702B">
      <w:pPr>
        <w:spacing w:line="360" w:lineRule="auto"/>
        <w:rPr>
          <w:color w:val="FF0000"/>
        </w:rPr>
      </w:pPr>
      <w:r w:rsidRPr="00037C85">
        <w:rPr>
          <w:noProof/>
          <w:color w:val="FF0000"/>
          <w:lang w:eastAsia="ru-RU"/>
        </w:rPr>
        <w:drawing>
          <wp:inline distT="0" distB="0" distL="0" distR="0" wp14:anchorId="18CBF8AB" wp14:editId="640F860B">
            <wp:extent cx="6305910" cy="3096883"/>
            <wp:effectExtent l="0" t="0" r="0" b="889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10E9" w:rsidRDefault="000810E9" w:rsidP="000810E9">
      <w:pPr>
        <w:spacing w:line="240" w:lineRule="auto"/>
        <w:rPr>
          <w:i/>
          <w:sz w:val="24"/>
          <w:szCs w:val="24"/>
        </w:rPr>
      </w:pPr>
      <w:r w:rsidRPr="00A5702B">
        <w:rPr>
          <w:i/>
          <w:sz w:val="24"/>
          <w:szCs w:val="24"/>
        </w:rPr>
        <w:t xml:space="preserve">Рисунок </w:t>
      </w:r>
      <w:r>
        <w:rPr>
          <w:i/>
          <w:sz w:val="24"/>
          <w:szCs w:val="24"/>
        </w:rPr>
        <w:t>3</w:t>
      </w:r>
      <w:r w:rsidRPr="00A5702B">
        <w:rPr>
          <w:i/>
          <w:sz w:val="24"/>
          <w:szCs w:val="24"/>
        </w:rPr>
        <w:t>.</w:t>
      </w:r>
      <w:r>
        <w:rPr>
          <w:color w:val="000000" w:themeColor="text1"/>
        </w:rPr>
        <w:t xml:space="preserve"> </w:t>
      </w:r>
      <w:r>
        <w:rPr>
          <w:i/>
          <w:sz w:val="24"/>
          <w:szCs w:val="24"/>
        </w:rPr>
        <w:t>Прирост размещаемых в КСР граждан в разрезе субъектов Российской Федерации</w:t>
      </w:r>
    </w:p>
    <w:p w:rsidR="000810E9" w:rsidRPr="000810E9" w:rsidRDefault="000810E9" w:rsidP="000810E9">
      <w:pPr>
        <w:spacing w:line="240" w:lineRule="auto"/>
        <w:rPr>
          <w:color w:val="000000" w:themeColor="text1"/>
          <w:sz w:val="12"/>
          <w:szCs w:val="12"/>
        </w:rPr>
      </w:pPr>
    </w:p>
    <w:p w:rsidR="000715AD" w:rsidRPr="007149BD" w:rsidRDefault="000715AD" w:rsidP="000715AD">
      <w:pPr>
        <w:spacing w:line="360" w:lineRule="auto"/>
        <w:ind w:firstLine="709"/>
        <w:rPr>
          <w:color w:val="000000" w:themeColor="text1"/>
        </w:rPr>
      </w:pPr>
      <w:r w:rsidRPr="007149BD">
        <w:rPr>
          <w:color w:val="000000" w:themeColor="text1"/>
        </w:rPr>
        <w:t>Вместе с тем, стоит отметить, что численность размещенных в КСР не отражает объем туристского потока в регионы в полной мере</w:t>
      </w:r>
      <w:r w:rsidR="000810E9">
        <w:rPr>
          <w:color w:val="000000" w:themeColor="text1"/>
        </w:rPr>
        <w:t>, т</w:t>
      </w:r>
      <w:r w:rsidRPr="007149BD">
        <w:rPr>
          <w:color w:val="000000" w:themeColor="text1"/>
        </w:rPr>
        <w:t>ак как ежегодно увеличивается число путешественников, отдающих предпочтение апартаментам и квартирам с посуточной арендой.</w:t>
      </w:r>
    </w:p>
    <w:p w:rsidR="000715AD" w:rsidRPr="007149BD" w:rsidRDefault="000715AD" w:rsidP="000715AD">
      <w:pPr>
        <w:spacing w:line="360" w:lineRule="auto"/>
        <w:ind w:firstLine="709"/>
        <w:rPr>
          <w:color w:val="000000" w:themeColor="text1"/>
        </w:rPr>
      </w:pPr>
      <w:r w:rsidRPr="007149BD">
        <w:rPr>
          <w:color w:val="000000" w:themeColor="text1"/>
        </w:rPr>
        <w:t>По данным комплексного социально-экономического исследования «Рынок краткосрочной аренды жилья в России и перспективы его развития» (далее – исследование ЦСР), проведенного Центром стратегических разработок в 2023 году, целями поездки 67 % респондентов (пользователей услуги краткосрочной аренды жилья) является туризм, при этом 18 % респондентов тех, кто останавливался в гостинице, рассматривали размещение в гостевом доме. Доля тех, кто осуществлял поездки с целью отдыха, выше среди тех, кто арендовал гостевой дом целиком или останавливался в гостинице (67</w:t>
      </w:r>
      <w:r w:rsidR="000810E9">
        <w:rPr>
          <w:color w:val="000000" w:themeColor="text1"/>
        </w:rPr>
        <w:t> </w:t>
      </w:r>
      <w:r w:rsidRPr="007149BD">
        <w:rPr>
          <w:color w:val="000000" w:themeColor="text1"/>
        </w:rPr>
        <w:t>% и 64</w:t>
      </w:r>
      <w:r w:rsidR="000810E9">
        <w:rPr>
          <w:color w:val="000000" w:themeColor="text1"/>
        </w:rPr>
        <w:t> </w:t>
      </w:r>
      <w:r w:rsidRPr="007149BD">
        <w:rPr>
          <w:color w:val="000000" w:themeColor="text1"/>
        </w:rPr>
        <w:t>% соответственно). Напротив, только треть опрошенных (34</w:t>
      </w:r>
      <w:r w:rsidR="005D3050">
        <w:rPr>
          <w:color w:val="000000" w:themeColor="text1"/>
        </w:rPr>
        <w:t xml:space="preserve"> </w:t>
      </w:r>
      <w:r w:rsidRPr="007149BD">
        <w:rPr>
          <w:color w:val="000000" w:themeColor="text1"/>
        </w:rPr>
        <w:t>%, что на 17 п</w:t>
      </w:r>
      <w:r w:rsidR="000810E9">
        <w:rPr>
          <w:color w:val="000000" w:themeColor="text1"/>
        </w:rPr>
        <w:t>роцентных пунктов</w:t>
      </w:r>
      <w:r w:rsidRPr="007149BD">
        <w:rPr>
          <w:color w:val="000000" w:themeColor="text1"/>
        </w:rPr>
        <w:t xml:space="preserve"> ниже среднего), которые останавливались в комнате в апартаментах, ездили в туристическую поездку. </w:t>
      </w:r>
    </w:p>
    <w:p w:rsidR="000715AD" w:rsidRPr="007149BD" w:rsidRDefault="000715AD" w:rsidP="000715AD">
      <w:pPr>
        <w:spacing w:line="360" w:lineRule="auto"/>
        <w:ind w:firstLine="709"/>
        <w:rPr>
          <w:color w:val="000000" w:themeColor="text1"/>
        </w:rPr>
      </w:pPr>
      <w:r w:rsidRPr="007149BD">
        <w:rPr>
          <w:color w:val="000000" w:themeColor="text1"/>
        </w:rPr>
        <w:lastRenderedPageBreak/>
        <w:t>В 2023 регионами-лидерами по количеству объектов недвижимости для краткосрочной аренды стали Краснодарский край (14</w:t>
      </w:r>
      <w:r w:rsidR="000810E9">
        <w:rPr>
          <w:color w:val="000000" w:themeColor="text1"/>
        </w:rPr>
        <w:t> </w:t>
      </w:r>
      <w:r w:rsidRPr="007149BD">
        <w:rPr>
          <w:color w:val="000000" w:themeColor="text1"/>
        </w:rPr>
        <w:t xml:space="preserve">%), </w:t>
      </w:r>
      <w:r w:rsidR="000810E9">
        <w:rPr>
          <w:color w:val="000000" w:themeColor="text1"/>
        </w:rPr>
        <w:t xml:space="preserve">г. </w:t>
      </w:r>
      <w:r w:rsidRPr="007149BD">
        <w:rPr>
          <w:color w:val="000000" w:themeColor="text1"/>
        </w:rPr>
        <w:t>Москва и Московская область (14</w:t>
      </w:r>
      <w:r w:rsidR="000810E9">
        <w:rPr>
          <w:color w:val="000000" w:themeColor="text1"/>
        </w:rPr>
        <w:t> </w:t>
      </w:r>
      <w:r w:rsidRPr="007149BD">
        <w:rPr>
          <w:color w:val="000000" w:themeColor="text1"/>
        </w:rPr>
        <w:t xml:space="preserve">%), </w:t>
      </w:r>
      <w:r w:rsidR="000810E9">
        <w:rPr>
          <w:color w:val="000000" w:themeColor="text1"/>
        </w:rPr>
        <w:t xml:space="preserve">г. </w:t>
      </w:r>
      <w:r w:rsidRPr="007149BD">
        <w:rPr>
          <w:color w:val="000000" w:themeColor="text1"/>
        </w:rPr>
        <w:t>Санкт-Петербург и Ленинградская область (9</w:t>
      </w:r>
      <w:r w:rsidR="000810E9">
        <w:rPr>
          <w:color w:val="000000" w:themeColor="text1"/>
        </w:rPr>
        <w:t> </w:t>
      </w:r>
      <w:r w:rsidRPr="007149BD">
        <w:rPr>
          <w:color w:val="000000" w:themeColor="text1"/>
        </w:rPr>
        <w:t xml:space="preserve">%), Республика Крым и </w:t>
      </w:r>
      <w:r w:rsidR="000810E9">
        <w:rPr>
          <w:color w:val="000000" w:themeColor="text1"/>
        </w:rPr>
        <w:t xml:space="preserve">г. </w:t>
      </w:r>
      <w:r w:rsidRPr="007149BD">
        <w:rPr>
          <w:color w:val="000000" w:themeColor="text1"/>
        </w:rPr>
        <w:t>Севастополь (5</w:t>
      </w:r>
      <w:r w:rsidR="000810E9">
        <w:rPr>
          <w:color w:val="000000" w:themeColor="text1"/>
        </w:rPr>
        <w:t> </w:t>
      </w:r>
      <w:r w:rsidRPr="007149BD">
        <w:rPr>
          <w:color w:val="000000" w:themeColor="text1"/>
        </w:rPr>
        <w:t>%), а также Калининградская область, Республика Татарстан и Самарская область (по 2</w:t>
      </w:r>
      <w:r w:rsidR="000810E9">
        <w:rPr>
          <w:color w:val="000000" w:themeColor="text1"/>
        </w:rPr>
        <w:t> – </w:t>
      </w:r>
      <w:r w:rsidRPr="007149BD">
        <w:rPr>
          <w:color w:val="000000" w:themeColor="text1"/>
        </w:rPr>
        <w:t>3</w:t>
      </w:r>
      <w:r w:rsidR="000810E9">
        <w:rPr>
          <w:color w:val="000000" w:themeColor="text1"/>
        </w:rPr>
        <w:t> </w:t>
      </w:r>
      <w:r w:rsidRPr="007149BD">
        <w:rPr>
          <w:color w:val="000000" w:themeColor="text1"/>
        </w:rPr>
        <w:t xml:space="preserve">% в каждом). </w:t>
      </w:r>
    </w:p>
    <w:p w:rsidR="000715AD" w:rsidRPr="000810E9" w:rsidRDefault="000715AD" w:rsidP="000715AD">
      <w:pPr>
        <w:spacing w:line="360" w:lineRule="auto"/>
        <w:ind w:firstLine="709"/>
        <w:rPr>
          <w:color w:val="auto"/>
        </w:rPr>
      </w:pPr>
      <w:r w:rsidRPr="007149BD">
        <w:rPr>
          <w:color w:val="000000" w:themeColor="text1"/>
        </w:rPr>
        <w:t xml:space="preserve">Перечень регионов-лидеров объектов недвижимости для краткосрочной аренды представлен на графике, что составляет половину всех объектов недвижимости в этом сегменте в Российской Федерации. </w:t>
      </w:r>
      <w:r w:rsidRPr="00037C85">
        <w:rPr>
          <w:noProof/>
          <w:color w:val="FF0000"/>
          <w:lang w:eastAsia="ru-RU"/>
        </w:rPr>
        <w:drawing>
          <wp:inline distT="0" distB="0" distL="0" distR="0" wp14:anchorId="4296509A" wp14:editId="1B9F0069">
            <wp:extent cx="5995359" cy="2009954"/>
            <wp:effectExtent l="0" t="0" r="5715"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10E9" w:rsidRDefault="000810E9" w:rsidP="000810E9">
      <w:pPr>
        <w:spacing w:line="240" w:lineRule="auto"/>
        <w:rPr>
          <w:i/>
          <w:sz w:val="24"/>
          <w:szCs w:val="24"/>
        </w:rPr>
      </w:pPr>
      <w:r w:rsidRPr="00A5702B">
        <w:rPr>
          <w:i/>
          <w:sz w:val="24"/>
          <w:szCs w:val="24"/>
        </w:rPr>
        <w:t xml:space="preserve">Рисунок </w:t>
      </w:r>
      <w:r>
        <w:rPr>
          <w:i/>
          <w:sz w:val="24"/>
          <w:szCs w:val="24"/>
        </w:rPr>
        <w:t>4</w:t>
      </w:r>
      <w:r w:rsidRPr="00A5702B">
        <w:rPr>
          <w:i/>
          <w:sz w:val="24"/>
          <w:szCs w:val="24"/>
        </w:rPr>
        <w:t>.</w:t>
      </w:r>
      <w:r>
        <w:rPr>
          <w:color w:val="000000" w:themeColor="text1"/>
        </w:rPr>
        <w:t xml:space="preserve"> </w:t>
      </w:r>
      <w:r w:rsidRPr="000810E9">
        <w:rPr>
          <w:i/>
          <w:sz w:val="24"/>
          <w:szCs w:val="24"/>
        </w:rPr>
        <w:t>Регионы-лидеры по числу объектов краткосрочной аренды</w:t>
      </w:r>
    </w:p>
    <w:p w:rsidR="000810E9" w:rsidRPr="000810E9" w:rsidRDefault="000810E9" w:rsidP="000810E9">
      <w:pPr>
        <w:spacing w:line="240" w:lineRule="auto"/>
        <w:rPr>
          <w:color w:val="000000" w:themeColor="text1"/>
          <w:sz w:val="12"/>
          <w:szCs w:val="12"/>
        </w:rPr>
      </w:pPr>
    </w:p>
    <w:p w:rsidR="000715AD" w:rsidRPr="007149BD" w:rsidRDefault="000715AD" w:rsidP="000715AD">
      <w:pPr>
        <w:spacing w:line="360" w:lineRule="auto"/>
        <w:ind w:firstLine="709"/>
        <w:rPr>
          <w:color w:val="000000" w:themeColor="text1"/>
        </w:rPr>
      </w:pPr>
      <w:r w:rsidRPr="007149BD">
        <w:rPr>
          <w:color w:val="000000" w:themeColor="text1"/>
        </w:rPr>
        <w:t xml:space="preserve">Важно отметить, что средний возраст пользователя услуги краткосрочной аренды жилья </w:t>
      </w:r>
      <w:r w:rsidR="000810E9">
        <w:rPr>
          <w:color w:val="000000" w:themeColor="text1"/>
        </w:rPr>
        <w:t>–</w:t>
      </w:r>
      <w:r w:rsidRPr="007149BD">
        <w:rPr>
          <w:color w:val="000000" w:themeColor="text1"/>
        </w:rPr>
        <w:t xml:space="preserve"> 40 лет, практически сохранено гендерное равенство (женщины</w:t>
      </w:r>
      <w:r w:rsidR="000810E9">
        <w:rPr>
          <w:color w:val="000000" w:themeColor="text1"/>
        </w:rPr>
        <w:t> –</w:t>
      </w:r>
      <w:r w:rsidRPr="007149BD">
        <w:rPr>
          <w:color w:val="000000" w:themeColor="text1"/>
        </w:rPr>
        <w:t xml:space="preserve"> 53</w:t>
      </w:r>
      <w:r w:rsidR="000810E9">
        <w:rPr>
          <w:color w:val="000000" w:themeColor="text1"/>
        </w:rPr>
        <w:t> </w:t>
      </w:r>
      <w:r w:rsidRPr="007149BD">
        <w:rPr>
          <w:color w:val="000000" w:themeColor="text1"/>
        </w:rPr>
        <w:t>%, мужчины – 47 %), 40 % опрошенных имеют доход семьи в месяц от 60</w:t>
      </w:r>
      <w:r w:rsidR="000810E9">
        <w:rPr>
          <w:color w:val="000000" w:themeColor="text1"/>
        </w:rPr>
        <w:t>–</w:t>
      </w:r>
      <w:r w:rsidRPr="007149BD">
        <w:rPr>
          <w:color w:val="000000" w:themeColor="text1"/>
        </w:rPr>
        <w:t xml:space="preserve">100 тыс. рублей, 29 % </w:t>
      </w:r>
      <w:r w:rsidR="000810E9">
        <w:rPr>
          <w:color w:val="000000" w:themeColor="text1"/>
        </w:rPr>
        <w:t>–</w:t>
      </w:r>
      <w:r w:rsidRPr="007149BD">
        <w:rPr>
          <w:color w:val="000000" w:themeColor="text1"/>
        </w:rPr>
        <w:t xml:space="preserve"> 100</w:t>
      </w:r>
      <w:r w:rsidR="000810E9">
        <w:rPr>
          <w:color w:val="000000" w:themeColor="text1"/>
        </w:rPr>
        <w:t>–</w:t>
      </w:r>
      <w:r w:rsidRPr="007149BD">
        <w:rPr>
          <w:color w:val="000000" w:themeColor="text1"/>
        </w:rPr>
        <w:t>150 тыс. рублей</w:t>
      </w:r>
      <w:r w:rsidR="000810E9">
        <w:rPr>
          <w:color w:val="000000" w:themeColor="text1"/>
        </w:rPr>
        <w:t>.</w:t>
      </w:r>
      <w:r w:rsidRPr="007149BD">
        <w:rPr>
          <w:color w:val="000000" w:themeColor="text1"/>
        </w:rPr>
        <w:t xml:space="preserve"> </w:t>
      </w:r>
      <w:r w:rsidR="000810E9">
        <w:rPr>
          <w:color w:val="000000" w:themeColor="text1"/>
        </w:rPr>
        <w:t>П</w:t>
      </w:r>
      <w:r w:rsidRPr="007149BD">
        <w:rPr>
          <w:color w:val="000000" w:themeColor="text1"/>
        </w:rPr>
        <w:t>ри этом наибольшую группу (33</w:t>
      </w:r>
      <w:r w:rsidR="000810E9">
        <w:rPr>
          <w:color w:val="000000" w:themeColor="text1"/>
        </w:rPr>
        <w:t> </w:t>
      </w:r>
      <w:r w:rsidRPr="007149BD">
        <w:rPr>
          <w:color w:val="000000" w:themeColor="text1"/>
        </w:rPr>
        <w:t>%) представляют семьи численность три человека, 26</w:t>
      </w:r>
      <w:r w:rsidR="000810E9">
        <w:rPr>
          <w:color w:val="000000" w:themeColor="text1"/>
        </w:rPr>
        <w:t> </w:t>
      </w:r>
      <w:r w:rsidRPr="007149BD">
        <w:rPr>
          <w:color w:val="000000" w:themeColor="text1"/>
        </w:rPr>
        <w:t xml:space="preserve">% </w:t>
      </w:r>
      <w:r w:rsidR="000810E9">
        <w:rPr>
          <w:color w:val="000000" w:themeColor="text1"/>
        </w:rPr>
        <w:t>–</w:t>
      </w:r>
      <w:r w:rsidRPr="007149BD">
        <w:rPr>
          <w:color w:val="000000" w:themeColor="text1"/>
        </w:rPr>
        <w:t xml:space="preserve"> две группы: семьи численностью два человека и численностью 4 и более человек.</w:t>
      </w:r>
    </w:p>
    <w:p w:rsidR="000715AD" w:rsidRPr="000810E9" w:rsidRDefault="000715AD" w:rsidP="000810E9">
      <w:pPr>
        <w:spacing w:line="360" w:lineRule="auto"/>
        <w:jc w:val="center"/>
        <w:rPr>
          <w:color w:val="auto"/>
        </w:rPr>
      </w:pPr>
      <w:r w:rsidRPr="00037C85">
        <w:rPr>
          <w:noProof/>
          <w:color w:val="FF0000"/>
          <w:lang w:eastAsia="ru-RU"/>
        </w:rPr>
        <w:drawing>
          <wp:inline distT="0" distB="0" distL="0" distR="0" wp14:anchorId="3DDF752A" wp14:editId="409EAEDD">
            <wp:extent cx="5831457" cy="1940944"/>
            <wp:effectExtent l="0" t="0" r="0" b="254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10E9" w:rsidRDefault="000810E9" w:rsidP="000810E9">
      <w:pPr>
        <w:spacing w:line="240" w:lineRule="auto"/>
        <w:rPr>
          <w:i/>
          <w:sz w:val="24"/>
          <w:szCs w:val="24"/>
        </w:rPr>
      </w:pPr>
      <w:r w:rsidRPr="00A5702B">
        <w:rPr>
          <w:i/>
          <w:sz w:val="24"/>
          <w:szCs w:val="24"/>
        </w:rPr>
        <w:t xml:space="preserve">Рисунок </w:t>
      </w:r>
      <w:r>
        <w:rPr>
          <w:i/>
          <w:sz w:val="24"/>
          <w:szCs w:val="24"/>
        </w:rPr>
        <w:t>5</w:t>
      </w:r>
      <w:r w:rsidRPr="00A5702B">
        <w:rPr>
          <w:i/>
          <w:sz w:val="24"/>
          <w:szCs w:val="24"/>
        </w:rPr>
        <w:t>.</w:t>
      </w:r>
      <w:r>
        <w:rPr>
          <w:color w:val="000000" w:themeColor="text1"/>
        </w:rPr>
        <w:t xml:space="preserve"> </w:t>
      </w:r>
      <w:r w:rsidRPr="000810E9">
        <w:rPr>
          <w:i/>
          <w:sz w:val="24"/>
          <w:szCs w:val="24"/>
        </w:rPr>
        <w:t>Период пребывания в арендуемых объектах</w:t>
      </w:r>
    </w:p>
    <w:p w:rsidR="000715AD" w:rsidRDefault="000715AD" w:rsidP="000715AD">
      <w:pPr>
        <w:spacing w:line="360" w:lineRule="auto"/>
        <w:ind w:firstLine="709"/>
        <w:rPr>
          <w:color w:val="000000" w:themeColor="text1"/>
        </w:rPr>
      </w:pPr>
      <w:r w:rsidRPr="007149BD">
        <w:rPr>
          <w:color w:val="000000" w:themeColor="text1"/>
        </w:rPr>
        <w:lastRenderedPageBreak/>
        <w:t>В рамках исследования ЦСР экспертами отмечается, что в 2024</w:t>
      </w:r>
      <w:r w:rsidR="001C539D">
        <w:rPr>
          <w:color w:val="000000" w:themeColor="text1"/>
        </w:rPr>
        <w:t>–</w:t>
      </w:r>
      <w:r w:rsidRPr="007149BD">
        <w:rPr>
          <w:color w:val="000000" w:themeColor="text1"/>
        </w:rPr>
        <w:t>2026</w:t>
      </w:r>
      <w:r w:rsidR="001C539D">
        <w:rPr>
          <w:color w:val="000000" w:themeColor="text1"/>
        </w:rPr>
        <w:t> </w:t>
      </w:r>
      <w:r w:rsidRPr="007149BD">
        <w:rPr>
          <w:color w:val="000000" w:themeColor="text1"/>
        </w:rPr>
        <w:t xml:space="preserve">годах при отсутствии регуляторных изменений и «шоковых» геополитических событий рынок краткосрочной аренды жилья сохранит тенденцию роста. Прогнозные значения </w:t>
      </w:r>
      <w:r w:rsidR="001C539D" w:rsidRPr="007149BD">
        <w:rPr>
          <w:color w:val="000000" w:themeColor="text1"/>
        </w:rPr>
        <w:t>рын</w:t>
      </w:r>
      <w:r w:rsidR="001C539D">
        <w:rPr>
          <w:color w:val="000000" w:themeColor="text1"/>
        </w:rPr>
        <w:t>ка</w:t>
      </w:r>
      <w:r w:rsidR="001C539D" w:rsidRPr="007149BD">
        <w:rPr>
          <w:color w:val="000000" w:themeColor="text1"/>
        </w:rPr>
        <w:t xml:space="preserve"> краткосрочной аренды жилья</w:t>
      </w:r>
      <w:r w:rsidRPr="007149BD">
        <w:rPr>
          <w:color w:val="000000" w:themeColor="text1"/>
        </w:rPr>
        <w:t>.</w:t>
      </w:r>
    </w:p>
    <w:p w:rsidR="001C539D" w:rsidRPr="001C539D" w:rsidRDefault="001C539D" w:rsidP="001C539D">
      <w:pPr>
        <w:spacing w:after="120" w:line="240" w:lineRule="auto"/>
        <w:rPr>
          <w:color w:val="000000" w:themeColor="text1"/>
          <w:sz w:val="24"/>
          <w:szCs w:val="24"/>
        </w:rPr>
      </w:pPr>
      <w:r w:rsidRPr="00122305">
        <w:rPr>
          <w:i/>
          <w:sz w:val="24"/>
          <w:szCs w:val="24"/>
        </w:rPr>
        <w:t xml:space="preserve">Таблица </w:t>
      </w:r>
      <w:r>
        <w:rPr>
          <w:i/>
          <w:sz w:val="24"/>
          <w:szCs w:val="24"/>
        </w:rPr>
        <w:t>1</w:t>
      </w:r>
      <w:r w:rsidRPr="00122305">
        <w:rPr>
          <w:i/>
          <w:sz w:val="24"/>
          <w:szCs w:val="24"/>
        </w:rPr>
        <w:t xml:space="preserve">. </w:t>
      </w:r>
      <w:r w:rsidRPr="001C539D">
        <w:rPr>
          <w:i/>
          <w:sz w:val="24"/>
          <w:szCs w:val="24"/>
        </w:rPr>
        <w:t>Прогнозные значения рынка краткосрочной аренды жилья</w:t>
      </w:r>
    </w:p>
    <w:tbl>
      <w:tblPr>
        <w:tblStyle w:val="ab"/>
        <w:tblW w:w="0" w:type="auto"/>
        <w:jc w:val="center"/>
        <w:tblLook w:val="04A0" w:firstRow="1" w:lastRow="0" w:firstColumn="1" w:lastColumn="0" w:noHBand="0" w:noVBand="1"/>
      </w:tblPr>
      <w:tblGrid>
        <w:gridCol w:w="3681"/>
        <w:gridCol w:w="2126"/>
        <w:gridCol w:w="1985"/>
        <w:gridCol w:w="1554"/>
      </w:tblGrid>
      <w:tr w:rsidR="000715AD" w:rsidRPr="00037C85" w:rsidTr="008E00A2">
        <w:trPr>
          <w:jc w:val="center"/>
        </w:trPr>
        <w:tc>
          <w:tcPr>
            <w:tcW w:w="3681" w:type="dxa"/>
          </w:tcPr>
          <w:p w:rsidR="000715AD" w:rsidRPr="007149BD" w:rsidRDefault="000715AD" w:rsidP="001C539D">
            <w:pPr>
              <w:jc w:val="center"/>
              <w:rPr>
                <w:b/>
                <w:color w:val="000000" w:themeColor="text1"/>
                <w:sz w:val="20"/>
                <w:szCs w:val="20"/>
              </w:rPr>
            </w:pPr>
            <w:r w:rsidRPr="007149BD">
              <w:rPr>
                <w:b/>
                <w:color w:val="000000" w:themeColor="text1"/>
                <w:sz w:val="20"/>
                <w:szCs w:val="20"/>
              </w:rPr>
              <w:t>Наименование показателя</w:t>
            </w:r>
          </w:p>
        </w:tc>
        <w:tc>
          <w:tcPr>
            <w:tcW w:w="2126" w:type="dxa"/>
          </w:tcPr>
          <w:p w:rsidR="000715AD" w:rsidRPr="007149BD" w:rsidRDefault="000715AD" w:rsidP="001C539D">
            <w:pPr>
              <w:jc w:val="center"/>
              <w:rPr>
                <w:b/>
                <w:color w:val="000000" w:themeColor="text1"/>
                <w:sz w:val="20"/>
                <w:szCs w:val="20"/>
              </w:rPr>
            </w:pPr>
            <w:r w:rsidRPr="007149BD">
              <w:rPr>
                <w:b/>
                <w:color w:val="000000" w:themeColor="text1"/>
                <w:sz w:val="20"/>
                <w:szCs w:val="20"/>
              </w:rPr>
              <w:t>2024</w:t>
            </w:r>
            <w:r w:rsidR="001C539D">
              <w:rPr>
                <w:b/>
                <w:color w:val="000000" w:themeColor="text1"/>
                <w:sz w:val="20"/>
                <w:szCs w:val="20"/>
              </w:rPr>
              <w:t xml:space="preserve"> год</w:t>
            </w:r>
          </w:p>
        </w:tc>
        <w:tc>
          <w:tcPr>
            <w:tcW w:w="1985" w:type="dxa"/>
          </w:tcPr>
          <w:p w:rsidR="000715AD" w:rsidRPr="007149BD" w:rsidRDefault="000715AD" w:rsidP="001C539D">
            <w:pPr>
              <w:jc w:val="center"/>
              <w:rPr>
                <w:b/>
                <w:color w:val="000000" w:themeColor="text1"/>
                <w:sz w:val="20"/>
                <w:szCs w:val="20"/>
              </w:rPr>
            </w:pPr>
            <w:r w:rsidRPr="007149BD">
              <w:rPr>
                <w:b/>
                <w:color w:val="000000" w:themeColor="text1"/>
                <w:sz w:val="20"/>
                <w:szCs w:val="20"/>
              </w:rPr>
              <w:t>2025</w:t>
            </w:r>
            <w:r w:rsidR="001C539D">
              <w:rPr>
                <w:b/>
                <w:color w:val="000000" w:themeColor="text1"/>
                <w:sz w:val="20"/>
                <w:szCs w:val="20"/>
              </w:rPr>
              <w:t xml:space="preserve"> год</w:t>
            </w:r>
          </w:p>
        </w:tc>
        <w:tc>
          <w:tcPr>
            <w:tcW w:w="1554" w:type="dxa"/>
          </w:tcPr>
          <w:p w:rsidR="000715AD" w:rsidRPr="007149BD" w:rsidRDefault="000715AD" w:rsidP="001C539D">
            <w:pPr>
              <w:jc w:val="center"/>
              <w:rPr>
                <w:b/>
                <w:color w:val="000000" w:themeColor="text1"/>
                <w:sz w:val="20"/>
                <w:szCs w:val="20"/>
              </w:rPr>
            </w:pPr>
            <w:r w:rsidRPr="007149BD">
              <w:rPr>
                <w:b/>
                <w:color w:val="000000" w:themeColor="text1"/>
                <w:sz w:val="20"/>
                <w:szCs w:val="20"/>
              </w:rPr>
              <w:t>2026</w:t>
            </w:r>
            <w:r w:rsidR="001C539D">
              <w:rPr>
                <w:b/>
                <w:color w:val="000000" w:themeColor="text1"/>
                <w:sz w:val="20"/>
                <w:szCs w:val="20"/>
              </w:rPr>
              <w:t xml:space="preserve"> год</w:t>
            </w:r>
          </w:p>
        </w:tc>
      </w:tr>
      <w:tr w:rsidR="000715AD" w:rsidRPr="00037C85" w:rsidTr="001C539D">
        <w:trPr>
          <w:jc w:val="center"/>
        </w:trPr>
        <w:tc>
          <w:tcPr>
            <w:tcW w:w="3681" w:type="dxa"/>
          </w:tcPr>
          <w:p w:rsidR="000715AD" w:rsidRPr="007149BD" w:rsidRDefault="000715AD" w:rsidP="00E6396B">
            <w:pPr>
              <w:rPr>
                <w:color w:val="000000" w:themeColor="text1"/>
                <w:sz w:val="20"/>
                <w:szCs w:val="20"/>
              </w:rPr>
            </w:pPr>
            <w:r w:rsidRPr="007149BD">
              <w:rPr>
                <w:color w:val="000000" w:themeColor="text1"/>
                <w:sz w:val="20"/>
                <w:szCs w:val="20"/>
              </w:rPr>
              <w:t>Объем рынка (с учетом</w:t>
            </w:r>
            <w:r w:rsidR="001C539D">
              <w:rPr>
                <w:color w:val="000000" w:themeColor="text1"/>
                <w:sz w:val="20"/>
                <w:szCs w:val="20"/>
              </w:rPr>
              <w:t xml:space="preserve"> данных опросов ЦСР), млн руб.</w:t>
            </w:r>
          </w:p>
        </w:tc>
        <w:tc>
          <w:tcPr>
            <w:tcW w:w="2126"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315 289</w:t>
            </w:r>
          </w:p>
        </w:tc>
        <w:tc>
          <w:tcPr>
            <w:tcW w:w="1985"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389 936</w:t>
            </w:r>
          </w:p>
        </w:tc>
        <w:tc>
          <w:tcPr>
            <w:tcW w:w="1554"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495 379</w:t>
            </w:r>
          </w:p>
        </w:tc>
      </w:tr>
      <w:tr w:rsidR="000715AD" w:rsidRPr="00037C85" w:rsidTr="001C539D">
        <w:trPr>
          <w:jc w:val="center"/>
        </w:trPr>
        <w:tc>
          <w:tcPr>
            <w:tcW w:w="3681" w:type="dxa"/>
          </w:tcPr>
          <w:p w:rsidR="000715AD" w:rsidRPr="007149BD" w:rsidRDefault="000715AD" w:rsidP="001C539D">
            <w:pPr>
              <w:rPr>
                <w:color w:val="000000" w:themeColor="text1"/>
                <w:sz w:val="20"/>
                <w:szCs w:val="20"/>
              </w:rPr>
            </w:pPr>
            <w:r w:rsidRPr="007149BD">
              <w:rPr>
                <w:color w:val="000000" w:themeColor="text1"/>
                <w:sz w:val="20"/>
                <w:szCs w:val="20"/>
              </w:rPr>
              <w:t>Объем рынка (расчет ЦСР по данным профильных классифайдов), млн руб</w:t>
            </w:r>
            <w:r w:rsidR="001C539D">
              <w:rPr>
                <w:color w:val="000000" w:themeColor="text1"/>
                <w:sz w:val="20"/>
                <w:szCs w:val="20"/>
              </w:rPr>
              <w:t>.</w:t>
            </w:r>
          </w:p>
        </w:tc>
        <w:tc>
          <w:tcPr>
            <w:tcW w:w="2126"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255 044</w:t>
            </w:r>
          </w:p>
        </w:tc>
        <w:tc>
          <w:tcPr>
            <w:tcW w:w="1985"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315 428</w:t>
            </w:r>
          </w:p>
        </w:tc>
        <w:tc>
          <w:tcPr>
            <w:tcW w:w="1554"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400 723</w:t>
            </w:r>
          </w:p>
        </w:tc>
      </w:tr>
      <w:tr w:rsidR="000715AD" w:rsidRPr="00037C85" w:rsidTr="001C539D">
        <w:trPr>
          <w:jc w:val="center"/>
        </w:trPr>
        <w:tc>
          <w:tcPr>
            <w:tcW w:w="3681" w:type="dxa"/>
          </w:tcPr>
          <w:p w:rsidR="000715AD" w:rsidRPr="007149BD" w:rsidRDefault="000715AD" w:rsidP="00E6396B">
            <w:pPr>
              <w:rPr>
                <w:color w:val="000000" w:themeColor="text1"/>
                <w:sz w:val="20"/>
                <w:szCs w:val="20"/>
              </w:rPr>
            </w:pPr>
            <w:r w:rsidRPr="007149BD">
              <w:rPr>
                <w:color w:val="000000" w:themeColor="text1"/>
                <w:sz w:val="20"/>
                <w:szCs w:val="20"/>
              </w:rPr>
              <w:t>Количество арендодателей, чел.</w:t>
            </w:r>
          </w:p>
        </w:tc>
        <w:tc>
          <w:tcPr>
            <w:tcW w:w="2126"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202 299</w:t>
            </w:r>
          </w:p>
        </w:tc>
        <w:tc>
          <w:tcPr>
            <w:tcW w:w="1985"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257 389</w:t>
            </w:r>
          </w:p>
        </w:tc>
        <w:tc>
          <w:tcPr>
            <w:tcW w:w="1554"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327 481</w:t>
            </w:r>
          </w:p>
        </w:tc>
      </w:tr>
      <w:tr w:rsidR="000715AD" w:rsidRPr="00037C85" w:rsidTr="001C539D">
        <w:trPr>
          <w:jc w:val="center"/>
        </w:trPr>
        <w:tc>
          <w:tcPr>
            <w:tcW w:w="3681" w:type="dxa"/>
          </w:tcPr>
          <w:p w:rsidR="000715AD" w:rsidRPr="007149BD" w:rsidRDefault="000715AD" w:rsidP="00E6396B">
            <w:pPr>
              <w:rPr>
                <w:color w:val="000000" w:themeColor="text1"/>
                <w:sz w:val="20"/>
                <w:szCs w:val="20"/>
              </w:rPr>
            </w:pPr>
            <w:r w:rsidRPr="007149BD">
              <w:rPr>
                <w:color w:val="000000" w:themeColor="text1"/>
                <w:sz w:val="20"/>
                <w:szCs w:val="20"/>
              </w:rPr>
              <w:t>Нал</w:t>
            </w:r>
            <w:r w:rsidR="001C539D">
              <w:rPr>
                <w:color w:val="000000" w:themeColor="text1"/>
                <w:sz w:val="20"/>
                <w:szCs w:val="20"/>
              </w:rPr>
              <w:t>оги от арендодателей, млн руб.</w:t>
            </w:r>
          </w:p>
        </w:tc>
        <w:tc>
          <w:tcPr>
            <w:tcW w:w="2126"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6 054</w:t>
            </w:r>
          </w:p>
        </w:tc>
        <w:tc>
          <w:tcPr>
            <w:tcW w:w="1985"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7 487</w:t>
            </w:r>
          </w:p>
        </w:tc>
        <w:tc>
          <w:tcPr>
            <w:tcW w:w="1554"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9 511</w:t>
            </w:r>
          </w:p>
        </w:tc>
      </w:tr>
      <w:tr w:rsidR="000715AD" w:rsidRPr="00037C85" w:rsidTr="001C539D">
        <w:trPr>
          <w:jc w:val="center"/>
        </w:trPr>
        <w:tc>
          <w:tcPr>
            <w:tcW w:w="3681" w:type="dxa"/>
          </w:tcPr>
          <w:p w:rsidR="000715AD" w:rsidRPr="007149BD" w:rsidRDefault="000715AD" w:rsidP="00E6396B">
            <w:pPr>
              <w:rPr>
                <w:color w:val="000000" w:themeColor="text1"/>
                <w:sz w:val="20"/>
                <w:szCs w:val="20"/>
              </w:rPr>
            </w:pPr>
            <w:r w:rsidRPr="007149BD">
              <w:rPr>
                <w:color w:val="000000" w:themeColor="text1"/>
                <w:sz w:val="20"/>
                <w:szCs w:val="20"/>
              </w:rPr>
              <w:t>Количество занятых, чел.</w:t>
            </w:r>
          </w:p>
        </w:tc>
        <w:tc>
          <w:tcPr>
            <w:tcW w:w="2126"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429 133</w:t>
            </w:r>
          </w:p>
        </w:tc>
        <w:tc>
          <w:tcPr>
            <w:tcW w:w="1985"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545 994</w:t>
            </w:r>
          </w:p>
        </w:tc>
        <w:tc>
          <w:tcPr>
            <w:tcW w:w="1554" w:type="dxa"/>
            <w:vAlign w:val="bottom"/>
          </w:tcPr>
          <w:p w:rsidR="000715AD" w:rsidRPr="007149BD" w:rsidRDefault="000715AD" w:rsidP="001C539D">
            <w:pPr>
              <w:jc w:val="right"/>
              <w:rPr>
                <w:color w:val="000000" w:themeColor="text1"/>
                <w:sz w:val="20"/>
                <w:szCs w:val="20"/>
              </w:rPr>
            </w:pPr>
            <w:r w:rsidRPr="007149BD">
              <w:rPr>
                <w:color w:val="000000" w:themeColor="text1"/>
                <w:sz w:val="20"/>
                <w:szCs w:val="20"/>
              </w:rPr>
              <w:t>694 680</w:t>
            </w:r>
          </w:p>
        </w:tc>
      </w:tr>
    </w:tbl>
    <w:p w:rsidR="001C539D" w:rsidRPr="001C539D" w:rsidRDefault="001C539D" w:rsidP="000715AD">
      <w:pPr>
        <w:spacing w:line="360" w:lineRule="auto"/>
        <w:ind w:firstLine="709"/>
        <w:rPr>
          <w:color w:val="000000" w:themeColor="text1"/>
          <w:sz w:val="12"/>
          <w:szCs w:val="12"/>
        </w:rPr>
      </w:pPr>
    </w:p>
    <w:p w:rsidR="00FB3FE9" w:rsidRDefault="000715AD" w:rsidP="001C539D">
      <w:pPr>
        <w:spacing w:line="360" w:lineRule="auto"/>
        <w:ind w:firstLine="709"/>
      </w:pPr>
      <w:r w:rsidRPr="007149BD">
        <w:rPr>
          <w:color w:val="000000" w:themeColor="text1"/>
        </w:rPr>
        <w:t xml:space="preserve">Приведенные данные Федеральной службы государственной статистики в Российской Федерации, данные сервиса </w:t>
      </w:r>
      <w:r w:rsidRPr="007149BD">
        <w:rPr>
          <w:color w:val="000000" w:themeColor="text1"/>
          <w:lang w:val="en-US"/>
        </w:rPr>
        <w:t>TravelLine</w:t>
      </w:r>
      <w:r w:rsidRPr="007149BD">
        <w:rPr>
          <w:color w:val="000000" w:themeColor="text1"/>
        </w:rPr>
        <w:t>, исследования ЦСР свидетельству</w:t>
      </w:r>
      <w:r w:rsidR="001C539D">
        <w:rPr>
          <w:color w:val="000000" w:themeColor="text1"/>
        </w:rPr>
        <w:t>ю</w:t>
      </w:r>
      <w:r w:rsidRPr="007149BD">
        <w:rPr>
          <w:color w:val="000000" w:themeColor="text1"/>
        </w:rPr>
        <w:t>т об изменении структуры рынка услуг размещения: увеличение спроса на категории 3* и 4*, рост доли краткосрочной аренды жилья для целей туризма. Данные тенденции должны быть учтены при разработке мастер-планов туристских территорий, оценке перспективности создания отдельных категорий объектов размещения, реализации инвестиционных проектов и расчета их технико-экономических параметров.</w:t>
      </w:r>
    </w:p>
    <w:sectPr w:rsidR="00FB3FE9" w:rsidSect="00A5702B">
      <w:headerReference w:type="default" r:id="rId11"/>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3C3" w:rsidRDefault="002813C3" w:rsidP="008F0DC6">
      <w:pPr>
        <w:spacing w:line="240" w:lineRule="auto"/>
      </w:pPr>
      <w:r>
        <w:separator/>
      </w:r>
    </w:p>
  </w:endnote>
  <w:endnote w:type="continuationSeparator" w:id="0">
    <w:p w:rsidR="002813C3" w:rsidRDefault="002813C3" w:rsidP="008F0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3C3" w:rsidRDefault="002813C3" w:rsidP="008F0DC6">
      <w:pPr>
        <w:spacing w:line="240" w:lineRule="auto"/>
      </w:pPr>
      <w:r>
        <w:separator/>
      </w:r>
    </w:p>
  </w:footnote>
  <w:footnote w:type="continuationSeparator" w:id="0">
    <w:p w:rsidR="002813C3" w:rsidRDefault="002813C3" w:rsidP="008F0DC6">
      <w:pPr>
        <w:spacing w:line="240" w:lineRule="auto"/>
      </w:pPr>
      <w:r>
        <w:continuationSeparator/>
      </w:r>
    </w:p>
  </w:footnote>
  <w:footnote w:id="1">
    <w:p w:rsidR="00A5702B" w:rsidRPr="00A5702B" w:rsidRDefault="00A5702B" w:rsidP="00A5702B">
      <w:pPr>
        <w:pStyle w:val="a5"/>
      </w:pPr>
      <w:r>
        <w:rPr>
          <w:rStyle w:val="ae"/>
        </w:rPr>
        <w:footnoteRef/>
      </w:r>
      <w:r>
        <w:t xml:space="preserve"> </w:t>
      </w:r>
      <w:r w:rsidRPr="000E3A87">
        <w:t xml:space="preserve">Оценка доли рынка: объекты, размещенные на сервисе </w:t>
      </w:r>
      <w:r w:rsidRPr="000E3A87">
        <w:rPr>
          <w:lang w:val="en-US"/>
        </w:rPr>
        <w:t>TravelLine</w:t>
      </w:r>
      <w:r>
        <w:t>.</w:t>
      </w:r>
    </w:p>
  </w:footnote>
  <w:footnote w:id="2">
    <w:p w:rsidR="000715AD" w:rsidRPr="001C4526" w:rsidRDefault="000715AD" w:rsidP="000715AD">
      <w:pPr>
        <w:pStyle w:val="a5"/>
      </w:pPr>
      <w:r>
        <w:rPr>
          <w:rStyle w:val="ae"/>
        </w:rPr>
        <w:footnoteRef/>
      </w:r>
      <w:r>
        <w:t xml:space="preserve"> </w:t>
      </w:r>
      <w:r w:rsidRPr="001C4526">
        <w:t>По данным Федеральной службы государственной статистики в Российской Федерации</w:t>
      </w:r>
      <w:r w:rsidR="000810E9">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530826"/>
      <w:docPartObj>
        <w:docPartGallery w:val="Page Numbers (Top of Page)"/>
        <w:docPartUnique/>
      </w:docPartObj>
    </w:sdtPr>
    <w:sdtEndPr/>
    <w:sdtContent>
      <w:p w:rsidR="008F0DC6" w:rsidRDefault="008F0DC6">
        <w:pPr>
          <w:pStyle w:val="a7"/>
          <w:jc w:val="center"/>
        </w:pPr>
        <w:r>
          <w:fldChar w:fldCharType="begin"/>
        </w:r>
        <w:r>
          <w:instrText>PAGE   \* MERGEFORMAT</w:instrText>
        </w:r>
        <w:r>
          <w:fldChar w:fldCharType="separate"/>
        </w:r>
        <w:r w:rsidR="00CF34C2">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F5"/>
    <w:rsid w:val="00007794"/>
    <w:rsid w:val="000220CC"/>
    <w:rsid w:val="000267B1"/>
    <w:rsid w:val="000517AE"/>
    <w:rsid w:val="00067858"/>
    <w:rsid w:val="000715AD"/>
    <w:rsid w:val="000810E9"/>
    <w:rsid w:val="00083813"/>
    <w:rsid w:val="00085FED"/>
    <w:rsid w:val="000D08AD"/>
    <w:rsid w:val="000E079A"/>
    <w:rsid w:val="000F197A"/>
    <w:rsid w:val="000F531F"/>
    <w:rsid w:val="001B6520"/>
    <w:rsid w:val="001B686A"/>
    <w:rsid w:val="001C539D"/>
    <w:rsid w:val="001F7776"/>
    <w:rsid w:val="0022348E"/>
    <w:rsid w:val="00250CCB"/>
    <w:rsid w:val="00257325"/>
    <w:rsid w:val="00266065"/>
    <w:rsid w:val="002813C3"/>
    <w:rsid w:val="00284BC1"/>
    <w:rsid w:val="002A73A1"/>
    <w:rsid w:val="002F18B8"/>
    <w:rsid w:val="00302E63"/>
    <w:rsid w:val="00317F3C"/>
    <w:rsid w:val="0034092D"/>
    <w:rsid w:val="00347080"/>
    <w:rsid w:val="003643A3"/>
    <w:rsid w:val="00383D33"/>
    <w:rsid w:val="00405369"/>
    <w:rsid w:val="00405B30"/>
    <w:rsid w:val="00432458"/>
    <w:rsid w:val="004628BB"/>
    <w:rsid w:val="00490F3F"/>
    <w:rsid w:val="004D484D"/>
    <w:rsid w:val="004D71CD"/>
    <w:rsid w:val="004E0990"/>
    <w:rsid w:val="004E3936"/>
    <w:rsid w:val="004E6E29"/>
    <w:rsid w:val="00505447"/>
    <w:rsid w:val="00524EF5"/>
    <w:rsid w:val="00535CC9"/>
    <w:rsid w:val="00536B6F"/>
    <w:rsid w:val="00566F3C"/>
    <w:rsid w:val="00574361"/>
    <w:rsid w:val="00587A05"/>
    <w:rsid w:val="005D3050"/>
    <w:rsid w:val="00605392"/>
    <w:rsid w:val="0061748F"/>
    <w:rsid w:val="006A0EE4"/>
    <w:rsid w:val="006B639B"/>
    <w:rsid w:val="006D6DF8"/>
    <w:rsid w:val="00744B80"/>
    <w:rsid w:val="0077387F"/>
    <w:rsid w:val="00787AF5"/>
    <w:rsid w:val="007A63E7"/>
    <w:rsid w:val="007A6BC6"/>
    <w:rsid w:val="007D2A4D"/>
    <w:rsid w:val="007D5A37"/>
    <w:rsid w:val="007E59CD"/>
    <w:rsid w:val="007F2AB1"/>
    <w:rsid w:val="00801FF9"/>
    <w:rsid w:val="00803E84"/>
    <w:rsid w:val="008219E4"/>
    <w:rsid w:val="00844CB8"/>
    <w:rsid w:val="008764C8"/>
    <w:rsid w:val="008775BB"/>
    <w:rsid w:val="00885B10"/>
    <w:rsid w:val="008A3BDD"/>
    <w:rsid w:val="008C3B2F"/>
    <w:rsid w:val="008D0FA7"/>
    <w:rsid w:val="008D699C"/>
    <w:rsid w:val="008E13E6"/>
    <w:rsid w:val="008F0DC6"/>
    <w:rsid w:val="008F3A40"/>
    <w:rsid w:val="00902CE1"/>
    <w:rsid w:val="009071AE"/>
    <w:rsid w:val="00944E8D"/>
    <w:rsid w:val="00945FB7"/>
    <w:rsid w:val="00981BE4"/>
    <w:rsid w:val="009E0E52"/>
    <w:rsid w:val="009F0AC8"/>
    <w:rsid w:val="00A4705D"/>
    <w:rsid w:val="00A5702B"/>
    <w:rsid w:val="00A72865"/>
    <w:rsid w:val="00AD5865"/>
    <w:rsid w:val="00AD5DCD"/>
    <w:rsid w:val="00B06F8B"/>
    <w:rsid w:val="00B306FF"/>
    <w:rsid w:val="00B54B4E"/>
    <w:rsid w:val="00B55D40"/>
    <w:rsid w:val="00B73ED1"/>
    <w:rsid w:val="00B91574"/>
    <w:rsid w:val="00B92CB0"/>
    <w:rsid w:val="00BC370C"/>
    <w:rsid w:val="00BD35AC"/>
    <w:rsid w:val="00BD48ED"/>
    <w:rsid w:val="00BD6217"/>
    <w:rsid w:val="00BE4088"/>
    <w:rsid w:val="00BF47D3"/>
    <w:rsid w:val="00BF79F6"/>
    <w:rsid w:val="00C3182B"/>
    <w:rsid w:val="00C31B1F"/>
    <w:rsid w:val="00C443DF"/>
    <w:rsid w:val="00C44A68"/>
    <w:rsid w:val="00C90785"/>
    <w:rsid w:val="00C9193C"/>
    <w:rsid w:val="00CB442C"/>
    <w:rsid w:val="00CB750F"/>
    <w:rsid w:val="00CD450A"/>
    <w:rsid w:val="00CD4613"/>
    <w:rsid w:val="00CD7012"/>
    <w:rsid w:val="00CF34C2"/>
    <w:rsid w:val="00CF4B79"/>
    <w:rsid w:val="00D01EEA"/>
    <w:rsid w:val="00D34F47"/>
    <w:rsid w:val="00D72DCD"/>
    <w:rsid w:val="00DE6E12"/>
    <w:rsid w:val="00E14900"/>
    <w:rsid w:val="00E16AA4"/>
    <w:rsid w:val="00E33C0F"/>
    <w:rsid w:val="00E62F93"/>
    <w:rsid w:val="00E6396B"/>
    <w:rsid w:val="00E6410C"/>
    <w:rsid w:val="00E72485"/>
    <w:rsid w:val="00ED7A1C"/>
    <w:rsid w:val="00F1483E"/>
    <w:rsid w:val="00F208E8"/>
    <w:rsid w:val="00F249B6"/>
    <w:rsid w:val="00F376F9"/>
    <w:rsid w:val="00F620C5"/>
    <w:rsid w:val="00FA3944"/>
    <w:rsid w:val="00FB3FE9"/>
    <w:rsid w:val="00FF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36517"/>
  <w15:docId w15:val="{85C5F407-A73F-4D64-B44D-9735A2CA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spacing w:line="322"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92CB0"/>
    <w:rPr>
      <w:rFonts w:ascii="Times New Roman" w:eastAsia="Times New Roman" w:hAnsi="Times New Roman" w:cs="Times New Roman"/>
      <w:sz w:val="20"/>
      <w:szCs w:val="20"/>
      <w:shd w:val="clear" w:color="auto" w:fill="FFFFFF"/>
    </w:rPr>
  </w:style>
  <w:style w:type="character" w:customStyle="1" w:styleId="214pt">
    <w:name w:val="Основной текст (2) + 14 pt;Полужирный"/>
    <w:basedOn w:val="2"/>
    <w:rsid w:val="00B92CB0"/>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20">
    <w:name w:val="Основной текст (2)"/>
    <w:basedOn w:val="a"/>
    <w:link w:val="2"/>
    <w:rsid w:val="00B92CB0"/>
    <w:pPr>
      <w:widowControl w:val="0"/>
      <w:shd w:val="clear" w:color="auto" w:fill="FFFFFF"/>
      <w:spacing w:line="0" w:lineRule="atLeast"/>
    </w:pPr>
    <w:rPr>
      <w:rFonts w:eastAsia="Times New Roman"/>
      <w:sz w:val="20"/>
      <w:szCs w:val="20"/>
    </w:rPr>
  </w:style>
  <w:style w:type="character" w:customStyle="1" w:styleId="214pt0">
    <w:name w:val="Основной текст (2) + 14 pt"/>
    <w:basedOn w:val="2"/>
    <w:rsid w:val="00B92CB0"/>
    <w:rPr>
      <w:rFonts w:ascii="Times New Roman" w:eastAsia="Times New Roman" w:hAnsi="Times New Roman" w:cs="Times New Roman"/>
      <w:color w:val="000000"/>
      <w:w w:val="100"/>
      <w:position w:val="0"/>
      <w:sz w:val="28"/>
      <w:szCs w:val="28"/>
      <w:shd w:val="clear" w:color="auto" w:fill="FFFFFF"/>
      <w:lang w:val="ru-RU" w:eastAsia="ru-RU" w:bidi="ru-RU"/>
    </w:rPr>
  </w:style>
  <w:style w:type="paragraph" w:styleId="a3">
    <w:name w:val="Balloon Text"/>
    <w:basedOn w:val="a"/>
    <w:link w:val="a4"/>
    <w:uiPriority w:val="99"/>
    <w:semiHidden/>
    <w:unhideWhenUsed/>
    <w:rsid w:val="007E59CD"/>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59CD"/>
    <w:rPr>
      <w:rFonts w:ascii="Segoe UI" w:hAnsi="Segoe UI" w:cs="Segoe UI"/>
      <w:sz w:val="18"/>
      <w:szCs w:val="18"/>
    </w:rPr>
  </w:style>
  <w:style w:type="paragraph" w:styleId="a5">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
    <w:basedOn w:val="a"/>
    <w:link w:val="a6"/>
    <w:uiPriority w:val="99"/>
    <w:qFormat/>
    <w:rsid w:val="00AD5DCD"/>
    <w:pPr>
      <w:spacing w:line="240" w:lineRule="auto"/>
    </w:pPr>
    <w:rPr>
      <w:rFonts w:eastAsia="Times New Roman"/>
      <w:sz w:val="20"/>
      <w:szCs w:val="20"/>
      <w:lang w:eastAsia="ru-RU"/>
    </w:rPr>
  </w:style>
  <w:style w:type="character" w:customStyle="1" w:styleId="a6">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
    <w:basedOn w:val="a0"/>
    <w:link w:val="a5"/>
    <w:uiPriority w:val="99"/>
    <w:qFormat/>
    <w:rsid w:val="00AD5DCD"/>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8F0DC6"/>
    <w:pPr>
      <w:tabs>
        <w:tab w:val="center" w:pos="4677"/>
        <w:tab w:val="right" w:pos="9355"/>
      </w:tabs>
      <w:spacing w:line="240" w:lineRule="auto"/>
    </w:pPr>
  </w:style>
  <w:style w:type="character" w:customStyle="1" w:styleId="a8">
    <w:name w:val="Верхний колонтитул Знак"/>
    <w:basedOn w:val="a0"/>
    <w:link w:val="a7"/>
    <w:uiPriority w:val="99"/>
    <w:rsid w:val="008F0DC6"/>
  </w:style>
  <w:style w:type="paragraph" w:styleId="a9">
    <w:name w:val="footer"/>
    <w:basedOn w:val="a"/>
    <w:link w:val="aa"/>
    <w:uiPriority w:val="99"/>
    <w:unhideWhenUsed/>
    <w:rsid w:val="008F0DC6"/>
    <w:pPr>
      <w:tabs>
        <w:tab w:val="center" w:pos="4677"/>
        <w:tab w:val="right" w:pos="9355"/>
      </w:tabs>
      <w:spacing w:line="240" w:lineRule="auto"/>
    </w:pPr>
  </w:style>
  <w:style w:type="character" w:customStyle="1" w:styleId="aa">
    <w:name w:val="Нижний колонтитул Знак"/>
    <w:basedOn w:val="a0"/>
    <w:link w:val="a9"/>
    <w:uiPriority w:val="99"/>
    <w:rsid w:val="008F0DC6"/>
  </w:style>
  <w:style w:type="table" w:styleId="ab">
    <w:name w:val="Table Grid"/>
    <w:basedOn w:val="a1"/>
    <w:uiPriority w:val="59"/>
    <w:qFormat/>
    <w:rsid w:val="00BF47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B3FE9"/>
    <w:pPr>
      <w:spacing w:after="200" w:line="276" w:lineRule="auto"/>
      <w:ind w:left="720"/>
      <w:contextualSpacing/>
      <w:jc w:val="left"/>
    </w:pPr>
    <w:rPr>
      <w:rFonts w:asciiTheme="minorHAnsi" w:hAnsiTheme="minorHAnsi" w:cstheme="minorBidi"/>
      <w:color w:val="auto"/>
      <w:sz w:val="22"/>
      <w:szCs w:val="22"/>
    </w:rPr>
  </w:style>
  <w:style w:type="character" w:styleId="ad">
    <w:name w:val="Hyperlink"/>
    <w:aliases w:val="tg-1"/>
    <w:uiPriority w:val="99"/>
    <w:unhideWhenUsed/>
    <w:rsid w:val="00405369"/>
    <w:rPr>
      <w:color w:val="0000FF"/>
      <w:u w:val="single"/>
    </w:rPr>
  </w:style>
  <w:style w:type="character" w:styleId="ae">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SUPERS"/>
    <w:basedOn w:val="a0"/>
    <w:link w:val="1"/>
    <w:uiPriority w:val="99"/>
    <w:unhideWhenUsed/>
    <w:qFormat/>
    <w:rsid w:val="000715AD"/>
    <w:rPr>
      <w:vertAlign w:val="superscript"/>
    </w:rPr>
  </w:style>
  <w:style w:type="paragraph" w:customStyle="1" w:styleId="1">
    <w:name w:val="Знак сноски1"/>
    <w:link w:val="ae"/>
    <w:uiPriority w:val="99"/>
    <w:qFormat/>
    <w:rsid w:val="000715AD"/>
    <w:pPr>
      <w:spacing w:line="360" w:lineRule="auto"/>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0">
                <a:solidFill>
                  <a:sysClr val="windowText" lastClr="000000"/>
                </a:solidFill>
                <a:latin typeface="Times New Roman" panose="02020603050405020304" pitchFamily="18" charset="0"/>
                <a:cs typeface="Times New Roman" panose="02020603050405020304" pitchFamily="18" charset="0"/>
              </a:rPr>
              <a:t>единиц</a:t>
            </a:r>
          </a:p>
        </c:rich>
      </c:tx>
      <c:layout>
        <c:manualLayout>
          <c:xMode val="edge"/>
          <c:yMode val="edge"/>
          <c:x val="0.83224300087489067"/>
          <c:y val="2.7777777777777776E-2"/>
        </c:manualLayout>
      </c:layout>
      <c:overlay val="0"/>
      <c:spPr>
        <a:noFill/>
        <a:ln>
          <a:noFill/>
        </a:ln>
        <a:effectLst/>
      </c:spPr>
    </c:title>
    <c:autoTitleDeleted val="0"/>
    <c:plotArea>
      <c:layout/>
      <c:barChart>
        <c:barDir val="col"/>
        <c:grouping val="clustered"/>
        <c:varyColors val="0"/>
        <c:ser>
          <c:idx val="0"/>
          <c:order val="0"/>
          <c:tx>
            <c:strRef>
              <c:f>'число КСР'!$R$3</c:f>
              <c:strCache>
                <c:ptCount val="1"/>
                <c:pt idx="0">
                  <c:v>2018 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'число КСР'!$R$4</c:f>
              <c:numCache>
                <c:formatCode>#,##0</c:formatCode>
                <c:ptCount val="1"/>
                <c:pt idx="0">
                  <c:v>28074</c:v>
                </c:pt>
              </c:numCache>
            </c:numRef>
          </c:val>
          <c:extLst>
            <c:ext xmlns:c16="http://schemas.microsoft.com/office/drawing/2014/chart" uri="{C3380CC4-5D6E-409C-BE32-E72D297353CC}">
              <c16:uniqueId val="{00000000-DC26-4FC3-812A-5E9E64520B4A}"/>
            </c:ext>
          </c:extLst>
        </c:ser>
        <c:ser>
          <c:idx val="1"/>
          <c:order val="1"/>
          <c:tx>
            <c:strRef>
              <c:f>'число КСР'!$S$3</c:f>
              <c:strCache>
                <c:ptCount val="1"/>
              </c:strCache>
            </c:strRef>
          </c:tx>
          <c:spPr>
            <a:solidFill>
              <a:schemeClr val="accent4"/>
            </a:solidFill>
            <a:ln>
              <a:noFill/>
            </a:ln>
            <a:effectLst/>
          </c:spPr>
          <c:invertIfNegative val="0"/>
          <c:val>
            <c:numRef>
              <c:f>'число КСР'!$S$4</c:f>
            </c:numRef>
          </c:val>
          <c:extLst>
            <c:ext xmlns:c16="http://schemas.microsoft.com/office/drawing/2014/chart" uri="{C3380CC4-5D6E-409C-BE32-E72D297353CC}">
              <c16:uniqueId val="{00000001-DC26-4FC3-812A-5E9E64520B4A}"/>
            </c:ext>
          </c:extLst>
        </c:ser>
        <c:ser>
          <c:idx val="2"/>
          <c:order val="2"/>
          <c:tx>
            <c:strRef>
              <c:f>'число КСР'!$T$3</c:f>
              <c:strCache>
                <c:ptCount val="1"/>
                <c:pt idx="0">
                  <c:v>2019 г.</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'число КСР'!$T$4</c:f>
              <c:numCache>
                <c:formatCode>#,##0</c:formatCode>
                <c:ptCount val="1"/>
                <c:pt idx="0">
                  <c:v>28302</c:v>
                </c:pt>
              </c:numCache>
            </c:numRef>
          </c:val>
          <c:extLst>
            <c:ext xmlns:c16="http://schemas.microsoft.com/office/drawing/2014/chart" uri="{C3380CC4-5D6E-409C-BE32-E72D297353CC}">
              <c16:uniqueId val="{00000002-DC26-4FC3-812A-5E9E64520B4A}"/>
            </c:ext>
          </c:extLst>
        </c:ser>
        <c:ser>
          <c:idx val="3"/>
          <c:order val="3"/>
          <c:tx>
            <c:strRef>
              <c:f>'число КСР'!$U$3</c:f>
              <c:strCache>
                <c:ptCount val="1"/>
              </c:strCache>
            </c:strRef>
          </c:tx>
          <c:spPr>
            <a:solidFill>
              <a:schemeClr val="accent2">
                <a:lumMod val="60000"/>
              </a:schemeClr>
            </a:solidFill>
            <a:ln>
              <a:noFill/>
            </a:ln>
            <a:effectLst/>
          </c:spPr>
          <c:invertIfNegative val="0"/>
          <c:val>
            <c:numRef>
              <c:f>'число КСР'!$U$4</c:f>
            </c:numRef>
          </c:val>
          <c:extLst>
            <c:ext xmlns:c16="http://schemas.microsoft.com/office/drawing/2014/chart" uri="{C3380CC4-5D6E-409C-BE32-E72D297353CC}">
              <c16:uniqueId val="{00000003-DC26-4FC3-812A-5E9E64520B4A}"/>
            </c:ext>
          </c:extLst>
        </c:ser>
        <c:ser>
          <c:idx val="4"/>
          <c:order val="4"/>
          <c:tx>
            <c:strRef>
              <c:f>'число КСР'!$V$3</c:f>
              <c:strCache>
                <c:ptCount val="1"/>
                <c:pt idx="0">
                  <c:v>2020 г.</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'число КСР'!$V$4</c:f>
              <c:numCache>
                <c:formatCode>#,##0</c:formatCode>
                <c:ptCount val="1"/>
                <c:pt idx="0">
                  <c:v>27328</c:v>
                </c:pt>
              </c:numCache>
            </c:numRef>
          </c:val>
          <c:extLst>
            <c:ext xmlns:c16="http://schemas.microsoft.com/office/drawing/2014/chart" uri="{C3380CC4-5D6E-409C-BE32-E72D297353CC}">
              <c16:uniqueId val="{00000004-DC26-4FC3-812A-5E9E64520B4A}"/>
            </c:ext>
          </c:extLst>
        </c:ser>
        <c:ser>
          <c:idx val="5"/>
          <c:order val="5"/>
          <c:tx>
            <c:strRef>
              <c:f>'число КСР'!$W$3</c:f>
              <c:strCache>
                <c:ptCount val="1"/>
              </c:strCache>
            </c:strRef>
          </c:tx>
          <c:spPr>
            <a:solidFill>
              <a:schemeClr val="accent6">
                <a:lumMod val="60000"/>
              </a:schemeClr>
            </a:solidFill>
            <a:ln>
              <a:noFill/>
            </a:ln>
            <a:effectLst/>
          </c:spPr>
          <c:invertIfNegative val="0"/>
          <c:val>
            <c:numRef>
              <c:f>'число КСР'!$W$4</c:f>
            </c:numRef>
          </c:val>
          <c:extLst>
            <c:ext xmlns:c16="http://schemas.microsoft.com/office/drawing/2014/chart" uri="{C3380CC4-5D6E-409C-BE32-E72D297353CC}">
              <c16:uniqueId val="{00000005-DC26-4FC3-812A-5E9E64520B4A}"/>
            </c:ext>
          </c:extLst>
        </c:ser>
        <c:ser>
          <c:idx val="6"/>
          <c:order val="6"/>
          <c:tx>
            <c:strRef>
              <c:f>'число КСР'!$X$3</c:f>
              <c:strCache>
                <c:ptCount val="1"/>
                <c:pt idx="0">
                  <c:v>2021 г.</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'число КСР'!$X$4</c:f>
              <c:numCache>
                <c:formatCode>#,##0</c:formatCode>
                <c:ptCount val="1"/>
                <c:pt idx="0">
                  <c:v>28979</c:v>
                </c:pt>
              </c:numCache>
            </c:numRef>
          </c:val>
          <c:extLst>
            <c:ext xmlns:c16="http://schemas.microsoft.com/office/drawing/2014/chart" uri="{C3380CC4-5D6E-409C-BE32-E72D297353CC}">
              <c16:uniqueId val="{00000006-DC26-4FC3-812A-5E9E64520B4A}"/>
            </c:ext>
          </c:extLst>
        </c:ser>
        <c:ser>
          <c:idx val="7"/>
          <c:order val="7"/>
          <c:tx>
            <c:strRef>
              <c:f>'число КСР'!$Y$3</c:f>
              <c:strCache>
                <c:ptCount val="1"/>
              </c:strCache>
            </c:strRef>
          </c:tx>
          <c:spPr>
            <a:solidFill>
              <a:schemeClr val="accent4">
                <a:lumMod val="80000"/>
                <a:lumOff val="20000"/>
              </a:schemeClr>
            </a:solidFill>
            <a:ln>
              <a:noFill/>
            </a:ln>
            <a:effectLst/>
          </c:spPr>
          <c:invertIfNegative val="0"/>
          <c:val>
            <c:numRef>
              <c:f>'число КСР'!$Y$4</c:f>
            </c:numRef>
          </c:val>
          <c:extLst>
            <c:ext xmlns:c16="http://schemas.microsoft.com/office/drawing/2014/chart" uri="{C3380CC4-5D6E-409C-BE32-E72D297353CC}">
              <c16:uniqueId val="{00000007-DC26-4FC3-812A-5E9E64520B4A}"/>
            </c:ext>
          </c:extLst>
        </c:ser>
        <c:ser>
          <c:idx val="8"/>
          <c:order val="8"/>
          <c:tx>
            <c:strRef>
              <c:f>'число КСР'!$Z$3</c:f>
              <c:strCache>
                <c:ptCount val="1"/>
                <c:pt idx="0">
                  <c:v>2022 г.</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'число КСР'!$Z$4</c:f>
              <c:numCache>
                <c:formatCode>#,##0</c:formatCode>
                <c:ptCount val="1"/>
                <c:pt idx="0">
                  <c:v>29547</c:v>
                </c:pt>
              </c:numCache>
            </c:numRef>
          </c:val>
          <c:extLst>
            <c:ext xmlns:c16="http://schemas.microsoft.com/office/drawing/2014/chart" uri="{C3380CC4-5D6E-409C-BE32-E72D297353CC}">
              <c16:uniqueId val="{00000008-DC26-4FC3-812A-5E9E64520B4A}"/>
            </c:ext>
          </c:extLst>
        </c:ser>
        <c:dLbls>
          <c:showLegendKey val="0"/>
          <c:showVal val="0"/>
          <c:showCatName val="0"/>
          <c:showSerName val="0"/>
          <c:showPercent val="0"/>
          <c:showBubbleSize val="0"/>
        </c:dLbls>
        <c:gapWidth val="219"/>
        <c:overlap val="-27"/>
        <c:axId val="188817920"/>
        <c:axId val="166782080"/>
      </c:barChart>
      <c:catAx>
        <c:axId val="188817920"/>
        <c:scaling>
          <c:orientation val="minMax"/>
        </c:scaling>
        <c:delete val="1"/>
        <c:axPos val="b"/>
        <c:numFmt formatCode="General" sourceLinked="1"/>
        <c:majorTickMark val="none"/>
        <c:minorTickMark val="none"/>
        <c:tickLblPos val="nextTo"/>
        <c:crossAx val="166782080"/>
        <c:crosses val="autoZero"/>
        <c:auto val="1"/>
        <c:lblAlgn val="ctr"/>
        <c:lblOffset val="100"/>
        <c:noMultiLvlLbl val="0"/>
      </c:catAx>
      <c:valAx>
        <c:axId val="166782080"/>
        <c:scaling>
          <c:orientation val="minMax"/>
        </c:scaling>
        <c:delete val="1"/>
        <c:axPos val="l"/>
        <c:numFmt formatCode="#,##0" sourceLinked="1"/>
        <c:majorTickMark val="none"/>
        <c:minorTickMark val="none"/>
        <c:tickLblPos val="nextTo"/>
        <c:crossAx val="1888179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4"/>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350832780619359E-2"/>
          <c:y val="0.15733622572072453"/>
          <c:w val="0.83747023849478452"/>
          <c:h val="0.4646153846153846"/>
        </c:manualLayout>
      </c:layout>
      <c:barChart>
        <c:barDir val="col"/>
        <c:grouping val="clustered"/>
        <c:varyColors val="0"/>
        <c:ser>
          <c:idx val="0"/>
          <c:order val="0"/>
          <c:tx>
            <c:strRef>
              <c:f>'Доля броней'!$A$43</c:f>
              <c:strCache>
                <c:ptCount val="1"/>
                <c:pt idx="0">
                  <c:v>доля бронирований по категориям,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броней'!$A$35:$A$41</c:f>
              <c:strCache>
                <c:ptCount val="7"/>
                <c:pt idx="0">
                  <c:v>3*</c:v>
                </c:pt>
                <c:pt idx="1">
                  <c:v>4*</c:v>
                </c:pt>
                <c:pt idx="2">
                  <c:v>Категория "без звезд"</c:v>
                </c:pt>
                <c:pt idx="3">
                  <c:v>1* и 2*</c:v>
                </c:pt>
                <c:pt idx="4">
                  <c:v>5*</c:v>
                </c:pt>
                <c:pt idx="5">
                  <c:v>Апартаменты</c:v>
                </c:pt>
                <c:pt idx="6">
                  <c:v>Посуточная аренда</c:v>
                </c:pt>
              </c:strCache>
            </c:strRef>
          </c:cat>
          <c:val>
            <c:numRef>
              <c:f>'Доля броней'!$B$35:$B$41</c:f>
              <c:numCache>
                <c:formatCode>0%</c:formatCode>
                <c:ptCount val="7"/>
                <c:pt idx="0">
                  <c:v>0.36</c:v>
                </c:pt>
                <c:pt idx="1">
                  <c:v>0.34</c:v>
                </c:pt>
                <c:pt idx="2">
                  <c:v>0.17</c:v>
                </c:pt>
                <c:pt idx="3">
                  <c:v>0.05</c:v>
                </c:pt>
                <c:pt idx="4">
                  <c:v>0.05</c:v>
                </c:pt>
                <c:pt idx="5">
                  <c:v>0.01</c:v>
                </c:pt>
                <c:pt idx="6">
                  <c:v>0.01</c:v>
                </c:pt>
              </c:numCache>
            </c:numRef>
          </c:val>
          <c:extLst>
            <c:ext xmlns:c16="http://schemas.microsoft.com/office/drawing/2014/chart" uri="{C3380CC4-5D6E-409C-BE32-E72D297353CC}">
              <c16:uniqueId val="{00000000-5F47-484C-BE99-AAF5B0028517}"/>
            </c:ext>
          </c:extLst>
        </c:ser>
        <c:dLbls>
          <c:showLegendKey val="0"/>
          <c:showVal val="0"/>
          <c:showCatName val="0"/>
          <c:showSerName val="0"/>
          <c:showPercent val="0"/>
          <c:showBubbleSize val="0"/>
        </c:dLbls>
        <c:gapWidth val="219"/>
        <c:overlap val="-27"/>
        <c:axId val="192160768"/>
        <c:axId val="213868544"/>
      </c:barChart>
      <c:lineChart>
        <c:grouping val="standard"/>
        <c:varyColors val="0"/>
        <c:ser>
          <c:idx val="1"/>
          <c:order val="1"/>
          <c:tx>
            <c:strRef>
              <c:f>'Доля броней'!$A$44</c:f>
              <c:strCache>
                <c:ptCount val="1"/>
                <c:pt idx="0">
                  <c:v>средняя стоимость номера в категории, рублей</c:v>
                </c:pt>
              </c:strCache>
            </c:strRef>
          </c:tx>
          <c:spPr>
            <a:ln w="28575" cap="rnd">
              <a:solidFill>
                <a:schemeClr val="accent2"/>
              </a:solidFill>
              <a:round/>
            </a:ln>
            <a:effectLst/>
          </c:spPr>
          <c:marker>
            <c:symbol val="circle"/>
            <c:size val="8"/>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'Доля броней'!$A$35:$A$41</c:f>
              <c:strCache>
                <c:ptCount val="7"/>
                <c:pt idx="0">
                  <c:v>3*</c:v>
                </c:pt>
                <c:pt idx="1">
                  <c:v>4*</c:v>
                </c:pt>
                <c:pt idx="2">
                  <c:v>Категория "без звезд"</c:v>
                </c:pt>
                <c:pt idx="3">
                  <c:v>1* и 2*</c:v>
                </c:pt>
                <c:pt idx="4">
                  <c:v>5*</c:v>
                </c:pt>
                <c:pt idx="5">
                  <c:v>Апартаменты</c:v>
                </c:pt>
                <c:pt idx="6">
                  <c:v>Посуточная аренда</c:v>
                </c:pt>
              </c:strCache>
            </c:strRef>
          </c:cat>
          <c:val>
            <c:numRef>
              <c:f>'Доля броней'!$C$35:$C$41</c:f>
              <c:numCache>
                <c:formatCode>#,##0</c:formatCode>
                <c:ptCount val="7"/>
                <c:pt idx="0">
                  <c:v>4636.6824642263809</c:v>
                </c:pt>
                <c:pt idx="1">
                  <c:v>6772.7220633488696</c:v>
                </c:pt>
                <c:pt idx="2">
                  <c:v>4192.7078727470498</c:v>
                </c:pt>
                <c:pt idx="3">
                  <c:v>3892.2843440542165</c:v>
                </c:pt>
                <c:pt idx="4">
                  <c:v>10134.935956092411</c:v>
                </c:pt>
                <c:pt idx="5">
                  <c:v>4424.7225358298701</c:v>
                </c:pt>
                <c:pt idx="6">
                  <c:v>3219.0618556265035</c:v>
                </c:pt>
              </c:numCache>
            </c:numRef>
          </c:val>
          <c:smooth val="0"/>
          <c:extLst>
            <c:ext xmlns:c16="http://schemas.microsoft.com/office/drawing/2014/chart" uri="{C3380CC4-5D6E-409C-BE32-E72D297353CC}">
              <c16:uniqueId val="{00000001-5F47-484C-BE99-AAF5B0028517}"/>
            </c:ext>
          </c:extLst>
        </c:ser>
        <c:dLbls>
          <c:showLegendKey val="0"/>
          <c:showVal val="0"/>
          <c:showCatName val="0"/>
          <c:showSerName val="0"/>
          <c:showPercent val="0"/>
          <c:showBubbleSize val="0"/>
        </c:dLbls>
        <c:marker val="1"/>
        <c:smooth val="0"/>
        <c:axId val="192162304"/>
        <c:axId val="166784384"/>
      </c:lineChart>
      <c:catAx>
        <c:axId val="19216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3868544"/>
        <c:crosses val="autoZero"/>
        <c:auto val="1"/>
        <c:lblAlgn val="ctr"/>
        <c:lblOffset val="100"/>
        <c:noMultiLvlLbl val="0"/>
      </c:catAx>
      <c:valAx>
        <c:axId val="21386854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2160768"/>
        <c:crosses val="autoZero"/>
        <c:crossBetween val="between"/>
      </c:valAx>
      <c:valAx>
        <c:axId val="166784384"/>
        <c:scaling>
          <c:orientation val="minMax"/>
          <c:min val="300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2162304"/>
        <c:crosses val="max"/>
        <c:crossBetween val="between"/>
      </c:valAx>
      <c:catAx>
        <c:axId val="192162304"/>
        <c:scaling>
          <c:orientation val="minMax"/>
        </c:scaling>
        <c:delete val="1"/>
        <c:axPos val="b"/>
        <c:numFmt formatCode="General" sourceLinked="1"/>
        <c:majorTickMark val="out"/>
        <c:minorTickMark val="none"/>
        <c:tickLblPos val="nextTo"/>
        <c:crossAx val="16678438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5255972696245724E-2"/>
          <c:y val="0.82234951400305734"/>
          <c:w val="0.96077269751570893"/>
          <c:h val="0.17765052095760758"/>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185689576082516E-2"/>
          <c:y val="1.3645836076510503E-2"/>
          <c:w val="0.96046696995585334"/>
          <c:h val="0.36519017898682399"/>
        </c:manualLayout>
      </c:layout>
      <c:barChart>
        <c:barDir val="col"/>
        <c:grouping val="clustered"/>
        <c:varyColors val="0"/>
        <c:ser>
          <c:idx val="0"/>
          <c:order val="0"/>
          <c:spPr>
            <a:solidFill>
              <a:schemeClr val="accent1"/>
            </a:solidFill>
            <a:ln>
              <a:noFill/>
            </a:ln>
            <a:effectLst/>
          </c:spPr>
          <c:invertIfNegative val="0"/>
          <c:cat>
            <c:multiLvlStrRef>
              <c:f>Лист4!$E$2:$F$6</c:f>
              <c:multiLvlStrCache>
                <c:ptCount val="5"/>
                <c:lvl>
                  <c:pt idx="0">
                    <c:v>14 субъектов</c:v>
                  </c:pt>
                  <c:pt idx="1">
                    <c:v>17 субъектов</c:v>
                  </c:pt>
                  <c:pt idx="2">
                    <c:v>14 субъектов</c:v>
                  </c:pt>
                  <c:pt idx="3">
                    <c:v>6 субъектов</c:v>
                  </c:pt>
                  <c:pt idx="4">
                    <c:v>1 субъект</c:v>
                  </c:pt>
                </c:lvl>
                <c:lvl>
                  <c:pt idx="0">
                    <c:v>прирост от 0 до 10 тыс. чел.
НАО
Архангельская область
Архангельская область
Республика Калмыкия
ЯНАО
Смоленская область
Республика Тыва
Омская область
Республика Ингушетия
Республика Марий Эл
Орловская область
Курганская область
Тамбовская область
Самарс</c:v>
                  </c:pt>
                  <c:pt idx="1">
                    <c:v>прирост от 10 до 30 тыс. чел.
Ивановская область
Тульская область
Тюменская область
Республика Адыгея
Чувашская Республика
Псковская область
Мурманская область
Кабардино-Балкарская Республика
Новгородская область
Костромская область
Кировская область
Удму</c:v>
                  </c:pt>
                  <c:pt idx="2">
                    <c:v>прирост от 30 до 50 тыс. чел.
 Алтайский край
Волгоградская область
Воронежская область
Республика Башкортостан
КЧР
Калининградская область
Рязанская область
Республика Карелия
Республика Алтай
Ленинградская область
Тверская область
Республика Северная Ос</c:v>
                  </c:pt>
                  <c:pt idx="3">
                    <c:v>прирост от 50 до 100 тыс. чел.
Ростовская область
Нижегородская область
Новосибирская область
Красноярский край
Челябинская область
Республика Татарстан
</c:v>
                  </c:pt>
                  <c:pt idx="4">
                    <c:v>прирост более 100 тыс. чел. 
Краснодарский край</c:v>
                  </c:pt>
                </c:lvl>
              </c:multiLvlStrCache>
            </c:multiLvlStrRef>
          </c:cat>
          <c:val>
            <c:numRef>
              <c:f>Лист4!$G$2:$G$6</c:f>
              <c:numCache>
                <c:formatCode>#,##0.0</c:formatCode>
                <c:ptCount val="5"/>
                <c:pt idx="0">
                  <c:v>71.472999999999971</c:v>
                </c:pt>
                <c:pt idx="1">
                  <c:v>282.54433333333327</c:v>
                </c:pt>
                <c:pt idx="2">
                  <c:v>557.34633333333318</c:v>
                </c:pt>
                <c:pt idx="3">
                  <c:v>422.10300000000012</c:v>
                </c:pt>
                <c:pt idx="4">
                  <c:v>469.32899999999972</c:v>
                </c:pt>
              </c:numCache>
            </c:numRef>
          </c:val>
          <c:extLst>
            <c:ext xmlns:c16="http://schemas.microsoft.com/office/drawing/2014/chart" uri="{C3380CC4-5D6E-409C-BE32-E72D297353CC}">
              <c16:uniqueId val="{00000000-12F0-4DD5-9EEF-3B1857DCFA20}"/>
            </c:ext>
          </c:extLst>
        </c:ser>
        <c:dLbls>
          <c:showLegendKey val="0"/>
          <c:showVal val="0"/>
          <c:showCatName val="0"/>
          <c:showSerName val="0"/>
          <c:showPercent val="0"/>
          <c:showBubbleSize val="0"/>
        </c:dLbls>
        <c:gapWidth val="219"/>
        <c:overlap val="-27"/>
        <c:axId val="192159744"/>
        <c:axId val="166785536"/>
      </c:barChart>
      <c:catAx>
        <c:axId val="19215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ru-RU"/>
          </a:p>
        </c:txPr>
        <c:crossAx val="166785536"/>
        <c:crosses val="autoZero"/>
        <c:auto val="1"/>
        <c:lblAlgn val="ctr"/>
        <c:lblOffset val="100"/>
        <c:noMultiLvlLbl val="0"/>
      </c:catAx>
      <c:valAx>
        <c:axId val="166785536"/>
        <c:scaling>
          <c:orientation val="minMax"/>
        </c:scaling>
        <c:delete val="1"/>
        <c:axPos val="l"/>
        <c:numFmt formatCode="#,##0.0" sourceLinked="1"/>
        <c:majorTickMark val="none"/>
        <c:minorTickMark val="none"/>
        <c:tickLblPos val="nextTo"/>
        <c:crossAx val="192159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403018372703412"/>
          <c:y val="6.1111111111111123E-2"/>
          <c:w val="0.47096981627296586"/>
          <c:h val="0.8879629629629631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Лист1!$A$10:$A$16</c:f>
              <c:strCache>
                <c:ptCount val="7"/>
                <c:pt idx="0">
                  <c:v>Краснодарский край</c:v>
                </c:pt>
                <c:pt idx="1">
                  <c:v>Москва и МО</c:v>
                </c:pt>
                <c:pt idx="2">
                  <c:v>Санкт-Петербург и Ленинградская область</c:v>
                </c:pt>
                <c:pt idx="3">
                  <c:v>Крым и Севастополь</c:v>
                </c:pt>
                <c:pt idx="4">
                  <c:v>Калининград</c:v>
                </c:pt>
                <c:pt idx="5">
                  <c:v>Республика Татарстан</c:v>
                </c:pt>
                <c:pt idx="6">
                  <c:v>Самарская область </c:v>
                </c:pt>
              </c:strCache>
            </c:strRef>
          </c:cat>
          <c:val>
            <c:numRef>
              <c:f>Лист1!$B$10:$B$16</c:f>
              <c:numCache>
                <c:formatCode>0%</c:formatCode>
                <c:ptCount val="7"/>
                <c:pt idx="0">
                  <c:v>0.14000000000000001</c:v>
                </c:pt>
                <c:pt idx="1">
                  <c:v>0.14000000000000001</c:v>
                </c:pt>
                <c:pt idx="2">
                  <c:v>0.09</c:v>
                </c:pt>
                <c:pt idx="3">
                  <c:v>0.05</c:v>
                </c:pt>
                <c:pt idx="4">
                  <c:v>0.03</c:v>
                </c:pt>
                <c:pt idx="5">
                  <c:v>0.03</c:v>
                </c:pt>
                <c:pt idx="6">
                  <c:v>0.02</c:v>
                </c:pt>
              </c:numCache>
            </c:numRef>
          </c:val>
          <c:extLst>
            <c:ext xmlns:c16="http://schemas.microsoft.com/office/drawing/2014/chart" uri="{C3380CC4-5D6E-409C-BE32-E72D297353CC}">
              <c16:uniqueId val="{00000000-EABF-4A40-9257-DA6959765B8C}"/>
            </c:ext>
          </c:extLst>
        </c:ser>
        <c:dLbls>
          <c:showLegendKey val="0"/>
          <c:showVal val="0"/>
          <c:showCatName val="0"/>
          <c:showSerName val="0"/>
          <c:showPercent val="0"/>
          <c:showBubbleSize val="0"/>
        </c:dLbls>
        <c:gapWidth val="182"/>
        <c:axId val="193389056"/>
        <c:axId val="166787840"/>
      </c:barChart>
      <c:catAx>
        <c:axId val="193389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787840"/>
        <c:crosses val="autoZero"/>
        <c:auto val="1"/>
        <c:lblAlgn val="ctr"/>
        <c:lblOffset val="100"/>
        <c:noMultiLvlLbl val="0"/>
      </c:catAx>
      <c:valAx>
        <c:axId val="166787840"/>
        <c:scaling>
          <c:orientation val="minMax"/>
        </c:scaling>
        <c:delete val="1"/>
        <c:axPos val="b"/>
        <c:numFmt formatCode="0%" sourceLinked="1"/>
        <c:majorTickMark val="none"/>
        <c:minorTickMark val="none"/>
        <c:tickLblPos val="nextTo"/>
        <c:crossAx val="193389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Лист1!$A$2</c:f>
              <c:strCache>
                <c:ptCount val="1"/>
                <c:pt idx="0">
                  <c:v>до 2-х недель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Краткосрочная аренда</c:v>
                </c:pt>
                <c:pt idx="1">
                  <c:v>Гостиница</c:v>
                </c:pt>
              </c:strCache>
            </c:strRef>
          </c:cat>
          <c:val>
            <c:numRef>
              <c:f>Лист1!$B$2:$C$2</c:f>
              <c:numCache>
                <c:formatCode>0%</c:formatCode>
                <c:ptCount val="2"/>
                <c:pt idx="0">
                  <c:v>0.77</c:v>
                </c:pt>
                <c:pt idx="1">
                  <c:v>0.61</c:v>
                </c:pt>
              </c:numCache>
            </c:numRef>
          </c:val>
          <c:extLst>
            <c:ext xmlns:c16="http://schemas.microsoft.com/office/drawing/2014/chart" uri="{C3380CC4-5D6E-409C-BE32-E72D297353CC}">
              <c16:uniqueId val="{00000000-CFC4-4078-9FA9-EA91374198F0}"/>
            </c:ext>
          </c:extLst>
        </c:ser>
        <c:ser>
          <c:idx val="1"/>
          <c:order val="1"/>
          <c:tx>
            <c:strRef>
              <c:f>Лист1!$A$3</c:f>
              <c:strCache>
                <c:ptCount val="1"/>
                <c:pt idx="0">
                  <c:v>2-4 недели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Краткосрочная аренда</c:v>
                </c:pt>
                <c:pt idx="1">
                  <c:v>Гостиница</c:v>
                </c:pt>
              </c:strCache>
            </c:strRef>
          </c:cat>
          <c:val>
            <c:numRef>
              <c:f>Лист1!$B$3:$C$3</c:f>
              <c:numCache>
                <c:formatCode>0%</c:formatCode>
                <c:ptCount val="2"/>
                <c:pt idx="0">
                  <c:v>0.16</c:v>
                </c:pt>
                <c:pt idx="1">
                  <c:v>0.27</c:v>
                </c:pt>
              </c:numCache>
            </c:numRef>
          </c:val>
          <c:extLst>
            <c:ext xmlns:c16="http://schemas.microsoft.com/office/drawing/2014/chart" uri="{C3380CC4-5D6E-409C-BE32-E72D297353CC}">
              <c16:uniqueId val="{00000001-CFC4-4078-9FA9-EA91374198F0}"/>
            </c:ext>
          </c:extLst>
        </c:ser>
        <c:ser>
          <c:idx val="2"/>
          <c:order val="2"/>
          <c:tx>
            <c:strRef>
              <c:f>Лист1!$A$4</c:f>
              <c:strCache>
                <c:ptCount val="1"/>
                <c:pt idx="0">
                  <c:v>от 4 и более недель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Лист1!$B$1:$C$1</c:f>
              <c:strCache>
                <c:ptCount val="2"/>
                <c:pt idx="0">
                  <c:v>Краткосрочная аренда</c:v>
                </c:pt>
                <c:pt idx="1">
                  <c:v>Гостиница</c:v>
                </c:pt>
              </c:strCache>
            </c:strRef>
          </c:cat>
          <c:val>
            <c:numRef>
              <c:f>Лист1!$B$4:$C$4</c:f>
              <c:numCache>
                <c:formatCode>0%</c:formatCode>
                <c:ptCount val="2"/>
                <c:pt idx="0">
                  <c:v>7.0000000000000007E-2</c:v>
                </c:pt>
                <c:pt idx="1">
                  <c:v>0.13</c:v>
                </c:pt>
              </c:numCache>
            </c:numRef>
          </c:val>
          <c:extLst>
            <c:ext xmlns:c16="http://schemas.microsoft.com/office/drawing/2014/chart" uri="{C3380CC4-5D6E-409C-BE32-E72D297353CC}">
              <c16:uniqueId val="{00000002-CFC4-4078-9FA9-EA91374198F0}"/>
            </c:ext>
          </c:extLst>
        </c:ser>
        <c:dLbls>
          <c:showLegendKey val="0"/>
          <c:showVal val="0"/>
          <c:showCatName val="0"/>
          <c:showSerName val="0"/>
          <c:showPercent val="0"/>
          <c:showBubbleSize val="0"/>
        </c:dLbls>
        <c:gapWidth val="219"/>
        <c:overlap val="-27"/>
        <c:axId val="188279808"/>
        <c:axId val="166788416"/>
      </c:barChart>
      <c:catAx>
        <c:axId val="18827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788416"/>
        <c:crosses val="autoZero"/>
        <c:auto val="1"/>
        <c:lblAlgn val="ctr"/>
        <c:lblOffset val="100"/>
        <c:noMultiLvlLbl val="0"/>
      </c:catAx>
      <c:valAx>
        <c:axId val="166788416"/>
        <c:scaling>
          <c:orientation val="minMax"/>
        </c:scaling>
        <c:delete val="1"/>
        <c:axPos val="l"/>
        <c:numFmt formatCode="0%" sourceLinked="1"/>
        <c:majorTickMark val="none"/>
        <c:minorTickMark val="none"/>
        <c:tickLblPos val="nextTo"/>
        <c:crossAx val="18827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TotalTime>
  <Pages>4</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Белякова Елена Анатольевна</dc:creator>
  <cp:lastModifiedBy>Вишневская Владислава Юрьевна</cp:lastModifiedBy>
  <cp:revision>10</cp:revision>
  <cp:lastPrinted>2023-04-28T14:41:00Z</cp:lastPrinted>
  <dcterms:created xsi:type="dcterms:W3CDTF">2024-04-08T13:10:00Z</dcterms:created>
  <dcterms:modified xsi:type="dcterms:W3CDTF">2024-07-04T09:17:00Z</dcterms:modified>
</cp:coreProperties>
</file>