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41" w:type="dxa"/>
        <w:jc w:val="center"/>
        <w:tblLook w:val="04A0" w:firstRow="1" w:lastRow="0" w:firstColumn="1" w:lastColumn="0" w:noHBand="0" w:noVBand="1"/>
      </w:tblPr>
      <w:tblGrid>
        <w:gridCol w:w="11554"/>
        <w:gridCol w:w="4687"/>
      </w:tblGrid>
      <w:tr w:rsidR="00F56FB4" w:rsidRPr="00B94E4E" w:rsidTr="00DF7EEA">
        <w:trPr>
          <w:trHeight w:val="1705"/>
          <w:jc w:val="center"/>
        </w:trPr>
        <w:tc>
          <w:tcPr>
            <w:tcW w:w="11554" w:type="dxa"/>
            <w:shd w:val="clear" w:color="auto" w:fill="auto"/>
          </w:tcPr>
          <w:p w:rsidR="00F56FB4" w:rsidRPr="00B94E4E" w:rsidRDefault="00F56FB4" w:rsidP="00D253AE">
            <w:pPr>
              <w:jc w:val="center"/>
              <w:rPr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4687" w:type="dxa"/>
            <w:shd w:val="clear" w:color="auto" w:fill="auto"/>
          </w:tcPr>
          <w:p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086A9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  <w:p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>к отчету о результатах</w:t>
            </w:r>
          </w:p>
          <w:p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>контрольного мероприятия</w:t>
            </w:r>
          </w:p>
          <w:p w:rsidR="00F56FB4" w:rsidRPr="00F56FB4" w:rsidRDefault="00F56FB4" w:rsidP="0092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7D6C41">
              <w:rPr>
                <w:rFonts w:ascii="Times New Roman" w:hAnsi="Times New Roman" w:cs="Times New Roman"/>
                <w:sz w:val="28"/>
                <w:szCs w:val="24"/>
              </w:rPr>
              <w:t>1 октября</w:t>
            </w: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 202</w:t>
            </w:r>
            <w:r w:rsidR="00AF0B8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F56FB4" w:rsidRPr="00B94E4E" w:rsidRDefault="00F56FB4" w:rsidP="00AF0B84">
            <w:pPr>
              <w:spacing w:after="0" w:line="240" w:lineRule="auto"/>
              <w:contextualSpacing/>
              <w:jc w:val="center"/>
              <w:rPr>
                <w:sz w:val="28"/>
                <w:szCs w:val="24"/>
              </w:rPr>
            </w:pPr>
            <w:r w:rsidRPr="00F56FB4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7D6C41" w:rsidRPr="007D6C41">
              <w:rPr>
                <w:rFonts w:ascii="Times New Roman" w:hAnsi="Times New Roman" w:cs="Times New Roman"/>
                <w:sz w:val="28"/>
                <w:szCs w:val="24"/>
              </w:rPr>
              <w:t>ОМ-61/12-03</w:t>
            </w:r>
          </w:p>
        </w:tc>
      </w:tr>
    </w:tbl>
    <w:p w:rsidR="001B0D95" w:rsidRDefault="001B0D95" w:rsidP="008F5213">
      <w:pPr>
        <w:overflowPunct w:val="0"/>
        <w:autoSpaceDE w:val="0"/>
        <w:autoSpaceDN w:val="0"/>
        <w:adjustRightInd w:val="0"/>
        <w:spacing w:after="0" w:line="360" w:lineRule="auto"/>
        <w:ind w:right="-284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AE0" w:rsidRPr="00CF5B1F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874B23" w:rsidRPr="001B0D95" w:rsidRDefault="00146AE0" w:rsidP="00403D2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E0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37FBA" w:rsidRPr="00E067B2">
        <w:rPr>
          <w:rFonts w:ascii="Times New Roman" w:eastAsia="MS Mincho" w:hAnsi="Times New Roman" w:cs="Times New Roman"/>
          <w:sz w:val="28"/>
          <w:szCs w:val="28"/>
        </w:rPr>
        <w:t xml:space="preserve">контрольного мероприятия «Проверка </w:t>
      </w:r>
      <w:r w:rsidR="001B0D95" w:rsidRPr="001B0D95">
        <w:rPr>
          <w:rFonts w:ascii="Times New Roman" w:eastAsia="MS Mincho" w:hAnsi="Times New Roman" w:cs="Times New Roman"/>
          <w:sz w:val="28"/>
          <w:szCs w:val="28"/>
        </w:rPr>
        <w:t>расходования средств бюджета Социального фонда России на</w:t>
      </w:r>
      <w:r w:rsidR="00403D23">
        <w:rPr>
          <w:rFonts w:ascii="Times New Roman" w:eastAsia="MS Mincho" w:hAnsi="Times New Roman" w:cs="Times New Roman"/>
          <w:sz w:val="28"/>
          <w:szCs w:val="28"/>
        </w:rPr>
        <w:t> </w:t>
      </w:r>
      <w:r w:rsidR="001B0D95" w:rsidRPr="001B0D95">
        <w:rPr>
          <w:rFonts w:ascii="Times New Roman" w:eastAsia="MS Mincho" w:hAnsi="Times New Roman" w:cs="Times New Roman"/>
          <w:sz w:val="28"/>
          <w:szCs w:val="28"/>
        </w:rPr>
        <w:t>обеспечение предупредительных мер по сокращению производственного травматизма и профессиональных</w:t>
      </w:r>
      <w:r w:rsidR="00403D23">
        <w:rPr>
          <w:rFonts w:ascii="Times New Roman" w:eastAsia="MS Mincho" w:hAnsi="Times New Roman" w:cs="Times New Roman"/>
          <w:sz w:val="28"/>
          <w:szCs w:val="28"/>
        </w:rPr>
        <w:t> </w:t>
      </w:r>
      <w:r w:rsidR="001B0D95" w:rsidRPr="001B0D95">
        <w:rPr>
          <w:rFonts w:ascii="Times New Roman" w:eastAsia="MS Mincho" w:hAnsi="Times New Roman" w:cs="Times New Roman"/>
          <w:sz w:val="28"/>
          <w:szCs w:val="28"/>
        </w:rPr>
        <w:t>заболеваний в 2022–2023 годах</w:t>
      </w:r>
      <w:r w:rsidR="00537FBA" w:rsidRPr="00E067B2">
        <w:rPr>
          <w:rFonts w:ascii="Times New Roman" w:eastAsia="MS Mincho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5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6662"/>
        <w:gridCol w:w="1701"/>
        <w:gridCol w:w="1843"/>
        <w:gridCol w:w="1984"/>
      </w:tblGrid>
      <w:tr w:rsidR="0077419C" w:rsidRPr="005D65ED" w:rsidTr="0025119D">
        <w:trPr>
          <w:trHeight w:val="476"/>
          <w:tblHeader/>
        </w:trPr>
        <w:tc>
          <w:tcPr>
            <w:tcW w:w="568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92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Получатель (адресат) </w:t>
            </w:r>
            <w:r w:rsidRPr="0077419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701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приоритетности (да/нет)</w:t>
            </w:r>
          </w:p>
        </w:tc>
        <w:tc>
          <w:tcPr>
            <w:tcW w:w="1843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984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77419C" w:rsidRPr="005D65ED" w:rsidTr="0025119D">
        <w:trPr>
          <w:trHeight w:val="60"/>
          <w:tblHeader/>
        </w:trPr>
        <w:tc>
          <w:tcPr>
            <w:tcW w:w="568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77419C" w:rsidRPr="0077419C" w:rsidRDefault="0077419C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7419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6</w:t>
            </w:r>
          </w:p>
        </w:tc>
      </w:tr>
      <w:tr w:rsidR="003548E4" w:rsidRPr="005D65ED" w:rsidTr="003548E4">
        <w:trPr>
          <w:trHeight w:val="885"/>
        </w:trPr>
        <w:tc>
          <w:tcPr>
            <w:tcW w:w="568" w:type="dxa"/>
            <w:vAlign w:val="center"/>
          </w:tcPr>
          <w:p w:rsidR="003548E4" w:rsidRPr="009151DD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2" w:type="dxa"/>
            <w:vAlign w:val="center"/>
          </w:tcPr>
          <w:p w:rsidR="003548E4" w:rsidRPr="005D65ED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Правительство Российской Федерации </w:t>
            </w:r>
          </w:p>
        </w:tc>
        <w:tc>
          <w:tcPr>
            <w:tcW w:w="6662" w:type="dxa"/>
            <w:vAlign w:val="center"/>
          </w:tcPr>
          <w:p w:rsidR="003548E4" w:rsidRPr="00CB373C" w:rsidRDefault="003548E4" w:rsidP="005D4B24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37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поручить Минтруду России совместно с заинтересованными федеральными органами исполнительной власти и Фондом в срок до 1 апреля 2025 года проработать вопросы:</w:t>
            </w:r>
          </w:p>
        </w:tc>
        <w:tc>
          <w:tcPr>
            <w:tcW w:w="1701" w:type="dxa"/>
            <w:vAlign w:val="center"/>
          </w:tcPr>
          <w:p w:rsidR="003548E4" w:rsidRPr="005D65ED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548E4" w:rsidRPr="005D65ED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548E4" w:rsidRPr="005D65ED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5D65ED" w:rsidTr="0025119D">
        <w:trPr>
          <w:trHeight w:val="476"/>
        </w:trPr>
        <w:tc>
          <w:tcPr>
            <w:tcW w:w="568" w:type="dxa"/>
            <w:vAlign w:val="center"/>
          </w:tcPr>
          <w:p w:rsidR="003548E4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:rsidR="003548E4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Правительство Российской Федерации </w:t>
            </w:r>
          </w:p>
        </w:tc>
        <w:tc>
          <w:tcPr>
            <w:tcW w:w="6662" w:type="dxa"/>
            <w:vAlign w:val="center"/>
          </w:tcPr>
          <w:p w:rsidR="003548E4" w:rsidRPr="00AC450F" w:rsidRDefault="005D4B24" w:rsidP="005D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C450F" w:rsidRPr="00AC4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изменений в пункт 2 статьи 6 Федерального закона </w:t>
            </w:r>
            <w:r w:rsidR="004B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C450F" w:rsidRPr="00AC4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части дополнения общей части индивидуального лицевого счета застрахованного лица сведениями о детях застрахованного лица</w:t>
            </w:r>
          </w:p>
        </w:tc>
        <w:tc>
          <w:tcPr>
            <w:tcW w:w="1701" w:type="dxa"/>
            <w:vAlign w:val="center"/>
          </w:tcPr>
          <w:p w:rsidR="003548E4" w:rsidRPr="005D65ED" w:rsidRDefault="00AC450F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3548E4" w:rsidRPr="005D65ED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3548E4" w:rsidRPr="005D65ED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25119D">
        <w:trPr>
          <w:trHeight w:val="476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3548E4" w:rsidRPr="00095645" w:rsidRDefault="00AC450F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перечня рабочих мест государственных гражданских (муниципальных) служащих, подлежащих специальной оценке условий труда, порядка и сроков ее проведения</w:t>
            </w:r>
          </w:p>
        </w:tc>
        <w:tc>
          <w:tcPr>
            <w:tcW w:w="1701" w:type="dxa"/>
            <w:vAlign w:val="center"/>
          </w:tcPr>
          <w:p w:rsidR="003548E4" w:rsidRPr="00095645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7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25119D">
        <w:trPr>
          <w:trHeight w:val="1252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3548E4" w:rsidRPr="00095645" w:rsidRDefault="00AC450F" w:rsidP="004013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включении в Правила формирования,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заболеваний, утвержденные постановлением Правительства Российской Федерации от 24 декабря 2012 г. № 1396, положения, позволяющего при недостаточности бюджетных ассигнований, утвержденных федеральным законом о бюджете Фонда, использовать в течение финансового года на предоставление страхового обеспечения</w:t>
            </w:r>
            <w:r w:rsidRPr="00AC4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4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предупредительные меры, установленные </w:t>
            </w:r>
            <w:r w:rsidR="00401335" w:rsidRPr="0040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</w:t>
            </w:r>
            <w:r w:rsidR="0040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</w:t>
            </w:r>
            <w:r w:rsidR="00401335" w:rsidRPr="0040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</w:t>
            </w:r>
            <w:r w:rsidR="0040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="00401335" w:rsidRPr="0040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24 июля 1998 г. № 125-ФЗ «Об обязательном социальном страховании от несчастных случаев на производстве и профессиональных заболеваний»</w:t>
            </w:r>
            <w:r w:rsidRPr="00AC4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страхового резерва</w:t>
            </w:r>
          </w:p>
        </w:tc>
        <w:tc>
          <w:tcPr>
            <w:tcW w:w="1701" w:type="dxa"/>
            <w:vAlign w:val="center"/>
          </w:tcPr>
          <w:p w:rsidR="003548E4" w:rsidRPr="00095645" w:rsidRDefault="00AC450F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25119D">
        <w:trPr>
          <w:trHeight w:val="70"/>
        </w:trPr>
        <w:tc>
          <w:tcPr>
            <w:tcW w:w="568" w:type="dxa"/>
            <w:vAlign w:val="center"/>
          </w:tcPr>
          <w:p w:rsidR="003548E4" w:rsidRPr="003548E4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092" w:type="dxa"/>
            <w:vAlign w:val="center"/>
          </w:tcPr>
          <w:p w:rsidR="003548E4" w:rsidRPr="003548E4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Правительство Российской Федерации </w:t>
            </w:r>
          </w:p>
        </w:tc>
        <w:tc>
          <w:tcPr>
            <w:tcW w:w="6662" w:type="dxa"/>
            <w:vAlign w:val="center"/>
          </w:tcPr>
          <w:p w:rsidR="00AC450F" w:rsidRPr="00AC450F" w:rsidRDefault="00AC450F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Минфину России совместно с Минтрудом России и Фондом проработать до 31 декабря 2024 года возможность перечисления в федеральный бюджет межбюджетного трансферта из бюджета Фонда в объеме поступивших средств в 2022 году, выделенных из резервного фонда Правительства Российской Феде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 на предупредительные меры</w:t>
            </w:r>
          </w:p>
          <w:p w:rsidR="003548E4" w:rsidRPr="00095645" w:rsidRDefault="003548E4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декабря                        2024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25119D">
        <w:trPr>
          <w:trHeight w:val="70"/>
        </w:trPr>
        <w:tc>
          <w:tcPr>
            <w:tcW w:w="568" w:type="dxa"/>
            <w:vAlign w:val="center"/>
          </w:tcPr>
          <w:p w:rsidR="003548E4" w:rsidRPr="00C664C4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2" w:type="dxa"/>
            <w:vAlign w:val="center"/>
          </w:tcPr>
          <w:p w:rsidR="003548E4" w:rsidRPr="00C664C4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Минтруд России</w:t>
            </w:r>
          </w:p>
        </w:tc>
        <w:tc>
          <w:tcPr>
            <w:tcW w:w="6662" w:type="dxa"/>
            <w:vAlign w:val="center"/>
          </w:tcPr>
          <w:p w:rsidR="003548E4" w:rsidRPr="00095645" w:rsidRDefault="003548E4" w:rsidP="005D4B2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Предлагается:</w:t>
            </w:r>
          </w:p>
          <w:p w:rsidR="003548E4" w:rsidRPr="00095645" w:rsidRDefault="003548E4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9151DD">
        <w:trPr>
          <w:trHeight w:val="280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Минтруд России</w:t>
            </w:r>
          </w:p>
        </w:tc>
        <w:tc>
          <w:tcPr>
            <w:tcW w:w="6662" w:type="dxa"/>
            <w:vAlign w:val="center"/>
          </w:tcPr>
          <w:p w:rsidR="003548E4" w:rsidRPr="00192DFA" w:rsidRDefault="003548E4" w:rsidP="00192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рассмотреть</w:t>
            </w:r>
            <w:r w:rsidR="005E1E21"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вопрос о внесении изменений в </w:t>
            </w:r>
            <w:r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</w:t>
            </w:r>
            <w:r w:rsidR="005E1E21"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е</w:t>
            </w:r>
            <w:r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приказом Минтруда России от 14 июля 2021 г. № 467н</w:t>
            </w:r>
            <w:r w:rsidR="005E1E21"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,</w:t>
            </w:r>
            <w:r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в части урегулирования порядка принятия решений о финансовом обеспечении предупредительных мер в случае выделения в течение финансового </w:t>
            </w:r>
            <w:r w:rsidR="005E1E21"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года дополнительных средств на </w:t>
            </w:r>
            <w:r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финансовое обеспечени</w:t>
            </w:r>
            <w:r w:rsidR="005E1E21"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е</w:t>
            </w:r>
            <w:r w:rsidRPr="00192D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предупредительных мер</w:t>
            </w:r>
            <w:r w:rsidR="00401335" w:rsidRPr="00192DFA">
              <w:rPr>
                <w:rFonts w:ascii="Times New Roman" w:eastAsia="Batang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E9671A">
        <w:trPr>
          <w:trHeight w:val="891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5D4B24">
            <w:pPr>
              <w:spacing w:after="0"/>
              <w:jc w:val="center"/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Минтруд России</w:t>
            </w:r>
          </w:p>
        </w:tc>
        <w:tc>
          <w:tcPr>
            <w:tcW w:w="6662" w:type="dxa"/>
            <w:vAlign w:val="center"/>
          </w:tcPr>
          <w:p w:rsidR="003548E4" w:rsidRPr="00095645" w:rsidRDefault="003548E4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проработать вопрос об установлении предельного размера возмещения расходов на санаторно-курортно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лечение за счет средств Фонда</w:t>
            </w: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E9671A">
        <w:trPr>
          <w:trHeight w:val="352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6551DE">
            <w:pPr>
              <w:spacing w:after="0"/>
              <w:jc w:val="center"/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6662" w:type="dxa"/>
            <w:vAlign w:val="center"/>
          </w:tcPr>
          <w:p w:rsidR="003548E4" w:rsidRPr="00095645" w:rsidRDefault="003548E4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Предлагается:</w:t>
            </w: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DA5" w:rsidRPr="00095645" w:rsidTr="00E9671A">
        <w:trPr>
          <w:trHeight w:val="352"/>
        </w:trPr>
        <w:tc>
          <w:tcPr>
            <w:tcW w:w="568" w:type="dxa"/>
            <w:vAlign w:val="center"/>
          </w:tcPr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92" w:type="dxa"/>
            <w:vAlign w:val="center"/>
          </w:tcPr>
          <w:p w:rsidR="00D53DA5" w:rsidRPr="00095645" w:rsidRDefault="00D53DA5" w:rsidP="006551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6662" w:type="dxa"/>
            <w:vAlign w:val="center"/>
          </w:tcPr>
          <w:p w:rsidR="00D53DA5" w:rsidRPr="00D53DA5" w:rsidRDefault="00D53DA5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осуществить контроль за формированием территориальными органами Фонда прогнозируемого объема бюджетных ассигнований на </w:t>
            </w:r>
            <w:r w:rsidR="00401335" w:rsidRPr="0040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1335" w:rsidRPr="00401335">
              <w:rPr>
                <w:rFonts w:ascii="Times New Roman" w:eastAsia="Batang" w:hAnsi="Times New Roman" w:cs="Times New Roman"/>
                <w:sz w:val="20"/>
                <w:szCs w:val="20"/>
              </w:rPr>
              <w:t>финансовое обеспечение предупредительных мер</w:t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на 2025 год и на плановый период 2026 и 2027 годов</w:t>
            </w:r>
          </w:p>
        </w:tc>
        <w:tc>
          <w:tcPr>
            <w:tcW w:w="1701" w:type="dxa"/>
            <w:vAlign w:val="center"/>
          </w:tcPr>
          <w:p w:rsidR="00D53DA5" w:rsidRPr="0009564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октября </w:t>
            </w:r>
          </w:p>
          <w:p w:rsidR="00D53DA5" w:rsidRPr="0009564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1984" w:type="dxa"/>
            <w:vAlign w:val="center"/>
          </w:tcPr>
          <w:p w:rsidR="00D53DA5" w:rsidRPr="0009564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DA5" w:rsidRPr="00095645" w:rsidTr="00E9671A">
        <w:trPr>
          <w:trHeight w:val="352"/>
        </w:trPr>
        <w:tc>
          <w:tcPr>
            <w:tcW w:w="568" w:type="dxa"/>
            <w:vAlign w:val="center"/>
          </w:tcPr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092" w:type="dxa"/>
            <w:vAlign w:val="center"/>
          </w:tcPr>
          <w:p w:rsidR="00D53DA5" w:rsidRPr="00095645" w:rsidRDefault="00D53DA5" w:rsidP="006551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6662" w:type="dxa"/>
            <w:vAlign w:val="center"/>
          </w:tcPr>
          <w:p w:rsidR="00D53DA5" w:rsidRPr="00D53DA5" w:rsidRDefault="00D53DA5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принять меры по устранению выявленных фактов несоблюдения требований статьи 26.9 </w:t>
            </w: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Федерального закона от 24 июля 1998 г. № 125-ФЗ </w:t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«Об обязательном социальном страховании от несчастных случаев на производстве и профессиональных заболеваний»</w:t>
            </w:r>
          </w:p>
        </w:tc>
        <w:tc>
          <w:tcPr>
            <w:tcW w:w="1701" w:type="dxa"/>
            <w:vAlign w:val="center"/>
          </w:tcPr>
          <w:p w:rsidR="00D53DA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  <w:vAlign w:val="center"/>
          </w:tcPr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D53DA5" w:rsidRPr="0009564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DA5" w:rsidRPr="00095645" w:rsidTr="00E9671A">
        <w:trPr>
          <w:trHeight w:val="352"/>
        </w:trPr>
        <w:tc>
          <w:tcPr>
            <w:tcW w:w="568" w:type="dxa"/>
            <w:vAlign w:val="center"/>
          </w:tcPr>
          <w:p w:rsid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2092" w:type="dxa"/>
            <w:vAlign w:val="center"/>
          </w:tcPr>
          <w:p w:rsidR="00D53DA5" w:rsidRPr="00D53DA5" w:rsidRDefault="00D53DA5" w:rsidP="006551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6662" w:type="dxa"/>
            <w:vAlign w:val="center"/>
          </w:tcPr>
          <w:p w:rsidR="00D53DA5" w:rsidRPr="00D53DA5" w:rsidRDefault="00D53DA5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>принять меры по устранению причин некорректного формирования справок о состоянии расчетов, при необходимости осуществить доработку функционального компонента «Лицевой счет» ФГИС «Соцстрах» и (или) устранить причины некорректной интеграции данных функционального компонента «Лицевой счет» ФГИС «Соцстрах» из других функциональных компонентов ФГИС «Соцстрах»</w:t>
            </w:r>
          </w:p>
        </w:tc>
        <w:tc>
          <w:tcPr>
            <w:tcW w:w="1701" w:type="dxa"/>
            <w:vAlign w:val="center"/>
          </w:tcPr>
          <w:p w:rsidR="00D53DA5" w:rsidRPr="00D53DA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декабря</w:t>
            </w:r>
          </w:p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D53DA5" w:rsidRPr="0009564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DA5" w:rsidRPr="00095645" w:rsidTr="00E9671A">
        <w:trPr>
          <w:trHeight w:val="352"/>
        </w:trPr>
        <w:tc>
          <w:tcPr>
            <w:tcW w:w="568" w:type="dxa"/>
            <w:vAlign w:val="center"/>
          </w:tcPr>
          <w:p w:rsid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092" w:type="dxa"/>
            <w:vAlign w:val="center"/>
          </w:tcPr>
          <w:p w:rsidR="00D53DA5" w:rsidRPr="00D53DA5" w:rsidRDefault="00D53DA5" w:rsidP="006551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6662" w:type="dxa"/>
            <w:vAlign w:val="center"/>
          </w:tcPr>
          <w:p w:rsidR="00D53DA5" w:rsidRPr="00D53DA5" w:rsidRDefault="00D53DA5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выявить и устранить причины некорректного формирования 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br/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>в ПК «НВП» АИС ПФР-2 сведений о лицах, имеющих право на досрочное назначение страховой пенсии по старости при наличии у них периодов страхового стажа,</w:t>
            </w:r>
            <w:r w:rsidRPr="00D53DA5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подлежащих суммированию в соответствии 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br/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>со статьей 33 Федерального закона</w:t>
            </w: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от 28 декабря 2013 г. № 400-ФЗ 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br/>
            </w:r>
            <w:r w:rsidRPr="00D53DA5">
              <w:rPr>
                <w:rFonts w:ascii="Times New Roman" w:eastAsia="Batang" w:hAnsi="Times New Roman" w:cs="Times New Roman"/>
                <w:sz w:val="20"/>
                <w:szCs w:val="20"/>
              </w:rPr>
              <w:t>«О страховых пенсиях»</w:t>
            </w:r>
          </w:p>
        </w:tc>
        <w:tc>
          <w:tcPr>
            <w:tcW w:w="1701" w:type="dxa"/>
            <w:vAlign w:val="center"/>
          </w:tcPr>
          <w:p w:rsidR="00D53DA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  <w:vAlign w:val="center"/>
          </w:tcPr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декабря</w:t>
            </w:r>
          </w:p>
          <w:p w:rsidR="00D53DA5" w:rsidRPr="00D53DA5" w:rsidRDefault="00D53DA5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D53DA5" w:rsidRPr="00095645" w:rsidRDefault="00D53DA5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25119D">
        <w:trPr>
          <w:trHeight w:val="411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фонд</w:t>
            </w:r>
          </w:p>
        </w:tc>
        <w:tc>
          <w:tcPr>
            <w:tcW w:w="6662" w:type="dxa"/>
            <w:vAlign w:val="center"/>
          </w:tcPr>
          <w:p w:rsidR="003548E4" w:rsidRPr="00D53DA5" w:rsidRDefault="00D53DA5" w:rsidP="00192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проверки деятельности территориальных органов Фонда в части </w:t>
            </w:r>
            <w:r w:rsid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 требований</w:t>
            </w:r>
            <w:r w:rsidR="00192DFA" w:rsidRP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</w:t>
            </w:r>
            <w:r w:rsidR="00192DFA" w:rsidRP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</w:t>
            </w:r>
            <w:r w:rsid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192DFA" w:rsidRP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приказом Минтруда России от 14 июля 2021 г. № 467н</w:t>
            </w:r>
            <w:r w:rsidR="0019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принятии решений (отказов)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53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финансовом обеспечении предупредительных мер </w:t>
            </w: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декабря</w:t>
            </w:r>
          </w:p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E4" w:rsidRPr="00095645" w:rsidTr="0025119D">
        <w:trPr>
          <w:trHeight w:val="680"/>
        </w:trPr>
        <w:tc>
          <w:tcPr>
            <w:tcW w:w="568" w:type="dxa"/>
            <w:vAlign w:val="center"/>
          </w:tcPr>
          <w:p w:rsidR="003548E4" w:rsidRPr="00095645" w:rsidRDefault="003548E4" w:rsidP="00D53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92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662" w:type="dxa"/>
            <w:vAlign w:val="center"/>
          </w:tcPr>
          <w:p w:rsidR="00B45089" w:rsidRPr="00B45089" w:rsidRDefault="003548E4" w:rsidP="005D4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предлагается Минфину России совместно с Фондом проработать вопрос о введении отдельного КБК, отражающего расходы бюджета Фонда на предупредительные меры, и КБК, отражающего расходы бюджета Фонда на медицинскую, социальную и профессиональную реабилитацию пострадавших </w:t>
            </w:r>
          </w:p>
        </w:tc>
        <w:tc>
          <w:tcPr>
            <w:tcW w:w="1701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3548E4" w:rsidRPr="000D3FB3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декабря</w:t>
            </w:r>
          </w:p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1984" w:type="dxa"/>
            <w:vAlign w:val="center"/>
          </w:tcPr>
          <w:p w:rsidR="003548E4" w:rsidRPr="00095645" w:rsidRDefault="003548E4" w:rsidP="00CB3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2F84" w:rsidRPr="00095645" w:rsidRDefault="00282F84" w:rsidP="0024635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82F84" w:rsidRPr="00095645" w:rsidSect="0029197D">
      <w:headerReference w:type="default" r:id="rId8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41" w:rsidRDefault="007E2041" w:rsidP="002A0944">
      <w:pPr>
        <w:spacing w:after="0" w:line="240" w:lineRule="auto"/>
      </w:pPr>
      <w:r>
        <w:separator/>
      </w:r>
    </w:p>
  </w:endnote>
  <w:endnote w:type="continuationSeparator" w:id="0">
    <w:p w:rsidR="007E2041" w:rsidRDefault="007E2041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41" w:rsidRDefault="007E2041" w:rsidP="002A0944">
      <w:pPr>
        <w:spacing w:after="0" w:line="240" w:lineRule="auto"/>
      </w:pPr>
      <w:r>
        <w:separator/>
      </w:r>
    </w:p>
  </w:footnote>
  <w:footnote w:type="continuationSeparator" w:id="0">
    <w:p w:rsidR="007E2041" w:rsidRDefault="007E2041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37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04DFB" w:rsidRPr="00DF7EEA" w:rsidRDefault="00504DFB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F7EEA">
          <w:rPr>
            <w:rFonts w:ascii="Times New Roman" w:hAnsi="Times New Roman" w:cs="Times New Roman"/>
            <w:sz w:val="24"/>
          </w:rPr>
          <w:fldChar w:fldCharType="begin"/>
        </w:r>
        <w:r w:rsidRPr="00DF7EEA">
          <w:rPr>
            <w:rFonts w:ascii="Times New Roman" w:hAnsi="Times New Roman" w:cs="Times New Roman"/>
            <w:sz w:val="24"/>
          </w:rPr>
          <w:instrText>PAGE   \* MERGEFORMAT</w:instrText>
        </w:r>
        <w:r w:rsidRPr="00DF7EEA">
          <w:rPr>
            <w:rFonts w:ascii="Times New Roman" w:hAnsi="Times New Roman" w:cs="Times New Roman"/>
            <w:sz w:val="24"/>
          </w:rPr>
          <w:fldChar w:fldCharType="separate"/>
        </w:r>
        <w:r w:rsidR="003F2647">
          <w:rPr>
            <w:rFonts w:ascii="Times New Roman" w:hAnsi="Times New Roman" w:cs="Times New Roman"/>
            <w:noProof/>
            <w:sz w:val="24"/>
          </w:rPr>
          <w:t>3</w:t>
        </w:r>
        <w:r w:rsidRPr="00DF7E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04DFB" w:rsidRDefault="00504D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73C9"/>
    <w:multiLevelType w:val="hybridMultilevel"/>
    <w:tmpl w:val="4CF83A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C2994"/>
    <w:multiLevelType w:val="hybridMultilevel"/>
    <w:tmpl w:val="A18AC74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25D2A"/>
    <w:rsid w:val="000413D7"/>
    <w:rsid w:val="00077A52"/>
    <w:rsid w:val="00086A9E"/>
    <w:rsid w:val="00095645"/>
    <w:rsid w:val="000A7C88"/>
    <w:rsid w:val="000D33EE"/>
    <w:rsid w:val="000D3FB3"/>
    <w:rsid w:val="000E61CC"/>
    <w:rsid w:val="000F1FDE"/>
    <w:rsid w:val="000F313B"/>
    <w:rsid w:val="000F6716"/>
    <w:rsid w:val="0010794C"/>
    <w:rsid w:val="001227BF"/>
    <w:rsid w:val="00146AE0"/>
    <w:rsid w:val="00150939"/>
    <w:rsid w:val="00192DFA"/>
    <w:rsid w:val="00194956"/>
    <w:rsid w:val="001B0D95"/>
    <w:rsid w:val="001D2CE7"/>
    <w:rsid w:val="001E238D"/>
    <w:rsid w:val="001E4447"/>
    <w:rsid w:val="00217719"/>
    <w:rsid w:val="00226702"/>
    <w:rsid w:val="00246356"/>
    <w:rsid w:val="0025119D"/>
    <w:rsid w:val="00282F84"/>
    <w:rsid w:val="0028333A"/>
    <w:rsid w:val="0029197D"/>
    <w:rsid w:val="002A0944"/>
    <w:rsid w:val="002A0F62"/>
    <w:rsid w:val="002B72CB"/>
    <w:rsid w:val="002D0DA8"/>
    <w:rsid w:val="003103C3"/>
    <w:rsid w:val="0032482B"/>
    <w:rsid w:val="003548E4"/>
    <w:rsid w:val="0036600B"/>
    <w:rsid w:val="003802FE"/>
    <w:rsid w:val="00391F2E"/>
    <w:rsid w:val="003A1E67"/>
    <w:rsid w:val="003B703F"/>
    <w:rsid w:val="003C22A3"/>
    <w:rsid w:val="003C2539"/>
    <w:rsid w:val="003C35D1"/>
    <w:rsid w:val="003E165D"/>
    <w:rsid w:val="003F0DF7"/>
    <w:rsid w:val="003F2647"/>
    <w:rsid w:val="00401335"/>
    <w:rsid w:val="00403D23"/>
    <w:rsid w:val="00405596"/>
    <w:rsid w:val="004242E1"/>
    <w:rsid w:val="00436F1B"/>
    <w:rsid w:val="004520DF"/>
    <w:rsid w:val="00463A6F"/>
    <w:rsid w:val="004674F1"/>
    <w:rsid w:val="00475F24"/>
    <w:rsid w:val="00490601"/>
    <w:rsid w:val="004945E1"/>
    <w:rsid w:val="004B0B00"/>
    <w:rsid w:val="004B1CF5"/>
    <w:rsid w:val="004B461E"/>
    <w:rsid w:val="004E4FC1"/>
    <w:rsid w:val="00502C9C"/>
    <w:rsid w:val="00504DFB"/>
    <w:rsid w:val="005136BF"/>
    <w:rsid w:val="0052414E"/>
    <w:rsid w:val="00537FBA"/>
    <w:rsid w:val="00545A86"/>
    <w:rsid w:val="00553996"/>
    <w:rsid w:val="00556FA8"/>
    <w:rsid w:val="00595578"/>
    <w:rsid w:val="005960FA"/>
    <w:rsid w:val="005C596D"/>
    <w:rsid w:val="005D4B24"/>
    <w:rsid w:val="005D65ED"/>
    <w:rsid w:val="005D6A47"/>
    <w:rsid w:val="005E1E21"/>
    <w:rsid w:val="006143B5"/>
    <w:rsid w:val="00635010"/>
    <w:rsid w:val="0063761E"/>
    <w:rsid w:val="006551DE"/>
    <w:rsid w:val="00662C1A"/>
    <w:rsid w:val="00682197"/>
    <w:rsid w:val="00685591"/>
    <w:rsid w:val="006A03AD"/>
    <w:rsid w:val="006A6402"/>
    <w:rsid w:val="006B4ED6"/>
    <w:rsid w:val="006C4583"/>
    <w:rsid w:val="006D0C78"/>
    <w:rsid w:val="006D7B84"/>
    <w:rsid w:val="006E07E9"/>
    <w:rsid w:val="0070072A"/>
    <w:rsid w:val="007159B7"/>
    <w:rsid w:val="00743BD6"/>
    <w:rsid w:val="0076725A"/>
    <w:rsid w:val="0077419C"/>
    <w:rsid w:val="007B6BE8"/>
    <w:rsid w:val="007C1A0A"/>
    <w:rsid w:val="007C4CDA"/>
    <w:rsid w:val="007C7A1D"/>
    <w:rsid w:val="007D6C41"/>
    <w:rsid w:val="007E2041"/>
    <w:rsid w:val="007E4546"/>
    <w:rsid w:val="007F719B"/>
    <w:rsid w:val="00812C07"/>
    <w:rsid w:val="00813AE3"/>
    <w:rsid w:val="00830E89"/>
    <w:rsid w:val="00832DA8"/>
    <w:rsid w:val="00837767"/>
    <w:rsid w:val="008670ED"/>
    <w:rsid w:val="008740CD"/>
    <w:rsid w:val="0087445B"/>
    <w:rsid w:val="00874B23"/>
    <w:rsid w:val="008750EA"/>
    <w:rsid w:val="008A51D8"/>
    <w:rsid w:val="008B58F7"/>
    <w:rsid w:val="008D548D"/>
    <w:rsid w:val="008E0B9D"/>
    <w:rsid w:val="008F441A"/>
    <w:rsid w:val="008F5213"/>
    <w:rsid w:val="009151DD"/>
    <w:rsid w:val="009170F6"/>
    <w:rsid w:val="00926830"/>
    <w:rsid w:val="00934B4D"/>
    <w:rsid w:val="0093501D"/>
    <w:rsid w:val="009A6D03"/>
    <w:rsid w:val="009C55A5"/>
    <w:rsid w:val="009E2841"/>
    <w:rsid w:val="00A22103"/>
    <w:rsid w:val="00A345A4"/>
    <w:rsid w:val="00A458A4"/>
    <w:rsid w:val="00A46B06"/>
    <w:rsid w:val="00A56B48"/>
    <w:rsid w:val="00AC1AA7"/>
    <w:rsid w:val="00AC2172"/>
    <w:rsid w:val="00AC450F"/>
    <w:rsid w:val="00AC49AE"/>
    <w:rsid w:val="00AD2CD5"/>
    <w:rsid w:val="00AF0B84"/>
    <w:rsid w:val="00AF33EE"/>
    <w:rsid w:val="00B04889"/>
    <w:rsid w:val="00B1391D"/>
    <w:rsid w:val="00B17D9B"/>
    <w:rsid w:val="00B42B69"/>
    <w:rsid w:val="00B448B0"/>
    <w:rsid w:val="00B45089"/>
    <w:rsid w:val="00B71DAB"/>
    <w:rsid w:val="00B94019"/>
    <w:rsid w:val="00B947DA"/>
    <w:rsid w:val="00BD1D81"/>
    <w:rsid w:val="00BD2927"/>
    <w:rsid w:val="00BF79FE"/>
    <w:rsid w:val="00C10CFF"/>
    <w:rsid w:val="00C1313F"/>
    <w:rsid w:val="00C13A5B"/>
    <w:rsid w:val="00C25F03"/>
    <w:rsid w:val="00C36BA8"/>
    <w:rsid w:val="00C664C4"/>
    <w:rsid w:val="00C73D20"/>
    <w:rsid w:val="00CB373C"/>
    <w:rsid w:val="00CB470C"/>
    <w:rsid w:val="00CB4CB2"/>
    <w:rsid w:val="00CC74E5"/>
    <w:rsid w:val="00CD3D5C"/>
    <w:rsid w:val="00CD42C1"/>
    <w:rsid w:val="00CF0E5D"/>
    <w:rsid w:val="00CF5B1F"/>
    <w:rsid w:val="00CF7448"/>
    <w:rsid w:val="00D34818"/>
    <w:rsid w:val="00D3738F"/>
    <w:rsid w:val="00D53DA5"/>
    <w:rsid w:val="00D71B5A"/>
    <w:rsid w:val="00D726F1"/>
    <w:rsid w:val="00D85218"/>
    <w:rsid w:val="00D95FC0"/>
    <w:rsid w:val="00DF7EEA"/>
    <w:rsid w:val="00E0100A"/>
    <w:rsid w:val="00E067B2"/>
    <w:rsid w:val="00E10E23"/>
    <w:rsid w:val="00E173BC"/>
    <w:rsid w:val="00E2011D"/>
    <w:rsid w:val="00E25B1D"/>
    <w:rsid w:val="00E36C27"/>
    <w:rsid w:val="00E40A57"/>
    <w:rsid w:val="00E67308"/>
    <w:rsid w:val="00E73F73"/>
    <w:rsid w:val="00E75883"/>
    <w:rsid w:val="00E7630C"/>
    <w:rsid w:val="00E9671A"/>
    <w:rsid w:val="00EA05A7"/>
    <w:rsid w:val="00EB029D"/>
    <w:rsid w:val="00EB4F1E"/>
    <w:rsid w:val="00EE7683"/>
    <w:rsid w:val="00F13A57"/>
    <w:rsid w:val="00F25161"/>
    <w:rsid w:val="00F30A66"/>
    <w:rsid w:val="00F51FA3"/>
    <w:rsid w:val="00F53368"/>
    <w:rsid w:val="00F54F49"/>
    <w:rsid w:val="00F56FB4"/>
    <w:rsid w:val="00F648E5"/>
    <w:rsid w:val="00F8536F"/>
    <w:rsid w:val="00F85DD3"/>
    <w:rsid w:val="00F94ED9"/>
    <w:rsid w:val="00FB0B14"/>
    <w:rsid w:val="00FD4112"/>
    <w:rsid w:val="00FE3D4D"/>
    <w:rsid w:val="00FF078E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A55C8-130F-48A0-B53F-3F0E7F8A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aliases w:val="A_маркированный_список,Основной с отступом,Абзац списка основной,Совсем Обычный,SL_Абзац списка,Bullet Number,Нумерованый список,Bullet List,FooterText,numbered,lp1,Список дефисный,Paragraphe de liste1,Второй абзац списка,List Paragraph"/>
    <w:basedOn w:val="a"/>
    <w:link w:val="a6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iPriority w:val="99"/>
    <w:unhideWhenUsed/>
    <w:rsid w:val="002A094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0944"/>
  </w:style>
  <w:style w:type="paragraph" w:styleId="aa">
    <w:name w:val="footer"/>
    <w:basedOn w:val="a"/>
    <w:link w:val="ab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0944"/>
  </w:style>
  <w:style w:type="paragraph" w:customStyle="1" w:styleId="ConsPlusNormal">
    <w:name w:val="ConsPlusNormal"/>
    <w:link w:val="ConsPlusNormal0"/>
    <w:rsid w:val="00E40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95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annotation text"/>
    <w:basedOn w:val="a"/>
    <w:link w:val="ad"/>
    <w:semiHidden/>
    <w:unhideWhenUsed/>
    <w:rsid w:val="004055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405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Основной с отступом Знак,Абзац списка основной Знак,Совсем Обычный Знак,SL_Абзац списка Знак,Bullet Number Знак,Нумерованый список Знак,Bullet List Знак,FooterText Знак,numbered Знак,lp1 Знак"/>
    <w:link w:val="a5"/>
    <w:uiPriority w:val="34"/>
    <w:qFormat/>
    <w:locked/>
    <w:rsid w:val="004945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0D5F-912B-406D-A88B-D0467F80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cp:lastPrinted>2023-08-29T06:04:00Z</cp:lastPrinted>
  <dcterms:created xsi:type="dcterms:W3CDTF">2024-10-10T08:18:00Z</dcterms:created>
  <dcterms:modified xsi:type="dcterms:W3CDTF">2024-10-10T08:18:00Z</dcterms:modified>
</cp:coreProperties>
</file>