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447" w:rsidRDefault="00BC2635" w:rsidP="00BC2635">
      <w:pPr>
        <w:widowControl w:val="0"/>
        <w:suppressAutoHyphens/>
        <w:spacing w:after="0" w:line="240" w:lineRule="auto"/>
        <w:jc w:val="right"/>
        <w:rPr>
          <w:rFonts w:ascii="Times New Roman" w:eastAsia="Times New Roman" w:hAnsi="Times New Roman" w:cs="Times New Roman"/>
          <w:sz w:val="28"/>
          <w:szCs w:val="28"/>
          <w:lang w:eastAsia="ru-RU"/>
        </w:rPr>
      </w:pPr>
      <w:r w:rsidRPr="00BC2635">
        <w:rPr>
          <w:rFonts w:ascii="Times New Roman" w:eastAsia="Times New Roman" w:hAnsi="Times New Roman" w:cs="Times New Roman"/>
          <w:sz w:val="28"/>
          <w:szCs w:val="28"/>
          <w:lang w:eastAsia="ru-RU"/>
        </w:rPr>
        <w:t xml:space="preserve">Приложение № </w:t>
      </w:r>
      <w:r w:rsidR="00A62447">
        <w:rPr>
          <w:rFonts w:ascii="Times New Roman" w:eastAsia="Times New Roman" w:hAnsi="Times New Roman" w:cs="Times New Roman"/>
          <w:sz w:val="28"/>
          <w:szCs w:val="28"/>
          <w:lang w:eastAsia="ru-RU"/>
        </w:rPr>
        <w:t xml:space="preserve">10 </w:t>
      </w:r>
    </w:p>
    <w:p w:rsidR="00BC2635" w:rsidRPr="00BC2635" w:rsidRDefault="00BC2635" w:rsidP="00BC2635">
      <w:pPr>
        <w:widowControl w:val="0"/>
        <w:suppressAutoHyphens/>
        <w:spacing w:after="0" w:line="240" w:lineRule="auto"/>
        <w:jc w:val="right"/>
        <w:rPr>
          <w:rFonts w:ascii="Times New Roman" w:eastAsia="Times New Roman" w:hAnsi="Times New Roman" w:cs="Times New Roman"/>
          <w:sz w:val="28"/>
          <w:szCs w:val="28"/>
          <w:lang w:eastAsia="ru-RU"/>
        </w:rPr>
      </w:pPr>
      <w:r w:rsidRPr="00BC2635">
        <w:rPr>
          <w:rFonts w:ascii="Times New Roman" w:eastAsia="Times New Roman" w:hAnsi="Times New Roman" w:cs="Times New Roman"/>
          <w:sz w:val="28"/>
          <w:szCs w:val="28"/>
          <w:lang w:eastAsia="ru-RU"/>
        </w:rPr>
        <w:t>к отчету о результатах</w:t>
      </w:r>
    </w:p>
    <w:p w:rsidR="00BC2635" w:rsidRPr="00BC2635" w:rsidRDefault="00BC2635" w:rsidP="00BC2635">
      <w:pPr>
        <w:widowControl w:val="0"/>
        <w:suppressAutoHyphens/>
        <w:spacing w:after="0" w:line="240" w:lineRule="auto"/>
        <w:jc w:val="right"/>
        <w:rPr>
          <w:rFonts w:ascii="Times New Roman" w:eastAsia="Times New Roman" w:hAnsi="Times New Roman" w:cs="Times New Roman"/>
          <w:sz w:val="28"/>
          <w:szCs w:val="28"/>
          <w:lang w:eastAsia="ru-RU"/>
        </w:rPr>
      </w:pPr>
      <w:r w:rsidRPr="00BC2635">
        <w:rPr>
          <w:rFonts w:ascii="Times New Roman" w:eastAsia="Times New Roman" w:hAnsi="Times New Roman" w:cs="Times New Roman"/>
          <w:sz w:val="28"/>
          <w:szCs w:val="28"/>
          <w:lang w:eastAsia="ru-RU"/>
        </w:rPr>
        <w:t>мероприятия</w:t>
      </w:r>
    </w:p>
    <w:p w:rsidR="00202CAB" w:rsidRDefault="00202CAB" w:rsidP="00BC2635">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BC2635" w:rsidRDefault="00202CAB" w:rsidP="00202CAB">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bookmarkStart w:id="0" w:name="_GoBack"/>
      <w:r w:rsidRPr="00202CAB">
        <w:rPr>
          <w:rFonts w:ascii="Times New Roman" w:eastAsia="Times New Roman" w:hAnsi="Times New Roman" w:cs="Times New Roman"/>
          <w:b/>
          <w:sz w:val="28"/>
          <w:szCs w:val="28"/>
          <w:lang w:eastAsia="ru-RU"/>
        </w:rPr>
        <w:t>Информация о ходе исполнения поручений Президента Российской Федерации, касающихся вопросов выравнивания бюджетной обеспеченности</w:t>
      </w:r>
    </w:p>
    <w:bookmarkEnd w:id="0"/>
    <w:p w:rsidR="0046615C" w:rsidRDefault="0046615C" w:rsidP="00202CAB">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tbl>
      <w:tblPr>
        <w:tblStyle w:val="a6"/>
        <w:tblW w:w="14737" w:type="dxa"/>
        <w:tblLook w:val="04A0" w:firstRow="1" w:lastRow="0" w:firstColumn="1" w:lastColumn="0" w:noHBand="0" w:noVBand="1"/>
      </w:tblPr>
      <w:tblGrid>
        <w:gridCol w:w="421"/>
        <w:gridCol w:w="5670"/>
        <w:gridCol w:w="8646"/>
      </w:tblGrid>
      <w:tr w:rsidR="00202CAB" w:rsidRPr="00202CAB" w:rsidTr="00D30BEC">
        <w:tc>
          <w:tcPr>
            <w:tcW w:w="421" w:type="dxa"/>
          </w:tcPr>
          <w:p w:rsidR="00202CAB" w:rsidRPr="00202CAB" w:rsidRDefault="00202CAB" w:rsidP="003A733E">
            <w:pPr>
              <w:rPr>
                <w:rFonts w:ascii="Times New Roman" w:hAnsi="Times New Roman" w:cs="Times New Roman"/>
                <w:sz w:val="24"/>
                <w:szCs w:val="24"/>
              </w:rPr>
            </w:pPr>
          </w:p>
        </w:tc>
        <w:tc>
          <w:tcPr>
            <w:tcW w:w="5670" w:type="dxa"/>
          </w:tcPr>
          <w:p w:rsidR="00202CAB" w:rsidRPr="00202CAB" w:rsidRDefault="00202CAB" w:rsidP="003A733E">
            <w:pPr>
              <w:jc w:val="center"/>
              <w:rPr>
                <w:rFonts w:ascii="Times New Roman" w:hAnsi="Times New Roman" w:cs="Times New Roman"/>
                <w:sz w:val="24"/>
                <w:szCs w:val="24"/>
              </w:rPr>
            </w:pPr>
            <w:r w:rsidRPr="00202CAB">
              <w:rPr>
                <w:rFonts w:ascii="Times New Roman" w:hAnsi="Times New Roman" w:cs="Times New Roman"/>
                <w:sz w:val="24"/>
                <w:szCs w:val="24"/>
              </w:rPr>
              <w:t>Поручение Президента Российской Федерации</w:t>
            </w:r>
          </w:p>
        </w:tc>
        <w:tc>
          <w:tcPr>
            <w:tcW w:w="8646" w:type="dxa"/>
          </w:tcPr>
          <w:p w:rsidR="00202CAB" w:rsidRPr="00202CAB" w:rsidRDefault="00202CAB" w:rsidP="003A733E">
            <w:pPr>
              <w:jc w:val="center"/>
              <w:rPr>
                <w:rFonts w:ascii="Times New Roman" w:hAnsi="Times New Roman" w:cs="Times New Roman"/>
                <w:sz w:val="24"/>
                <w:szCs w:val="24"/>
              </w:rPr>
            </w:pPr>
            <w:r w:rsidRPr="00202CAB">
              <w:rPr>
                <w:rFonts w:ascii="Times New Roman" w:hAnsi="Times New Roman" w:cs="Times New Roman"/>
                <w:sz w:val="24"/>
                <w:szCs w:val="24"/>
              </w:rPr>
              <w:t>Ход исполнения</w:t>
            </w:r>
          </w:p>
        </w:tc>
      </w:tr>
      <w:tr w:rsidR="00202CAB" w:rsidRPr="00202CAB" w:rsidTr="003A733E">
        <w:tc>
          <w:tcPr>
            <w:tcW w:w="421" w:type="dxa"/>
          </w:tcPr>
          <w:p w:rsidR="00202CAB" w:rsidRPr="00202CAB" w:rsidRDefault="00202CAB" w:rsidP="003A733E">
            <w:pPr>
              <w:jc w:val="center"/>
              <w:rPr>
                <w:rFonts w:ascii="Times New Roman" w:hAnsi="Times New Roman" w:cs="Times New Roman"/>
                <w:b/>
                <w:sz w:val="24"/>
                <w:szCs w:val="24"/>
              </w:rPr>
            </w:pPr>
          </w:p>
        </w:tc>
        <w:tc>
          <w:tcPr>
            <w:tcW w:w="14316" w:type="dxa"/>
            <w:gridSpan w:val="2"/>
          </w:tcPr>
          <w:p w:rsidR="00202CAB" w:rsidRPr="00202CAB" w:rsidRDefault="00202CAB" w:rsidP="003A733E">
            <w:pPr>
              <w:jc w:val="center"/>
              <w:rPr>
                <w:rFonts w:ascii="Times New Roman" w:hAnsi="Times New Roman" w:cs="Times New Roman"/>
                <w:b/>
                <w:sz w:val="24"/>
                <w:szCs w:val="24"/>
              </w:rPr>
            </w:pPr>
            <w:r w:rsidRPr="00202CAB">
              <w:rPr>
                <w:rFonts w:ascii="Times New Roman" w:hAnsi="Times New Roman" w:cs="Times New Roman"/>
                <w:b/>
                <w:sz w:val="24"/>
                <w:szCs w:val="24"/>
              </w:rPr>
              <w:t>По вопросам об индексации объема дотаций на выравнивание бюджетной обеспеченности</w:t>
            </w:r>
          </w:p>
        </w:tc>
      </w:tr>
      <w:tr w:rsidR="00202CAB" w:rsidRPr="00202CAB" w:rsidTr="00D30BEC">
        <w:tc>
          <w:tcPr>
            <w:tcW w:w="421"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1</w:t>
            </w:r>
          </w:p>
        </w:tc>
        <w:tc>
          <w:tcPr>
            <w:tcW w:w="5670"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подпункт «г» пункта 1 поручения от 30 сентября 2021 г. № Пр-1835:</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w:t>
            </w:r>
            <w:r w:rsidRPr="00202CAB">
              <w:rPr>
                <w:rFonts w:ascii="Times New Roman" w:hAnsi="Times New Roman" w:cs="Times New Roman"/>
                <w:color w:val="000000" w:themeColor="text1"/>
                <w:sz w:val="24"/>
                <w:szCs w:val="24"/>
              </w:rPr>
              <w:t xml:space="preserve">предусмотреть в 2022 </w:t>
            </w:r>
            <w:r w:rsidRPr="00202CAB">
              <w:rPr>
                <w:rFonts w:ascii="Times New Roman" w:hAnsi="Times New Roman" w:cs="Times New Roman"/>
                <w:sz w:val="24"/>
                <w:szCs w:val="24"/>
              </w:rPr>
              <w:t>- 2024 годах объем дотаций на выравнивание бюджетной обеспеченности субъектов Российской Федерации с учетом его индексации на накопленную с 2017 года инфляцию (за исключением той части дотаций, источником формирования которой является повышение в 2017 - 2024 годах налоговой ставки, по которой налог на прибыль организаций зачисляется в федеральный бюджет)»</w:t>
            </w:r>
          </w:p>
        </w:tc>
        <w:tc>
          <w:tcPr>
            <w:tcW w:w="8646" w:type="dxa"/>
          </w:tcPr>
          <w:p w:rsidR="00202CAB" w:rsidRDefault="00B92E00" w:rsidP="00E46AC9">
            <w:pPr>
              <w:jc w:val="both"/>
              <w:rPr>
                <w:rFonts w:ascii="Times New Roman" w:hAnsi="Times New Roman" w:cs="Times New Roman"/>
                <w:sz w:val="24"/>
                <w:szCs w:val="24"/>
              </w:rPr>
            </w:pPr>
            <w:r>
              <w:rPr>
                <w:rFonts w:ascii="Times New Roman" w:hAnsi="Times New Roman" w:cs="Times New Roman"/>
                <w:sz w:val="24"/>
                <w:szCs w:val="24"/>
              </w:rPr>
              <w:t>Во исполнение Поручения б</w:t>
            </w:r>
            <w:r w:rsidR="00202CAB" w:rsidRPr="00202CAB">
              <w:rPr>
                <w:rFonts w:ascii="Times New Roman" w:hAnsi="Times New Roman" w:cs="Times New Roman"/>
                <w:sz w:val="24"/>
                <w:szCs w:val="24"/>
              </w:rPr>
              <w:t>ыло предусмотрено внесение изменений в статью 131 Бюджетного кодекса Российской Федерации в части законодательного закрепления ежегодной индексации объема дотации на выравнивание на уровень прогнозируемой инфляции</w:t>
            </w:r>
            <w:r w:rsidR="00202CAB" w:rsidRPr="00202CAB">
              <w:rPr>
                <w:rStyle w:val="a5"/>
                <w:rFonts w:ascii="Times New Roman" w:hAnsi="Times New Roman" w:cs="Times New Roman"/>
                <w:sz w:val="24"/>
                <w:szCs w:val="24"/>
              </w:rPr>
              <w:footnoteReference w:id="1"/>
            </w:r>
            <w:r w:rsidR="00202CAB" w:rsidRPr="00202CAB">
              <w:rPr>
                <w:rFonts w:ascii="Times New Roman" w:hAnsi="Times New Roman" w:cs="Times New Roman"/>
                <w:sz w:val="24"/>
                <w:szCs w:val="24"/>
              </w:rPr>
              <w:t xml:space="preserve">. </w:t>
            </w:r>
          </w:p>
          <w:p w:rsidR="00B92E00" w:rsidRDefault="00F0367B" w:rsidP="00E46AC9">
            <w:pPr>
              <w:jc w:val="both"/>
              <w:rPr>
                <w:rFonts w:ascii="Times New Roman" w:hAnsi="Times New Roman" w:cs="Times New Roman"/>
                <w:sz w:val="24"/>
                <w:szCs w:val="24"/>
              </w:rPr>
            </w:pPr>
            <w:r>
              <w:rPr>
                <w:rFonts w:ascii="Times New Roman" w:hAnsi="Times New Roman" w:cs="Times New Roman"/>
                <w:sz w:val="24"/>
                <w:szCs w:val="24"/>
              </w:rPr>
              <w:t xml:space="preserve">При этом, по информации Минфина России, </w:t>
            </w:r>
            <w:r w:rsidRPr="00F0367B">
              <w:rPr>
                <w:rFonts w:ascii="Times New Roman" w:hAnsi="Times New Roman" w:cs="Times New Roman"/>
                <w:sz w:val="24"/>
                <w:szCs w:val="24"/>
              </w:rPr>
              <w:t xml:space="preserve">увеличение дотации на выравнивание на накопленную с 2017 года инфляцию (без учета объемов, сформированных за счет централизации в федеральном бюджете 1 процентного пункта налога на прибыль организаций) потребует дополнительного выделения средств федерального бюджета в 2022 году – 118,6 млрд рублей, в 2023 году – 143,9 млрд рублей, </w:t>
            </w:r>
            <w:r>
              <w:rPr>
                <w:rFonts w:ascii="Times New Roman" w:hAnsi="Times New Roman" w:cs="Times New Roman"/>
                <w:sz w:val="24"/>
                <w:szCs w:val="24"/>
              </w:rPr>
              <w:t>в 2024 году – 170,2 млрд рублей.</w:t>
            </w:r>
            <w:r w:rsidR="00EE7CF6">
              <w:rPr>
                <w:rStyle w:val="a5"/>
                <w:rFonts w:ascii="Times New Roman" w:hAnsi="Times New Roman" w:cs="Times New Roman"/>
                <w:sz w:val="24"/>
                <w:szCs w:val="24"/>
                <w:lang w:val="en-US"/>
              </w:rPr>
              <w:footnoteReference w:id="2"/>
            </w:r>
            <w:r w:rsidR="00B92E00">
              <w:rPr>
                <w:rFonts w:ascii="Times New Roman" w:hAnsi="Times New Roman" w:cs="Times New Roman"/>
                <w:sz w:val="24"/>
                <w:szCs w:val="24"/>
              </w:rPr>
              <w:t xml:space="preserve"> </w:t>
            </w:r>
            <w:r w:rsidR="00B92E00" w:rsidRPr="00B92E00">
              <w:rPr>
                <w:rFonts w:ascii="Times New Roman" w:hAnsi="Times New Roman" w:cs="Times New Roman"/>
                <w:sz w:val="24"/>
                <w:szCs w:val="24"/>
              </w:rPr>
              <w:t xml:space="preserve">Вместе с тем </w:t>
            </w:r>
            <w:r w:rsidR="00E46AC9">
              <w:rPr>
                <w:rFonts w:ascii="Times New Roman" w:hAnsi="Times New Roman" w:cs="Times New Roman"/>
                <w:sz w:val="24"/>
                <w:szCs w:val="24"/>
              </w:rPr>
              <w:t>предусматриваемые объемы дотации на выравнивание</w:t>
            </w:r>
            <w:r w:rsidR="00B92E00" w:rsidRPr="00B92E00">
              <w:rPr>
                <w:rFonts w:ascii="Times New Roman" w:hAnsi="Times New Roman" w:cs="Times New Roman"/>
                <w:sz w:val="24"/>
                <w:szCs w:val="24"/>
              </w:rPr>
              <w:t xml:space="preserve"> позволяют сократить разрывы в уровне расчетной бюджетной обеспеченности между </w:t>
            </w:r>
            <w:r w:rsidR="00E46AC9" w:rsidRPr="00E46AC9">
              <w:rPr>
                <w:rFonts w:ascii="Times New Roman" w:hAnsi="Times New Roman" w:cs="Times New Roman"/>
                <w:sz w:val="24"/>
                <w:szCs w:val="24"/>
              </w:rPr>
              <w:t xml:space="preserve">10 наименее и 10 наиболее обеспеченными </w:t>
            </w:r>
            <w:r w:rsidR="00E46AC9">
              <w:rPr>
                <w:rFonts w:ascii="Times New Roman" w:hAnsi="Times New Roman" w:cs="Times New Roman"/>
                <w:sz w:val="24"/>
                <w:szCs w:val="24"/>
              </w:rPr>
              <w:t>субъектами Российской Федерации</w:t>
            </w:r>
            <w:r w:rsidR="00B92E00" w:rsidRPr="00B92E00">
              <w:rPr>
                <w:rFonts w:ascii="Times New Roman" w:hAnsi="Times New Roman" w:cs="Times New Roman"/>
                <w:sz w:val="24"/>
                <w:szCs w:val="24"/>
              </w:rPr>
              <w:t xml:space="preserve"> с 4,49 до 2,19 раз соответственно до и после выравнивания.</w:t>
            </w:r>
          </w:p>
          <w:p w:rsidR="005F72BB" w:rsidRPr="00F0367B" w:rsidRDefault="005F72BB" w:rsidP="00E46AC9">
            <w:pPr>
              <w:jc w:val="both"/>
              <w:rPr>
                <w:rFonts w:ascii="Times New Roman" w:hAnsi="Times New Roman" w:cs="Times New Roman"/>
                <w:sz w:val="24"/>
                <w:szCs w:val="24"/>
              </w:rPr>
            </w:pPr>
            <w:r w:rsidRPr="005F72BB">
              <w:rPr>
                <w:rFonts w:ascii="Times New Roman" w:hAnsi="Times New Roman" w:cs="Times New Roman"/>
                <w:sz w:val="24"/>
                <w:szCs w:val="24"/>
              </w:rPr>
              <w:t xml:space="preserve">Дальнейшее сокращение разрывов в уровне расчетной бюджетной обеспеченности </w:t>
            </w:r>
            <w:r>
              <w:rPr>
                <w:rFonts w:ascii="Times New Roman" w:hAnsi="Times New Roman" w:cs="Times New Roman"/>
                <w:sz w:val="24"/>
                <w:szCs w:val="24"/>
              </w:rPr>
              <w:t>Минфин России считает</w:t>
            </w:r>
            <w:r w:rsidRPr="005F72BB">
              <w:rPr>
                <w:rFonts w:ascii="Times New Roman" w:hAnsi="Times New Roman" w:cs="Times New Roman"/>
                <w:sz w:val="24"/>
                <w:szCs w:val="24"/>
              </w:rPr>
              <w:t xml:space="preserve"> целесообразным осуществлять с учетом п</w:t>
            </w:r>
            <w:r>
              <w:rPr>
                <w:rFonts w:ascii="Times New Roman" w:hAnsi="Times New Roman" w:cs="Times New Roman"/>
                <w:sz w:val="24"/>
                <w:szCs w:val="24"/>
              </w:rPr>
              <w:t xml:space="preserve">редоставления </w:t>
            </w:r>
            <w:r w:rsidRPr="005F72BB">
              <w:rPr>
                <w:rFonts w:ascii="Times New Roman" w:hAnsi="Times New Roman" w:cs="Times New Roman"/>
                <w:sz w:val="24"/>
                <w:szCs w:val="24"/>
              </w:rPr>
              <w:t xml:space="preserve">целевых межбюджетных трансфертов, обеспечивающих участие Российской </w:t>
            </w:r>
            <w:r w:rsidRPr="005F72BB">
              <w:rPr>
                <w:rFonts w:ascii="Times New Roman" w:hAnsi="Times New Roman" w:cs="Times New Roman"/>
                <w:sz w:val="24"/>
                <w:szCs w:val="24"/>
              </w:rPr>
              <w:lastRenderedPageBreak/>
              <w:t>Федерации в реализации полномочий субъектов Российской Федерации, что с учетом обеспечения достижения поставленных результатов на современном этапе является более эффективной моделью управления.</w:t>
            </w:r>
          </w:p>
        </w:tc>
      </w:tr>
      <w:tr w:rsidR="00202CAB" w:rsidRPr="00202CAB" w:rsidTr="00D30BEC">
        <w:tc>
          <w:tcPr>
            <w:tcW w:w="421"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lastRenderedPageBreak/>
              <w:t>2</w:t>
            </w:r>
          </w:p>
        </w:tc>
        <w:tc>
          <w:tcPr>
            <w:tcW w:w="5670"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подпункт «а» пункта 7 поручения от 16 января 2021 года № Пр-45ГС:</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«проработать вопросы:</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а) …о сохранении с 2022 года и в последующие годы ежегодной индексации величины дотации на выравнивание бюджетной обеспеченности, предоставляемой из федерального бюджета бюджетам субъектов Российской Федерации»</w:t>
            </w:r>
          </w:p>
        </w:tc>
        <w:tc>
          <w:tcPr>
            <w:tcW w:w="8646"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Частично учтено за счет внесения изменений в статью 131 БК РФ.</w:t>
            </w:r>
          </w:p>
        </w:tc>
      </w:tr>
      <w:tr w:rsidR="00202CAB" w:rsidRPr="00202CAB" w:rsidTr="00D30BEC">
        <w:tc>
          <w:tcPr>
            <w:tcW w:w="421"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3</w:t>
            </w:r>
          </w:p>
        </w:tc>
        <w:tc>
          <w:tcPr>
            <w:tcW w:w="5670"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подпункта «п» пункта 1 поручения от 10 апреля 2022 года № Пр-622:</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«провести с учетом ранее данных поручений дополнительную индексацию величины дотаций на выравнивание бюджетной обеспеченности субъектов Российской Федерации»</w:t>
            </w:r>
          </w:p>
        </w:tc>
        <w:tc>
          <w:tcPr>
            <w:tcW w:w="8646"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Частично учтено за счет внесения изменений в статью 131 БК РФ.</w:t>
            </w:r>
          </w:p>
        </w:tc>
      </w:tr>
      <w:tr w:rsidR="00202CAB" w:rsidRPr="00202CAB" w:rsidTr="003A733E">
        <w:tc>
          <w:tcPr>
            <w:tcW w:w="14737" w:type="dxa"/>
            <w:gridSpan w:val="3"/>
          </w:tcPr>
          <w:p w:rsidR="00202CAB" w:rsidRPr="00202CAB" w:rsidRDefault="00202CAB" w:rsidP="00202CAB">
            <w:pPr>
              <w:jc w:val="center"/>
              <w:rPr>
                <w:rFonts w:ascii="Times New Roman" w:hAnsi="Times New Roman" w:cs="Times New Roman"/>
                <w:b/>
                <w:sz w:val="24"/>
                <w:szCs w:val="24"/>
              </w:rPr>
            </w:pPr>
            <w:r w:rsidRPr="00202CAB">
              <w:rPr>
                <w:rFonts w:ascii="Times New Roman" w:hAnsi="Times New Roman" w:cs="Times New Roman"/>
                <w:b/>
                <w:color w:val="000000" w:themeColor="text1"/>
                <w:sz w:val="24"/>
                <w:szCs w:val="24"/>
              </w:rPr>
              <w:t xml:space="preserve">По вопросам об изменении подходов к распределению дотаций на выравнивание </w:t>
            </w:r>
          </w:p>
        </w:tc>
      </w:tr>
      <w:tr w:rsidR="00202CAB" w:rsidRPr="00202CAB" w:rsidTr="00D30BEC">
        <w:tc>
          <w:tcPr>
            <w:tcW w:w="421"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4</w:t>
            </w:r>
          </w:p>
        </w:tc>
        <w:tc>
          <w:tcPr>
            <w:tcW w:w="5670"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подпункт «в» пункта 1 перечня поручений от 30 сентября 2021 г. № Пр-1835:</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«для субъектов Российской Федерации, уровень расчетной бюджетной обеспеченности которых превысил критерий выравнивания расчетной бюджетной обеспеченности, предусмотреть постепенное снижение дотаций на выравнивание бюджетной обеспеченности в течение трех лет после его достижения до 75, 50 и 25 процентов соответственно от объема дотаций, полученных в году достижения критерия выравнивания» по вопросу оказания дополнительной поддержки субъектам Российской Федерации при превышении критерия выравнивания на 2022 год»</w:t>
            </w:r>
          </w:p>
        </w:tc>
        <w:tc>
          <w:tcPr>
            <w:tcW w:w="8646" w:type="dxa"/>
          </w:tcPr>
          <w:p w:rsidR="00202CAB" w:rsidRPr="00202CAB" w:rsidRDefault="00641FA9" w:rsidP="00E46AC9">
            <w:pPr>
              <w:jc w:val="both"/>
              <w:rPr>
                <w:rFonts w:ascii="Times New Roman" w:hAnsi="Times New Roman" w:cs="Times New Roman"/>
                <w:sz w:val="24"/>
                <w:szCs w:val="24"/>
              </w:rPr>
            </w:pPr>
            <w:r>
              <w:rPr>
                <w:rFonts w:ascii="Times New Roman" w:hAnsi="Times New Roman" w:cs="Times New Roman"/>
                <w:sz w:val="24"/>
                <w:szCs w:val="24"/>
              </w:rPr>
              <w:t xml:space="preserve">     </w:t>
            </w:r>
            <w:r w:rsidR="00202CAB" w:rsidRPr="0089551A">
              <w:rPr>
                <w:rFonts w:ascii="Times New Roman" w:hAnsi="Times New Roman" w:cs="Times New Roman"/>
                <w:sz w:val="24"/>
                <w:szCs w:val="24"/>
              </w:rPr>
              <w:t>Решение вопроса оказания дополнительной поддержки субъектам Российской Федерации при превышении критерия выравнивания на 2022 год было обеспечено за счет предоставления в 2021 году дотаций на поддержку мер по обеспечению сбалансированности бюджетов 11 субъектам Российской Федерации, у которых уровень расчетной бюджетной обеспеченности на 2022 год превышает критерий выравнивания для предоставления дотации на выравнивание</w:t>
            </w:r>
            <w:r w:rsidR="00A90B2D" w:rsidRPr="0089551A">
              <w:rPr>
                <w:rFonts w:ascii="Times New Roman" w:hAnsi="Times New Roman" w:cs="Times New Roman"/>
                <w:sz w:val="24"/>
                <w:szCs w:val="24"/>
              </w:rPr>
              <w:t xml:space="preserve"> </w:t>
            </w:r>
            <w:r w:rsidR="00A90B2D" w:rsidRPr="0089551A">
              <w:rPr>
                <w:rFonts w:ascii="Times New Roman" w:hAnsi="Times New Roman" w:cs="Times New Roman"/>
                <w:color w:val="000000" w:themeColor="text1"/>
                <w:sz w:val="24"/>
                <w:szCs w:val="24"/>
              </w:rPr>
              <w:t xml:space="preserve">(распоряжение Правительства Российской </w:t>
            </w:r>
            <w:r w:rsidR="00C34971" w:rsidRPr="0089551A">
              <w:rPr>
                <w:rFonts w:ascii="Times New Roman" w:hAnsi="Times New Roman" w:cs="Times New Roman"/>
                <w:color w:val="000000" w:themeColor="text1"/>
                <w:sz w:val="24"/>
                <w:szCs w:val="24"/>
              </w:rPr>
              <w:t>Федерации  от 17 декабря 2021 года</w:t>
            </w:r>
            <w:r w:rsidR="00A90B2D" w:rsidRPr="0089551A">
              <w:rPr>
                <w:rFonts w:ascii="Times New Roman" w:hAnsi="Times New Roman" w:cs="Times New Roman"/>
                <w:color w:val="000000" w:themeColor="text1"/>
                <w:sz w:val="24"/>
                <w:szCs w:val="24"/>
              </w:rPr>
              <w:t xml:space="preserve"> № 3667-р, объем дотаций </w:t>
            </w:r>
            <w:r w:rsidR="00C34971" w:rsidRPr="0089551A">
              <w:rPr>
                <w:rFonts w:ascii="Times New Roman" w:hAnsi="Times New Roman" w:cs="Times New Roman"/>
                <w:color w:val="000000" w:themeColor="text1"/>
                <w:sz w:val="24"/>
                <w:szCs w:val="24"/>
              </w:rPr>
              <w:t xml:space="preserve">на сбалансированность </w:t>
            </w:r>
            <w:r w:rsidR="00015D60" w:rsidRPr="0089551A">
              <w:rPr>
                <w:rFonts w:ascii="Times New Roman" w:hAnsi="Times New Roman" w:cs="Times New Roman"/>
                <w:color w:val="000000" w:themeColor="text1"/>
                <w:sz w:val="24"/>
                <w:szCs w:val="24"/>
              </w:rPr>
              <w:t xml:space="preserve">– </w:t>
            </w:r>
            <w:r w:rsidR="00C34971" w:rsidRPr="0089551A">
              <w:rPr>
                <w:rFonts w:ascii="Times New Roman" w:hAnsi="Times New Roman" w:cs="Times New Roman"/>
                <w:color w:val="000000" w:themeColor="text1"/>
                <w:sz w:val="24"/>
                <w:szCs w:val="24"/>
              </w:rPr>
              <w:t>15,3 млрд</w:t>
            </w:r>
            <w:r w:rsidR="00A90B2D" w:rsidRPr="0089551A">
              <w:rPr>
                <w:rFonts w:ascii="Times New Roman" w:hAnsi="Times New Roman" w:cs="Times New Roman"/>
                <w:color w:val="000000" w:themeColor="text1"/>
                <w:sz w:val="24"/>
                <w:szCs w:val="24"/>
              </w:rPr>
              <w:t xml:space="preserve"> рублей)</w:t>
            </w:r>
            <w:r w:rsidR="00202CAB" w:rsidRPr="0089551A">
              <w:rPr>
                <w:rFonts w:ascii="Times New Roman" w:hAnsi="Times New Roman" w:cs="Times New Roman"/>
                <w:color w:val="000000" w:themeColor="text1"/>
                <w:sz w:val="24"/>
                <w:szCs w:val="24"/>
              </w:rPr>
              <w:t>. Предоставление вышеуказанных дотаций позволило в опережающем порядке компенсировать снижение в 2022 году дотаций на выравнивание бюджетной обеспеченности в объеме 75 процентов от объема дотаций на выравнивание 2021 года, исключи</w:t>
            </w:r>
            <w:r w:rsidR="0089551A">
              <w:rPr>
                <w:rFonts w:ascii="Times New Roman" w:hAnsi="Times New Roman" w:cs="Times New Roman"/>
                <w:color w:val="000000" w:themeColor="text1"/>
                <w:sz w:val="24"/>
                <w:szCs w:val="24"/>
              </w:rPr>
              <w:t>в</w:t>
            </w:r>
            <w:r w:rsidR="00202CAB" w:rsidRPr="0089551A">
              <w:rPr>
                <w:rFonts w:ascii="Times New Roman" w:hAnsi="Times New Roman" w:cs="Times New Roman"/>
                <w:color w:val="000000" w:themeColor="text1"/>
                <w:sz w:val="24"/>
                <w:szCs w:val="24"/>
              </w:rPr>
              <w:t xml:space="preserve"> резкое снижение объемов федеральной поддержки. Последующая компенсация снижения дотаций на выравнивание указанным субъектам Российской Федерации в размере 50 и 25 процентов от объема дотаций на выравнивание 2021 года была также предоставлена при исполнении федерального бюджета в 2023 </w:t>
            </w:r>
            <w:r w:rsidR="00015E01" w:rsidRPr="0089551A">
              <w:rPr>
                <w:rFonts w:ascii="Times New Roman" w:hAnsi="Times New Roman" w:cs="Times New Roman"/>
                <w:color w:val="000000" w:themeColor="text1"/>
                <w:sz w:val="24"/>
                <w:szCs w:val="24"/>
              </w:rPr>
              <w:t>и 2024 года</w:t>
            </w:r>
            <w:r w:rsidR="00C34971" w:rsidRPr="0089551A">
              <w:rPr>
                <w:rFonts w:ascii="Times New Roman" w:hAnsi="Times New Roman" w:cs="Times New Roman"/>
                <w:color w:val="000000" w:themeColor="text1"/>
                <w:sz w:val="24"/>
                <w:szCs w:val="24"/>
              </w:rPr>
              <w:t xml:space="preserve">х </w:t>
            </w:r>
            <w:r w:rsidR="00C34971" w:rsidRPr="0089551A">
              <w:rPr>
                <w:rFonts w:ascii="Times New Roman" w:hAnsi="Times New Roman" w:cs="Times New Roman"/>
                <w:color w:val="000000" w:themeColor="text1"/>
                <w:sz w:val="24"/>
                <w:szCs w:val="24"/>
              </w:rPr>
              <w:lastRenderedPageBreak/>
              <w:t xml:space="preserve">(распоряжение Правительства Российской Федерации от 9 февраля 2023 года №283-р, объем дотаций на сбалансированность 9,5 млрд рублей; распоряжение </w:t>
            </w:r>
            <w:r w:rsidR="00C34971" w:rsidRPr="0089551A">
              <w:rPr>
                <w:rFonts w:ascii="Times New Roman" w:hAnsi="Times New Roman" w:cs="Times New Roman"/>
                <w:sz w:val="24"/>
                <w:szCs w:val="24"/>
              </w:rPr>
              <w:t xml:space="preserve">Правительства Российской Федерации от 22 декабря 2023 года №3826-р, объем дотаций на сбалансированность </w:t>
            </w:r>
            <w:r w:rsidR="0089551A" w:rsidRPr="0089551A">
              <w:rPr>
                <w:rFonts w:ascii="Times New Roman" w:hAnsi="Times New Roman" w:cs="Times New Roman"/>
                <w:sz w:val="24"/>
                <w:szCs w:val="24"/>
              </w:rPr>
              <w:t>4</w:t>
            </w:r>
            <w:r w:rsidR="00C34971" w:rsidRPr="0089551A">
              <w:rPr>
                <w:rFonts w:ascii="Times New Roman" w:hAnsi="Times New Roman" w:cs="Times New Roman"/>
                <w:sz w:val="24"/>
                <w:szCs w:val="24"/>
              </w:rPr>
              <w:t>,</w:t>
            </w:r>
            <w:r w:rsidR="0089551A" w:rsidRPr="0089551A">
              <w:rPr>
                <w:rFonts w:ascii="Times New Roman" w:hAnsi="Times New Roman" w:cs="Times New Roman"/>
                <w:sz w:val="24"/>
                <w:szCs w:val="24"/>
              </w:rPr>
              <w:t>5</w:t>
            </w:r>
            <w:r w:rsidR="00C34971" w:rsidRPr="0089551A">
              <w:rPr>
                <w:rFonts w:ascii="Times New Roman" w:hAnsi="Times New Roman" w:cs="Times New Roman"/>
                <w:sz w:val="24"/>
                <w:szCs w:val="24"/>
              </w:rPr>
              <w:t xml:space="preserve"> млрд рублей)</w:t>
            </w:r>
            <w:r w:rsidR="00202CAB" w:rsidRPr="0089551A">
              <w:rPr>
                <w:rFonts w:ascii="Times New Roman" w:hAnsi="Times New Roman" w:cs="Times New Roman"/>
                <w:sz w:val="24"/>
                <w:szCs w:val="24"/>
              </w:rPr>
              <w:t>.</w:t>
            </w:r>
          </w:p>
          <w:p w:rsidR="00202CAB" w:rsidRPr="00202CAB" w:rsidRDefault="00202CAB" w:rsidP="00E46AC9">
            <w:pPr>
              <w:jc w:val="both"/>
              <w:rPr>
                <w:rFonts w:ascii="Times New Roman" w:hAnsi="Times New Roman" w:cs="Times New Roman"/>
                <w:sz w:val="24"/>
                <w:szCs w:val="24"/>
              </w:rPr>
            </w:pPr>
          </w:p>
        </w:tc>
      </w:tr>
      <w:tr w:rsidR="00202CAB" w:rsidRPr="00202CAB" w:rsidTr="00D30BEC">
        <w:tc>
          <w:tcPr>
            <w:tcW w:w="421"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lastRenderedPageBreak/>
              <w:t>5</w:t>
            </w:r>
          </w:p>
        </w:tc>
        <w:tc>
          <w:tcPr>
            <w:tcW w:w="5670"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подпункт «в» пункта 7 поручения № Пр-45ГС от 16 января 2021 года:</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«рассмотреть в целях повышения мотивации субъектов Российской Федерации к развитию собственных доходных источников возможность изменения подходов к формированию межбюджетных отношений в части:</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перехода от установленного уровня бюджетной обеспеченности, при превышении которого прекращается предоставление бюджету субъекта Российской Федерации дотации на выравнивание бюджетной обеспеченности, к диапазону уровней бюджетной обеспеченности, в котором величина указанной дотации снижается по мере роста бюджетной обеспеченности, принципов и механизмов, обеспечивающих постепенное снижение величины указанной дотации;</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переноса даты введения нормы о снижении уровня выравнивания бюджетной обеспеченности с 1 до 0,9 на срок, необходимый для преодоления в субъектах Российской Федерации последствий, вызванных распространением новой коронавирусной инфекции COVID-19</w:t>
            </w:r>
            <w:r w:rsidRPr="00202CAB">
              <w:rPr>
                <w:rFonts w:ascii="Times New Roman" w:hAnsi="Times New Roman" w:cs="Times New Roman"/>
                <w:color w:val="000000" w:themeColor="text1"/>
                <w:sz w:val="24"/>
                <w:szCs w:val="24"/>
              </w:rPr>
              <w:t>»</w:t>
            </w:r>
            <w:r w:rsidRPr="00202CAB">
              <w:rPr>
                <w:rFonts w:ascii="Times New Roman" w:hAnsi="Times New Roman" w:cs="Times New Roman"/>
                <w:sz w:val="24"/>
                <w:szCs w:val="24"/>
              </w:rPr>
              <w:t>.</w:t>
            </w:r>
          </w:p>
        </w:tc>
        <w:tc>
          <w:tcPr>
            <w:tcW w:w="8646" w:type="dxa"/>
          </w:tcPr>
          <w:p w:rsidR="00202CAB" w:rsidRPr="00202CAB" w:rsidRDefault="00202CAB" w:rsidP="00E46AC9">
            <w:pPr>
              <w:jc w:val="both"/>
              <w:rPr>
                <w:rFonts w:ascii="Times New Roman" w:hAnsi="Times New Roman" w:cs="Times New Roman"/>
                <w:sz w:val="24"/>
                <w:szCs w:val="24"/>
              </w:rPr>
            </w:pPr>
            <w:r w:rsidRPr="00202CAB">
              <w:rPr>
                <w:rFonts w:ascii="Times New Roman" w:hAnsi="Times New Roman" w:cs="Times New Roman"/>
                <w:sz w:val="24"/>
                <w:szCs w:val="24"/>
              </w:rPr>
              <w:t xml:space="preserve">      По </w:t>
            </w:r>
            <w:r w:rsidRPr="00202CAB">
              <w:rPr>
                <w:rFonts w:ascii="Times New Roman" w:hAnsi="Times New Roman" w:cs="Times New Roman"/>
                <w:color w:val="000000" w:themeColor="text1"/>
                <w:sz w:val="24"/>
                <w:szCs w:val="24"/>
              </w:rPr>
              <w:t xml:space="preserve">мнению Минфина России, применение механизма компенсации снижения дотации на выравнивание при превышении критерия выравнивания, реализованного в соответствии с подпунктом «в» пункта 1 перечня поручений от </w:t>
            </w:r>
            <w:r w:rsidR="00E46AC9">
              <w:rPr>
                <w:rFonts w:ascii="Times New Roman" w:hAnsi="Times New Roman" w:cs="Times New Roman"/>
                <w:color w:val="000000" w:themeColor="text1"/>
                <w:sz w:val="24"/>
                <w:szCs w:val="24"/>
              </w:rPr>
              <w:t xml:space="preserve">30 сентября 2021 г. № Пр-1835, </w:t>
            </w:r>
            <w:r w:rsidRPr="00202CAB">
              <w:rPr>
                <w:rFonts w:ascii="Times New Roman" w:hAnsi="Times New Roman" w:cs="Times New Roman"/>
                <w:color w:val="000000" w:themeColor="text1"/>
                <w:sz w:val="24"/>
                <w:szCs w:val="24"/>
              </w:rPr>
              <w:t xml:space="preserve">является более предпочтительным способом стимулирования субъектов Российской Федерации к росту налогового потенциала, чем предложения, изложенные в подпункте «в» </w:t>
            </w:r>
            <w:r w:rsidRPr="00202CAB">
              <w:rPr>
                <w:rFonts w:ascii="Times New Roman" w:hAnsi="Times New Roman" w:cs="Times New Roman"/>
                <w:sz w:val="24"/>
                <w:szCs w:val="24"/>
              </w:rPr>
              <w:t>пункта 7 поручения № Пр-45ГС от 16 января 2021 года , которые подразумевает перераспределение дотации на выравнивание от наименее обеспеченных в пользу самодостаточных регионов и увеличению дифференциации субъектов Российской Федерации по уровню бюджетной обеспеченности.</w:t>
            </w:r>
          </w:p>
          <w:p w:rsidR="00202CAB" w:rsidRPr="00202CAB" w:rsidRDefault="00202CAB" w:rsidP="003A733E">
            <w:pPr>
              <w:rPr>
                <w:rFonts w:ascii="Times New Roman" w:hAnsi="Times New Roman" w:cs="Times New Roman"/>
                <w:sz w:val="24"/>
                <w:szCs w:val="24"/>
              </w:rPr>
            </w:pPr>
          </w:p>
        </w:tc>
      </w:tr>
      <w:tr w:rsidR="00202CAB" w:rsidRPr="00202CAB" w:rsidTr="00F24BCB">
        <w:tc>
          <w:tcPr>
            <w:tcW w:w="14737" w:type="dxa"/>
            <w:gridSpan w:val="3"/>
          </w:tcPr>
          <w:p w:rsidR="00202CAB" w:rsidRPr="00202CAB" w:rsidRDefault="00202CAB" w:rsidP="00202CAB">
            <w:pPr>
              <w:jc w:val="center"/>
              <w:rPr>
                <w:rFonts w:ascii="Times New Roman" w:hAnsi="Times New Roman" w:cs="Times New Roman"/>
                <w:sz w:val="24"/>
                <w:szCs w:val="24"/>
              </w:rPr>
            </w:pPr>
            <w:r>
              <w:rPr>
                <w:rFonts w:ascii="Times New Roman" w:hAnsi="Times New Roman" w:cs="Times New Roman"/>
                <w:b/>
                <w:color w:val="000000" w:themeColor="text1"/>
                <w:sz w:val="24"/>
                <w:szCs w:val="24"/>
              </w:rPr>
              <w:t xml:space="preserve">По вопросам изменения подходов к определению объема </w:t>
            </w:r>
            <w:r w:rsidRPr="00202CAB">
              <w:rPr>
                <w:rFonts w:ascii="Times New Roman" w:hAnsi="Times New Roman" w:cs="Times New Roman"/>
                <w:b/>
                <w:color w:val="000000" w:themeColor="text1"/>
                <w:sz w:val="24"/>
                <w:szCs w:val="24"/>
              </w:rPr>
              <w:t>дотаций на выравнивание</w:t>
            </w:r>
          </w:p>
        </w:tc>
      </w:tr>
      <w:tr w:rsidR="00202CAB" w:rsidRPr="00202CAB" w:rsidTr="00D30BEC">
        <w:tc>
          <w:tcPr>
            <w:tcW w:w="421" w:type="dxa"/>
          </w:tcPr>
          <w:p w:rsidR="00202CAB" w:rsidRPr="00202CAB" w:rsidRDefault="00202CAB" w:rsidP="003A733E">
            <w:pPr>
              <w:rPr>
                <w:rFonts w:ascii="Times New Roman" w:hAnsi="Times New Roman" w:cs="Times New Roman"/>
                <w:color w:val="000000" w:themeColor="text1"/>
                <w:sz w:val="24"/>
                <w:szCs w:val="24"/>
              </w:rPr>
            </w:pPr>
            <w:r w:rsidRPr="00202CAB">
              <w:rPr>
                <w:rFonts w:ascii="Times New Roman" w:hAnsi="Times New Roman" w:cs="Times New Roman"/>
                <w:color w:val="000000" w:themeColor="text1"/>
                <w:sz w:val="24"/>
                <w:szCs w:val="24"/>
              </w:rPr>
              <w:t>6</w:t>
            </w:r>
          </w:p>
        </w:tc>
        <w:tc>
          <w:tcPr>
            <w:tcW w:w="5670" w:type="dxa"/>
          </w:tcPr>
          <w:p w:rsidR="00202CAB" w:rsidRPr="00202CAB" w:rsidRDefault="00202CAB" w:rsidP="003A733E">
            <w:pPr>
              <w:rPr>
                <w:rFonts w:ascii="Times New Roman" w:hAnsi="Times New Roman" w:cs="Times New Roman"/>
                <w:color w:val="000000" w:themeColor="text1"/>
                <w:sz w:val="24"/>
                <w:szCs w:val="24"/>
              </w:rPr>
            </w:pPr>
            <w:r w:rsidRPr="00202CAB">
              <w:rPr>
                <w:rFonts w:ascii="Times New Roman" w:hAnsi="Times New Roman" w:cs="Times New Roman"/>
                <w:color w:val="000000" w:themeColor="text1"/>
                <w:sz w:val="24"/>
                <w:szCs w:val="24"/>
              </w:rPr>
              <w:t>подпункт «а» пункта 7 поручения от 16 января 2021 года № Пр-45ГС:</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«проработать вопросы:</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color w:val="000000" w:themeColor="text1"/>
                <w:sz w:val="24"/>
                <w:szCs w:val="24"/>
              </w:rPr>
              <w:lastRenderedPageBreak/>
              <w:t>а) увеличения объема межбюджетных трансфертов бюджетам субъектов Российской Федерации</w:t>
            </w:r>
            <w:r w:rsidRPr="00202CAB">
              <w:rPr>
                <w:rFonts w:ascii="Times New Roman" w:hAnsi="Times New Roman" w:cs="Times New Roman"/>
                <w:sz w:val="24"/>
                <w:szCs w:val="24"/>
              </w:rPr>
              <w:t>, не имеющих целевого характера</w:t>
            </w:r>
            <w:r w:rsidRPr="00202CAB">
              <w:rPr>
                <w:rFonts w:ascii="Times New Roman" w:hAnsi="Times New Roman" w:cs="Times New Roman"/>
                <w:color w:val="000000" w:themeColor="text1"/>
                <w:sz w:val="24"/>
                <w:szCs w:val="24"/>
              </w:rPr>
              <w:t>»</w:t>
            </w:r>
          </w:p>
        </w:tc>
        <w:tc>
          <w:tcPr>
            <w:tcW w:w="8646"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lastRenderedPageBreak/>
              <w:t xml:space="preserve">По мнению Минфина России, учитывая, что целевые межбюджетные трансферты предоставляются в целях достижения конкретного, измеримого результата с заданным объемом бюджетных ассигнований, замена целевых межбюджетных </w:t>
            </w:r>
            <w:r w:rsidRPr="00202CAB">
              <w:rPr>
                <w:rFonts w:ascii="Times New Roman" w:hAnsi="Times New Roman" w:cs="Times New Roman"/>
                <w:sz w:val="24"/>
                <w:szCs w:val="24"/>
              </w:rPr>
              <w:lastRenderedPageBreak/>
              <w:t>трансфертов нецелевыми, не имеющими привязки к результату, представляется неэффективным.</w:t>
            </w:r>
          </w:p>
        </w:tc>
      </w:tr>
      <w:tr w:rsidR="00202CAB" w:rsidRPr="00202CAB" w:rsidTr="003A733E">
        <w:tc>
          <w:tcPr>
            <w:tcW w:w="14737" w:type="dxa"/>
            <w:gridSpan w:val="3"/>
          </w:tcPr>
          <w:p w:rsidR="00202CAB" w:rsidRPr="00202CAB" w:rsidRDefault="00202CAB" w:rsidP="00202CAB">
            <w:pPr>
              <w:jc w:val="center"/>
              <w:rPr>
                <w:rFonts w:ascii="Times New Roman" w:hAnsi="Times New Roman" w:cs="Times New Roman"/>
                <w:b/>
                <w:sz w:val="24"/>
                <w:szCs w:val="24"/>
              </w:rPr>
            </w:pPr>
            <w:r w:rsidRPr="00202CAB">
              <w:rPr>
                <w:rFonts w:ascii="Times New Roman" w:hAnsi="Times New Roman" w:cs="Times New Roman"/>
                <w:b/>
                <w:sz w:val="24"/>
                <w:szCs w:val="24"/>
              </w:rPr>
              <w:lastRenderedPageBreak/>
              <w:t>По вопросам о внесении изменений в методику расчета дотации на выравнивания бюджетной обеспеченности</w:t>
            </w:r>
          </w:p>
        </w:tc>
      </w:tr>
      <w:tr w:rsidR="00202CAB" w:rsidRPr="00202CAB" w:rsidTr="00D30BEC">
        <w:tc>
          <w:tcPr>
            <w:tcW w:w="421" w:type="dxa"/>
          </w:tcPr>
          <w:p w:rsidR="00202CAB" w:rsidRPr="00202CAB" w:rsidRDefault="00202CAB" w:rsidP="003A733E">
            <w:pPr>
              <w:rPr>
                <w:rFonts w:ascii="Times New Roman" w:hAnsi="Times New Roman" w:cs="Times New Roman"/>
                <w:color w:val="000000" w:themeColor="text1"/>
                <w:sz w:val="24"/>
                <w:szCs w:val="24"/>
              </w:rPr>
            </w:pPr>
            <w:r w:rsidRPr="00202CAB">
              <w:rPr>
                <w:rFonts w:ascii="Times New Roman" w:hAnsi="Times New Roman" w:cs="Times New Roman"/>
                <w:color w:val="000000" w:themeColor="text1"/>
                <w:sz w:val="24"/>
                <w:szCs w:val="24"/>
              </w:rPr>
              <w:t>7</w:t>
            </w:r>
          </w:p>
        </w:tc>
        <w:tc>
          <w:tcPr>
            <w:tcW w:w="5670"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подпункт «е-1» пункта 1 поручения от 16 августа 2021 года № Пр-1464:</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«обеспечить внесение изменений в нормативные правовые акты Российской Федерации, предусмотрев:</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 xml:space="preserve">    корректировку методики распределения дотаций на выравнивание бюджетной обеспеченности субъектов Российской Федерации в целях покрытия их потребности в финансировании содержания и эксплуатации гидротехнических сооружений, предназначенных для защиты населения и территорий от негативного воздействия вод»</w:t>
            </w:r>
          </w:p>
        </w:tc>
        <w:tc>
          <w:tcPr>
            <w:tcW w:w="8646" w:type="dxa"/>
          </w:tcPr>
          <w:p w:rsidR="00202CAB" w:rsidRPr="00202CAB" w:rsidRDefault="00202CAB" w:rsidP="0025476E">
            <w:pPr>
              <w:jc w:val="both"/>
              <w:rPr>
                <w:rFonts w:ascii="Times New Roman" w:hAnsi="Times New Roman" w:cs="Times New Roman"/>
                <w:sz w:val="24"/>
                <w:szCs w:val="24"/>
              </w:rPr>
            </w:pPr>
            <w:r w:rsidRPr="00202CAB">
              <w:rPr>
                <w:rFonts w:ascii="Times New Roman" w:hAnsi="Times New Roman" w:cs="Times New Roman"/>
                <w:sz w:val="24"/>
                <w:szCs w:val="24"/>
              </w:rPr>
              <w:t>По мнению Минфина России, дополнительного изменения методики в целях учета расходов на реализацию полномочий в области обеспечения безопасности гидротехнических сооружений не требуется в связи с их учетом при определении расчетных объемов расходных обязательств в целях распределения дотаций на выравнивание.</w:t>
            </w:r>
          </w:p>
        </w:tc>
      </w:tr>
      <w:tr w:rsidR="00202CAB" w:rsidRPr="00202CAB" w:rsidTr="00D30BEC">
        <w:tc>
          <w:tcPr>
            <w:tcW w:w="421"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8</w:t>
            </w:r>
          </w:p>
        </w:tc>
        <w:tc>
          <w:tcPr>
            <w:tcW w:w="5670" w:type="dxa"/>
          </w:tcPr>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подпункт «б» пункта 1 поручения от 3 октября 2023 года № Пр-2005:</w:t>
            </w:r>
          </w:p>
          <w:p w:rsidR="00202CAB" w:rsidRPr="00202CAB" w:rsidRDefault="00202CAB" w:rsidP="003A733E">
            <w:pPr>
              <w:rPr>
                <w:rFonts w:ascii="Times New Roman" w:hAnsi="Times New Roman" w:cs="Times New Roman"/>
                <w:sz w:val="24"/>
                <w:szCs w:val="24"/>
              </w:rPr>
            </w:pPr>
            <w:r w:rsidRPr="00202CAB">
              <w:rPr>
                <w:rFonts w:ascii="Times New Roman" w:hAnsi="Times New Roman" w:cs="Times New Roman"/>
                <w:sz w:val="24"/>
                <w:szCs w:val="24"/>
              </w:rPr>
              <w:t xml:space="preserve">«рассмотреть вопрос о внесении в методику распределения дотаций на выравнивание бюджетной обеспеченности субъектов Российской Федерации, утвержденную Правительством Российской Федерации, изменений, предусматривающих учет особенностей (специфики) осуществления расходов субъектами Российской Федерации, территории или части территорий которых входят в состав Арктической зоны Российской Федерации, и при необходимости внести указанные изменения» </w:t>
            </w:r>
          </w:p>
        </w:tc>
        <w:tc>
          <w:tcPr>
            <w:tcW w:w="8646" w:type="dxa"/>
          </w:tcPr>
          <w:p w:rsidR="00202CAB" w:rsidRPr="00202CAB" w:rsidRDefault="00202CAB" w:rsidP="0025476E">
            <w:pPr>
              <w:jc w:val="both"/>
              <w:rPr>
                <w:rFonts w:ascii="Times New Roman" w:hAnsi="Times New Roman" w:cs="Times New Roman"/>
                <w:sz w:val="24"/>
                <w:szCs w:val="24"/>
              </w:rPr>
            </w:pPr>
            <w:r w:rsidRPr="00202CAB">
              <w:rPr>
                <w:rFonts w:ascii="Times New Roman" w:hAnsi="Times New Roman" w:cs="Times New Roman"/>
                <w:sz w:val="24"/>
                <w:szCs w:val="24"/>
              </w:rPr>
              <w:t>По информации Минфина России, методика обеспечивает учет удорожающих факторов, влияющих на повышенный уровень расходов субъектов Российской Федерации, относящихся к Арктической зоне и районам Крайнего Севера, в том числе за счет использования ряда коэффициентов при расчете индекса бюджетных расходов:</w:t>
            </w:r>
          </w:p>
          <w:p w:rsidR="00202CAB" w:rsidRPr="00202CAB" w:rsidRDefault="00202CAB" w:rsidP="0025476E">
            <w:pPr>
              <w:jc w:val="both"/>
              <w:rPr>
                <w:rFonts w:ascii="Times New Roman" w:hAnsi="Times New Roman" w:cs="Times New Roman"/>
                <w:sz w:val="24"/>
                <w:szCs w:val="24"/>
              </w:rPr>
            </w:pPr>
            <w:r w:rsidRPr="00202CAB">
              <w:rPr>
                <w:rFonts w:ascii="Times New Roman" w:hAnsi="Times New Roman" w:cs="Times New Roman"/>
                <w:sz w:val="24"/>
                <w:szCs w:val="24"/>
              </w:rPr>
              <w:t xml:space="preserve">- коэффициента дифференциации заработной платы, учитывающего территориальные надбавки к заработной плате в отношении районов Крайнего Севера; </w:t>
            </w:r>
          </w:p>
          <w:p w:rsidR="00202CAB" w:rsidRPr="00202CAB" w:rsidRDefault="00202CAB" w:rsidP="0025476E">
            <w:pPr>
              <w:jc w:val="both"/>
              <w:rPr>
                <w:rFonts w:ascii="Times New Roman" w:hAnsi="Times New Roman" w:cs="Times New Roman"/>
                <w:sz w:val="24"/>
                <w:szCs w:val="24"/>
              </w:rPr>
            </w:pPr>
            <w:r w:rsidRPr="00202CAB">
              <w:rPr>
                <w:rFonts w:ascii="Times New Roman" w:hAnsi="Times New Roman" w:cs="Times New Roman"/>
                <w:sz w:val="24"/>
                <w:szCs w:val="24"/>
              </w:rPr>
              <w:t xml:space="preserve">- коэффициента уровня цен, учитывающего стоимость жилищно-коммунальных услуг и отношение стоимости фиксированного набора потребительских товаров и услуг региона к среднероссийскому уровню; </w:t>
            </w:r>
          </w:p>
          <w:p w:rsidR="00202CAB" w:rsidRPr="00202CAB" w:rsidRDefault="00202CAB" w:rsidP="0025476E">
            <w:pPr>
              <w:jc w:val="both"/>
              <w:rPr>
                <w:rFonts w:ascii="Times New Roman" w:hAnsi="Times New Roman" w:cs="Times New Roman"/>
                <w:sz w:val="24"/>
                <w:szCs w:val="24"/>
              </w:rPr>
            </w:pPr>
            <w:r w:rsidRPr="00202CAB">
              <w:rPr>
                <w:rFonts w:ascii="Times New Roman" w:hAnsi="Times New Roman" w:cs="Times New Roman"/>
                <w:sz w:val="24"/>
                <w:szCs w:val="24"/>
              </w:rPr>
              <w:t>- коэффициента транспортной доступности, учитывающего степень обеспеченности региона транспортной инфраструктурой с учетом его удаленных территорий, и удорожающие факторы, связанные с долей населения, проживающего в малочисленных населенных пунктах.</w:t>
            </w:r>
          </w:p>
          <w:p w:rsidR="00202CAB" w:rsidRPr="00202CAB" w:rsidRDefault="00202CAB" w:rsidP="0025476E">
            <w:pPr>
              <w:jc w:val="both"/>
              <w:rPr>
                <w:rFonts w:ascii="Times New Roman" w:hAnsi="Times New Roman" w:cs="Times New Roman"/>
                <w:sz w:val="24"/>
                <w:szCs w:val="24"/>
              </w:rPr>
            </w:pPr>
            <w:r w:rsidRPr="00202CAB">
              <w:rPr>
                <w:rFonts w:ascii="Times New Roman" w:hAnsi="Times New Roman" w:cs="Times New Roman"/>
                <w:sz w:val="24"/>
                <w:szCs w:val="24"/>
              </w:rPr>
              <w:t xml:space="preserve">         Однако подход к расчету указанных коэффициентов регулярно меняется. Изменение подходов к расчету указанных коэффициентов может повлиять на </w:t>
            </w:r>
            <w:r w:rsidRPr="00202CAB">
              <w:rPr>
                <w:rFonts w:ascii="Times New Roman" w:hAnsi="Times New Roman" w:cs="Times New Roman"/>
                <w:sz w:val="24"/>
                <w:szCs w:val="24"/>
              </w:rPr>
              <w:lastRenderedPageBreak/>
              <w:t xml:space="preserve">объем дотаций на выравнивание бюджетной обеспеченности, в том числе для регионов Арктической зоны (см. рисунок). </w:t>
            </w:r>
          </w:p>
          <w:p w:rsidR="0025476E" w:rsidRPr="0025476E" w:rsidRDefault="0025476E" w:rsidP="0025476E">
            <w:pPr>
              <w:ind w:firstLine="708"/>
              <w:jc w:val="both"/>
              <w:rPr>
                <w:rFonts w:ascii="Times New Roman" w:hAnsi="Times New Roman" w:cs="Times New Roman"/>
                <w:sz w:val="24"/>
                <w:szCs w:val="24"/>
              </w:rPr>
            </w:pPr>
            <w:r w:rsidRPr="0025476E">
              <w:rPr>
                <w:rFonts w:ascii="Times New Roman" w:hAnsi="Times New Roman" w:cs="Times New Roman"/>
                <w:sz w:val="24"/>
                <w:szCs w:val="24"/>
              </w:rPr>
              <w:t>Порядок формирования  «модельного бюджета» не позволяет количественно оценить влияние  показателя отношения продолжительности отопительного сезона на объем дотаций  на выравнивание  регионов Арктической зоны.</w:t>
            </w:r>
          </w:p>
          <w:p w:rsidR="00202CAB" w:rsidRPr="00202CAB" w:rsidRDefault="0025476E" w:rsidP="00CD4576">
            <w:pPr>
              <w:pStyle w:val="a7"/>
              <w:overflowPunct/>
              <w:autoSpaceDE/>
              <w:autoSpaceDN/>
              <w:adjustRightInd/>
              <w:spacing w:line="240" w:lineRule="auto"/>
              <w:ind w:left="31" w:firstLine="563"/>
              <w:textAlignment w:val="auto"/>
              <w:rPr>
                <w:sz w:val="24"/>
                <w:szCs w:val="24"/>
              </w:rPr>
            </w:pPr>
            <w:r w:rsidRPr="0025476E">
              <w:rPr>
                <w:sz w:val="24"/>
                <w:szCs w:val="24"/>
              </w:rPr>
              <w:t xml:space="preserve">  Проведенный анализ выявил специфические свойства, характерные для регионов Арктической зоны. Так, объектами анализа и расчетов в Методике № 670 являются субъекты Российской Федерации. В этой связи применяемые удорожающие коэффициенты у субъектов Российской Федерации, входящих в состав Арктической зоны частично, имеют значение ниже, чем у регионов, полностью входящих в Арктическую зону. При этом пять субъектов Российской Федерации  входят в состав Арктической зоны частично.</w:t>
            </w:r>
          </w:p>
        </w:tc>
      </w:tr>
    </w:tbl>
    <w:p w:rsidR="0045071A" w:rsidRDefault="0045071A" w:rsidP="00202CAB">
      <w:pPr>
        <w:widowControl w:val="0"/>
        <w:suppressAutoHyphens/>
        <w:spacing w:after="0" w:line="240" w:lineRule="auto"/>
        <w:ind w:firstLine="709"/>
        <w:jc w:val="center"/>
        <w:rPr>
          <w:rFonts w:ascii="Times New Roman" w:eastAsia="Times New Roman" w:hAnsi="Times New Roman" w:cs="Times New Roman"/>
          <w:b/>
          <w:sz w:val="28"/>
          <w:szCs w:val="28"/>
          <w:lang w:eastAsia="ru-RU"/>
        </w:rPr>
        <w:sectPr w:rsidR="0045071A" w:rsidSect="00B63D75">
          <w:headerReference w:type="default" r:id="rId8"/>
          <w:pgSz w:w="16838" w:h="11906" w:orient="landscape"/>
          <w:pgMar w:top="1701" w:right="1134" w:bottom="850" w:left="1134" w:header="708" w:footer="708" w:gutter="0"/>
          <w:cols w:space="708"/>
          <w:titlePg/>
          <w:docGrid w:linePitch="360"/>
        </w:sectPr>
      </w:pPr>
    </w:p>
    <w:p w:rsidR="0045071A" w:rsidRDefault="0045071A" w:rsidP="0045071A">
      <w:pPr>
        <w:shd w:val="clear" w:color="auto" w:fill="FFFFFF"/>
        <w:rPr>
          <w:color w:val="000000" w:themeColor="text1"/>
        </w:rPr>
      </w:pPr>
    </w:p>
    <w:tbl>
      <w:tblPr>
        <w:tblStyle w:val="a6"/>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84"/>
        <w:gridCol w:w="4949"/>
      </w:tblGrid>
      <w:tr w:rsidR="0045071A" w:rsidRPr="00CA2AA6" w:rsidTr="003A733E">
        <w:trPr>
          <w:trHeight w:val="2926"/>
        </w:trPr>
        <w:tc>
          <w:tcPr>
            <w:tcW w:w="4690" w:type="dxa"/>
          </w:tcPr>
          <w:p w:rsidR="0045071A" w:rsidRPr="00CA2AA6" w:rsidRDefault="0045071A" w:rsidP="003A733E">
            <w:pPr>
              <w:rPr>
                <w:color w:val="FF0000"/>
              </w:rPr>
            </w:pPr>
            <w:r w:rsidRPr="002B0101">
              <w:rPr>
                <w:noProof/>
                <w:color w:val="FF0000"/>
                <w:lang w:eastAsia="ru-RU"/>
              </w:rPr>
              <w:drawing>
                <wp:inline distT="0" distB="0" distL="0" distR="0" wp14:anchorId="223A5CD8" wp14:editId="34088417">
                  <wp:extent cx="2965837" cy="1899920"/>
                  <wp:effectExtent l="0" t="0" r="6350" b="508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943" w:type="dxa"/>
          </w:tcPr>
          <w:p w:rsidR="0045071A" w:rsidRPr="00CA2AA6" w:rsidRDefault="0045071A" w:rsidP="003A733E">
            <w:pPr>
              <w:rPr>
                <w:color w:val="FF0000"/>
              </w:rPr>
            </w:pPr>
            <w:r w:rsidRPr="002B0101">
              <w:rPr>
                <w:noProof/>
                <w:color w:val="FF0000"/>
                <w:lang w:eastAsia="ru-RU"/>
              </w:rPr>
              <w:drawing>
                <wp:inline distT="0" distB="0" distL="0" distR="0" wp14:anchorId="45C033FB" wp14:editId="799704EA">
                  <wp:extent cx="3148274" cy="1899920"/>
                  <wp:effectExtent l="0" t="0" r="0" b="508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45071A" w:rsidRPr="00CA2AA6" w:rsidTr="003A733E">
        <w:trPr>
          <w:trHeight w:val="2926"/>
        </w:trPr>
        <w:tc>
          <w:tcPr>
            <w:tcW w:w="4690" w:type="dxa"/>
          </w:tcPr>
          <w:p w:rsidR="0045071A" w:rsidRPr="00CA2AA6" w:rsidRDefault="0045071A" w:rsidP="003A733E">
            <w:pPr>
              <w:rPr>
                <w:color w:val="FF0000"/>
              </w:rPr>
            </w:pPr>
            <w:r w:rsidRPr="002B0101">
              <w:rPr>
                <w:noProof/>
                <w:color w:val="FF0000"/>
                <w:lang w:eastAsia="ru-RU"/>
              </w:rPr>
              <w:drawing>
                <wp:inline distT="0" distB="0" distL="0" distR="0" wp14:anchorId="31A471F4" wp14:editId="0CB47BAE">
                  <wp:extent cx="2926080" cy="1884459"/>
                  <wp:effectExtent l="0" t="0" r="7620" b="190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943" w:type="dxa"/>
          </w:tcPr>
          <w:p w:rsidR="0045071A" w:rsidRPr="00CA2AA6" w:rsidRDefault="0045071A" w:rsidP="003A733E">
            <w:pPr>
              <w:rPr>
                <w:color w:val="FF0000"/>
              </w:rPr>
            </w:pPr>
            <w:r w:rsidRPr="002B0101">
              <w:rPr>
                <w:noProof/>
                <w:color w:val="FF0000"/>
                <w:lang w:eastAsia="ru-RU"/>
              </w:rPr>
              <w:drawing>
                <wp:inline distT="0" distB="0" distL="0" distR="0" wp14:anchorId="02F9741E" wp14:editId="36E85553">
                  <wp:extent cx="3045350" cy="1908313"/>
                  <wp:effectExtent l="0" t="0" r="317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45071A" w:rsidRPr="00CA2AA6" w:rsidTr="003A733E">
        <w:trPr>
          <w:trHeight w:val="2926"/>
        </w:trPr>
        <w:tc>
          <w:tcPr>
            <w:tcW w:w="4690" w:type="dxa"/>
          </w:tcPr>
          <w:p w:rsidR="0045071A" w:rsidRPr="00CA2AA6" w:rsidRDefault="0045071A" w:rsidP="003A733E">
            <w:pPr>
              <w:rPr>
                <w:color w:val="FF0000"/>
              </w:rPr>
            </w:pPr>
            <w:r w:rsidRPr="002B0101">
              <w:rPr>
                <w:noProof/>
                <w:color w:val="FF0000"/>
                <w:lang w:eastAsia="ru-RU"/>
              </w:rPr>
              <w:drawing>
                <wp:inline distT="0" distB="0" distL="0" distR="0" wp14:anchorId="0A1E345D" wp14:editId="43CB8AC8">
                  <wp:extent cx="2965450" cy="2214748"/>
                  <wp:effectExtent l="0" t="0" r="635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943" w:type="dxa"/>
          </w:tcPr>
          <w:p w:rsidR="0045071A" w:rsidRPr="00CA2AA6" w:rsidRDefault="0045071A" w:rsidP="003A733E">
            <w:pPr>
              <w:rPr>
                <w:color w:val="FF0000"/>
              </w:rPr>
            </w:pPr>
            <w:r w:rsidRPr="005E4B17">
              <w:rPr>
                <w:noProof/>
                <w:color w:val="FF0000"/>
                <w:lang w:eastAsia="ru-RU"/>
              </w:rPr>
              <w:drawing>
                <wp:inline distT="0" distB="0" distL="0" distR="0" wp14:anchorId="729800EE" wp14:editId="4C68A857">
                  <wp:extent cx="3087508" cy="2195499"/>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45071A" w:rsidRPr="001C37DF" w:rsidRDefault="0045071A" w:rsidP="001C37DF">
      <w:pPr>
        <w:spacing w:line="240" w:lineRule="auto"/>
        <w:ind w:firstLine="709"/>
        <w:jc w:val="both"/>
        <w:rPr>
          <w:rFonts w:ascii="Times New Roman" w:hAnsi="Times New Roman" w:cs="Times New Roman"/>
          <w:i/>
          <w:iCs/>
          <w:color w:val="000000" w:themeColor="text1"/>
          <w:sz w:val="24"/>
          <w:szCs w:val="24"/>
        </w:rPr>
      </w:pPr>
      <w:r w:rsidRPr="001C37DF">
        <w:rPr>
          <w:rFonts w:ascii="Times New Roman" w:hAnsi="Times New Roman" w:cs="Times New Roman"/>
          <w:i/>
          <w:iCs/>
          <w:color w:val="000000" w:themeColor="text1"/>
          <w:sz w:val="24"/>
          <w:szCs w:val="24"/>
        </w:rPr>
        <w:t xml:space="preserve">Рисунок </w:t>
      </w:r>
      <w:r w:rsidR="00D30BEC" w:rsidRPr="001C37DF">
        <w:rPr>
          <w:rFonts w:ascii="Times New Roman" w:hAnsi="Times New Roman" w:cs="Times New Roman"/>
          <w:i/>
          <w:iCs/>
          <w:color w:val="000000" w:themeColor="text1"/>
          <w:sz w:val="24"/>
          <w:szCs w:val="24"/>
        </w:rPr>
        <w:t>1</w:t>
      </w:r>
      <w:r w:rsidRPr="001C37DF">
        <w:rPr>
          <w:rFonts w:ascii="Times New Roman" w:hAnsi="Times New Roman" w:cs="Times New Roman"/>
          <w:i/>
          <w:iCs/>
          <w:color w:val="000000" w:themeColor="text1"/>
          <w:sz w:val="24"/>
          <w:szCs w:val="24"/>
        </w:rPr>
        <w:t>. Динамика объ</w:t>
      </w:r>
      <w:r w:rsidR="00DC19A3" w:rsidRPr="001C37DF">
        <w:rPr>
          <w:rFonts w:ascii="Times New Roman" w:hAnsi="Times New Roman" w:cs="Times New Roman"/>
          <w:i/>
          <w:iCs/>
          <w:color w:val="000000" w:themeColor="text1"/>
          <w:sz w:val="24"/>
          <w:szCs w:val="24"/>
        </w:rPr>
        <w:t>е</w:t>
      </w:r>
      <w:r w:rsidRPr="001C37DF">
        <w:rPr>
          <w:rFonts w:ascii="Times New Roman" w:hAnsi="Times New Roman" w:cs="Times New Roman"/>
          <w:i/>
          <w:iCs/>
          <w:color w:val="000000" w:themeColor="text1"/>
          <w:sz w:val="24"/>
          <w:szCs w:val="24"/>
        </w:rPr>
        <w:t>мов дотаций на ВБО в отдельных регионах, относящихся к Арктической зоне, млн руб. (Источник: данные Федерального казначейства).</w:t>
      </w:r>
    </w:p>
    <w:p w:rsidR="0045071A" w:rsidRDefault="0045071A" w:rsidP="0045071A">
      <w:pPr>
        <w:spacing w:line="240" w:lineRule="auto"/>
      </w:pPr>
    </w:p>
    <w:p w:rsidR="00202CAB" w:rsidRPr="00202CAB" w:rsidRDefault="00202CAB" w:rsidP="00202CAB">
      <w:pPr>
        <w:widowControl w:val="0"/>
        <w:suppressAutoHyphens/>
        <w:spacing w:after="0" w:line="240" w:lineRule="auto"/>
        <w:ind w:firstLine="709"/>
        <w:jc w:val="center"/>
        <w:rPr>
          <w:rFonts w:ascii="Times New Roman" w:eastAsia="Times New Roman" w:hAnsi="Times New Roman" w:cs="Times New Roman"/>
          <w:b/>
          <w:sz w:val="28"/>
          <w:szCs w:val="28"/>
          <w:lang w:eastAsia="ru-RU"/>
        </w:rPr>
      </w:pPr>
    </w:p>
    <w:sectPr w:rsidR="00202CAB" w:rsidRPr="00202CAB" w:rsidSect="008E6825">
      <w:pgSz w:w="11907" w:h="16840"/>
      <w:pgMar w:top="1134" w:right="851" w:bottom="1134" w:left="1418" w:header="709" w:footer="709" w:gutter="0"/>
      <w:paperSrc w:first="1" w:other="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977" w:rsidRDefault="00B43977" w:rsidP="005F0268">
      <w:pPr>
        <w:spacing w:after="0" w:line="240" w:lineRule="auto"/>
      </w:pPr>
      <w:r>
        <w:separator/>
      </w:r>
    </w:p>
  </w:endnote>
  <w:endnote w:type="continuationSeparator" w:id="0">
    <w:p w:rsidR="00B43977" w:rsidRDefault="00B43977" w:rsidP="005F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977" w:rsidRDefault="00B43977" w:rsidP="005F0268">
      <w:pPr>
        <w:spacing w:after="0" w:line="240" w:lineRule="auto"/>
      </w:pPr>
      <w:r>
        <w:separator/>
      </w:r>
    </w:p>
  </w:footnote>
  <w:footnote w:type="continuationSeparator" w:id="0">
    <w:p w:rsidR="00B43977" w:rsidRDefault="00B43977" w:rsidP="005F0268">
      <w:pPr>
        <w:spacing w:after="0" w:line="240" w:lineRule="auto"/>
      </w:pPr>
      <w:r>
        <w:continuationSeparator/>
      </w:r>
    </w:p>
  </w:footnote>
  <w:footnote w:id="1">
    <w:p w:rsidR="00202CAB" w:rsidRDefault="00202CAB" w:rsidP="00202CAB">
      <w:pPr>
        <w:pStyle w:val="a3"/>
        <w:ind w:firstLine="0"/>
      </w:pPr>
      <w:r>
        <w:rPr>
          <w:rStyle w:val="a5"/>
        </w:rPr>
        <w:footnoteRef/>
      </w:r>
      <w:r>
        <w:t xml:space="preserve"> Федеральным законом от 29 ноября 2021 года №</w:t>
      </w:r>
      <w:r w:rsidRPr="00084C1B">
        <w:t>384-</w:t>
      </w:r>
      <w:r>
        <w:t>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предусмотрено включение пункта</w:t>
      </w:r>
      <w:r w:rsidRPr="002231C6">
        <w:t>:</w:t>
      </w:r>
      <w:r>
        <w:t xml:space="preserve"> «</w:t>
      </w:r>
      <w:r w:rsidRPr="002231C6">
        <w:t>Общий объем дотаций на выравнивание бюджетной обеспеченности субъектов Российской Федерации, подлежащих утверждению на очередной финансовый год, не может быть менее общего объема указанных дотаций, утвержденных на текущий финансовый год, проиндексированного на прогнозируемый уровень инфляции в соответствующем финансовом году</w:t>
      </w:r>
      <w:r>
        <w:t>».</w:t>
      </w:r>
    </w:p>
  </w:footnote>
  <w:footnote w:id="2">
    <w:p w:rsidR="00EE7CF6" w:rsidRPr="00EE7CF6" w:rsidRDefault="00EE7CF6" w:rsidP="00EE7CF6">
      <w:pPr>
        <w:pStyle w:val="a3"/>
        <w:ind w:firstLine="0"/>
      </w:pPr>
      <w:r>
        <w:rPr>
          <w:rStyle w:val="a5"/>
        </w:rPr>
        <w:footnoteRef/>
      </w:r>
      <w:r>
        <w:t xml:space="preserve"> Письмо </w:t>
      </w:r>
      <w:r w:rsidRPr="00EE7CF6">
        <w:t>Минфина России от 5 октяб</w:t>
      </w:r>
      <w:r w:rsidR="00F0367B">
        <w:t xml:space="preserve">ря 2021 года </w:t>
      </w:r>
      <w:r>
        <w:t>№ 01-02-02/06-80555.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966413"/>
      <w:docPartObj>
        <w:docPartGallery w:val="Page Numbers (Top of Page)"/>
        <w:docPartUnique/>
      </w:docPartObj>
    </w:sdtPr>
    <w:sdtEndPr/>
    <w:sdtContent>
      <w:p w:rsidR="00B63D75" w:rsidRDefault="00B63D75">
        <w:pPr>
          <w:pStyle w:val="aa"/>
          <w:jc w:val="center"/>
        </w:pPr>
        <w:r>
          <w:fldChar w:fldCharType="begin"/>
        </w:r>
        <w:r>
          <w:instrText>PAGE   \* MERGEFORMAT</w:instrText>
        </w:r>
        <w:r>
          <w:fldChar w:fldCharType="separate"/>
        </w:r>
        <w:r w:rsidR="00877FDF">
          <w:rPr>
            <w:noProof/>
          </w:rPr>
          <w:t>5</w:t>
        </w:r>
        <w:r>
          <w:fldChar w:fldCharType="end"/>
        </w:r>
      </w:p>
    </w:sdtContent>
  </w:sdt>
  <w:p w:rsidR="00B63D75" w:rsidRDefault="00B63D7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77193"/>
    <w:multiLevelType w:val="hybridMultilevel"/>
    <w:tmpl w:val="78BAD696"/>
    <w:lvl w:ilvl="0" w:tplc="B652E63E">
      <w:start w:val="7"/>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10"/>
    <w:rsid w:val="0001394E"/>
    <w:rsid w:val="00015D60"/>
    <w:rsid w:val="00015E01"/>
    <w:rsid w:val="00031D4F"/>
    <w:rsid w:val="00150965"/>
    <w:rsid w:val="001C37DF"/>
    <w:rsid w:val="00202CAB"/>
    <w:rsid w:val="002231C2"/>
    <w:rsid w:val="0025476E"/>
    <w:rsid w:val="002B0235"/>
    <w:rsid w:val="0030775F"/>
    <w:rsid w:val="003B6910"/>
    <w:rsid w:val="003C4210"/>
    <w:rsid w:val="004145BF"/>
    <w:rsid w:val="00450079"/>
    <w:rsid w:val="0045071A"/>
    <w:rsid w:val="0046615C"/>
    <w:rsid w:val="004B3767"/>
    <w:rsid w:val="004F23BC"/>
    <w:rsid w:val="00591EA4"/>
    <w:rsid w:val="005B51D6"/>
    <w:rsid w:val="005D0EA1"/>
    <w:rsid w:val="005F0268"/>
    <w:rsid w:val="005F72BB"/>
    <w:rsid w:val="00636B4E"/>
    <w:rsid w:val="00641FA9"/>
    <w:rsid w:val="00681EED"/>
    <w:rsid w:val="00686837"/>
    <w:rsid w:val="00764A37"/>
    <w:rsid w:val="007A0A65"/>
    <w:rsid w:val="007F273F"/>
    <w:rsid w:val="00811EDE"/>
    <w:rsid w:val="008310A8"/>
    <w:rsid w:val="008538D8"/>
    <w:rsid w:val="00877FDF"/>
    <w:rsid w:val="0089551A"/>
    <w:rsid w:val="008B0FA8"/>
    <w:rsid w:val="00A02E20"/>
    <w:rsid w:val="00A058A4"/>
    <w:rsid w:val="00A10E97"/>
    <w:rsid w:val="00A62447"/>
    <w:rsid w:val="00A83050"/>
    <w:rsid w:val="00A90B2D"/>
    <w:rsid w:val="00B43977"/>
    <w:rsid w:val="00B63D75"/>
    <w:rsid w:val="00B92E00"/>
    <w:rsid w:val="00BC2635"/>
    <w:rsid w:val="00C34971"/>
    <w:rsid w:val="00C406E7"/>
    <w:rsid w:val="00C42ECA"/>
    <w:rsid w:val="00CD4576"/>
    <w:rsid w:val="00CF110C"/>
    <w:rsid w:val="00D30BEC"/>
    <w:rsid w:val="00D46D30"/>
    <w:rsid w:val="00D82F11"/>
    <w:rsid w:val="00DA4594"/>
    <w:rsid w:val="00DC19A3"/>
    <w:rsid w:val="00E0651B"/>
    <w:rsid w:val="00E304B9"/>
    <w:rsid w:val="00E46AC9"/>
    <w:rsid w:val="00EE7CF6"/>
    <w:rsid w:val="00F0367B"/>
    <w:rsid w:val="00F14982"/>
    <w:rsid w:val="00F51C78"/>
    <w:rsid w:val="00F75FBE"/>
    <w:rsid w:val="00FA1A2D"/>
    <w:rsid w:val="00FA7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9D436-8FB8-47D1-8A9B-45479A2C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F1,Ciae Ciae,Oaeno niinee Ciae Ciae,Oaeno niinee Ciae1,Текст сноски Знак1 Знак,Текст сноски Знак Знак Знак,Текст сноски Знак Знак,Текст сноски1 Знак, Знак,single space,ft"/>
    <w:basedOn w:val="a"/>
    <w:link w:val="a4"/>
    <w:uiPriority w:val="99"/>
    <w:unhideWhenUsed/>
    <w:qFormat/>
    <w:rsid w:val="005F0268"/>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style>
  <w:style w:type="character" w:customStyle="1" w:styleId="a4">
    <w:name w:val="Текст сноски Знак"/>
    <w:aliases w:val="Table_Footnote_last Знак,Текст сноски-FN Знак,Oaeno niinee-FN Знак,Oaeno niinee Ciae Знак,F1 Знак,Ciae Ciae Знак,Oaeno niinee Ciae Ciae Знак,Oaeno niinee Ciae1 Знак,Текст сноски Знак1 Знак Знак,Текст сноски Знак Знак Знак Знак,ft Знак"/>
    <w:basedOn w:val="a0"/>
    <w:link w:val="a3"/>
    <w:uiPriority w:val="99"/>
    <w:qFormat/>
    <w:rsid w:val="005F0268"/>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FZ,текст сноски"/>
    <w:basedOn w:val="a0"/>
    <w:link w:val="1"/>
    <w:uiPriority w:val="99"/>
    <w:unhideWhenUsed/>
    <w:qFormat/>
    <w:rsid w:val="005F0268"/>
    <w:rPr>
      <w:vertAlign w:val="superscript"/>
    </w:rPr>
  </w:style>
  <w:style w:type="table" w:customStyle="1" w:styleId="10">
    <w:name w:val="Сетка таблицы1"/>
    <w:basedOn w:val="a1"/>
    <w:next w:val="a6"/>
    <w:uiPriority w:val="59"/>
    <w:rsid w:val="005F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5F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5F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5F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02CAB"/>
    <w:pPr>
      <w:overflowPunct w:val="0"/>
      <w:autoSpaceDE w:val="0"/>
      <w:autoSpaceDN w:val="0"/>
      <w:adjustRightInd w:val="0"/>
      <w:spacing w:after="0" w:line="360" w:lineRule="auto"/>
      <w:ind w:left="720" w:firstLine="709"/>
      <w:contextualSpacing/>
      <w:jc w:val="both"/>
      <w:textAlignment w:val="baseline"/>
    </w:pPr>
    <w:rPr>
      <w:rFonts w:ascii="Times New Roman" w:eastAsia="Times New Roman" w:hAnsi="Times New Roman" w:cs="Times New Roman"/>
      <w:sz w:val="28"/>
      <w:szCs w:val="28"/>
      <w:lang w:eastAsia="ru-RU"/>
    </w:rPr>
  </w:style>
  <w:style w:type="paragraph" w:customStyle="1" w:styleId="1">
    <w:name w:val="Знак сноски1"/>
    <w:basedOn w:val="a"/>
    <w:link w:val="a5"/>
    <w:uiPriority w:val="99"/>
    <w:rsid w:val="00202CAB"/>
    <w:rPr>
      <w:vertAlign w:val="superscript"/>
    </w:rPr>
  </w:style>
  <w:style w:type="paragraph" w:styleId="a8">
    <w:name w:val="Balloon Text"/>
    <w:basedOn w:val="a"/>
    <w:link w:val="a9"/>
    <w:uiPriority w:val="99"/>
    <w:semiHidden/>
    <w:unhideWhenUsed/>
    <w:rsid w:val="00EE7CF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E7CF6"/>
    <w:rPr>
      <w:rFonts w:ascii="Segoe UI" w:hAnsi="Segoe UI" w:cs="Segoe UI"/>
      <w:sz w:val="18"/>
      <w:szCs w:val="18"/>
    </w:rPr>
  </w:style>
  <w:style w:type="paragraph" w:styleId="aa">
    <w:name w:val="header"/>
    <w:basedOn w:val="a"/>
    <w:link w:val="ab"/>
    <w:uiPriority w:val="99"/>
    <w:unhideWhenUsed/>
    <w:rsid w:val="00B63D7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63D75"/>
  </w:style>
  <w:style w:type="paragraph" w:styleId="ac">
    <w:name w:val="footer"/>
    <w:basedOn w:val="a"/>
    <w:link w:val="ad"/>
    <w:uiPriority w:val="99"/>
    <w:unhideWhenUsed/>
    <w:rsid w:val="00B63D7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63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55459">
      <w:bodyDiv w:val="1"/>
      <w:marLeft w:val="0"/>
      <w:marRight w:val="0"/>
      <w:marTop w:val="0"/>
      <w:marBottom w:val="0"/>
      <w:divBdr>
        <w:top w:val="none" w:sz="0" w:space="0" w:color="auto"/>
        <w:left w:val="none" w:sz="0" w:space="0" w:color="auto"/>
        <w:bottom w:val="none" w:sz="0" w:space="0" w:color="auto"/>
        <w:right w:val="none" w:sz="0" w:space="0" w:color="auto"/>
      </w:divBdr>
      <w:divsChild>
        <w:div w:id="1567884082">
          <w:marLeft w:val="0"/>
          <w:marRight w:val="0"/>
          <w:marTop w:val="0"/>
          <w:marBottom w:val="0"/>
          <w:divBdr>
            <w:top w:val="none" w:sz="0" w:space="0" w:color="auto"/>
            <w:left w:val="none" w:sz="0" w:space="0" w:color="auto"/>
            <w:bottom w:val="none" w:sz="0" w:space="0" w:color="auto"/>
            <w:right w:val="none" w:sz="0" w:space="0" w:color="auto"/>
          </w:divBdr>
        </w:div>
      </w:divsChild>
    </w:div>
    <w:div w:id="872809751">
      <w:bodyDiv w:val="1"/>
      <w:marLeft w:val="0"/>
      <w:marRight w:val="0"/>
      <w:marTop w:val="0"/>
      <w:marBottom w:val="0"/>
      <w:divBdr>
        <w:top w:val="none" w:sz="0" w:space="0" w:color="auto"/>
        <w:left w:val="none" w:sz="0" w:space="0" w:color="auto"/>
        <w:bottom w:val="none" w:sz="0" w:space="0" w:color="auto"/>
        <w:right w:val="none" w:sz="0" w:space="0" w:color="auto"/>
      </w:divBdr>
      <w:divsChild>
        <w:div w:id="577448541">
          <w:marLeft w:val="0"/>
          <w:marRight w:val="0"/>
          <w:marTop w:val="0"/>
          <w:marBottom w:val="0"/>
          <w:divBdr>
            <w:top w:val="none" w:sz="0" w:space="0" w:color="auto"/>
            <w:left w:val="none" w:sz="0" w:space="0" w:color="auto"/>
            <w:bottom w:val="none" w:sz="0" w:space="0" w:color="auto"/>
            <w:right w:val="none" w:sz="0" w:space="0" w:color="auto"/>
          </w:divBdr>
        </w:div>
      </w:divsChild>
    </w:div>
    <w:div w:id="126137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Krasnopeeva_NA\Documents\!!!%20&#1044;&#1086;&#1090;&#1072;&#1094;&#1080;&#1080;%202024\!!!%20&#1044;&#1072;&#1085;&#1085;&#1099;&#1077;\&#1076;&#1086;&#1090;&#1072;&#1094;&#1080;&#1080;%20&#1085;&#1072;%20&#1074;&#1099;&#1088;&#1072;&#1074;&#1085;&#1080;&#1074;&#1072;&#1085;&#1080;&#1077;%202010-202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Krasnopeeva_NA\Documents\!!!%20&#1044;&#1086;&#1090;&#1072;&#1094;&#1080;&#1080;%202024\!!!%20&#1044;&#1072;&#1085;&#1085;&#1099;&#1077;\&#1076;&#1086;&#1090;&#1072;&#1094;&#1080;&#1080;%20&#1085;&#1072;%20&#1074;&#1099;&#1088;&#1072;&#1074;&#1085;&#1080;&#1074;&#1072;&#1085;&#1080;&#1077;%202010-202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Krasnopeeva_NA\Documents\!!!%20&#1044;&#1086;&#1090;&#1072;&#1094;&#1080;&#1080;%202024\!!!%20&#1044;&#1072;&#1085;&#1085;&#1099;&#1077;\&#1076;&#1086;&#1090;&#1072;&#1094;&#1080;&#1080;%20&#1085;&#1072;%20&#1074;&#1099;&#1088;&#1072;&#1074;&#1085;&#1080;&#1074;&#1072;&#1085;&#1080;&#1077;%202010-2023.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Krasnopeeva_NA\Documents\!!!%20&#1044;&#1086;&#1090;&#1072;&#1094;&#1080;&#1080;%202024\!!!%20&#1044;&#1072;&#1085;&#1085;&#1099;&#1077;\&#1076;&#1086;&#1090;&#1072;&#1094;&#1080;&#1080;%20&#1085;&#1072;%20&#1074;&#1099;&#1088;&#1072;&#1074;&#1085;&#1080;&#1074;&#1072;&#1085;&#1080;&#1077;%202010-2023.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Krasnopeeva_NA\Documents\!!!%20&#1044;&#1086;&#1090;&#1072;&#1094;&#1080;&#1080;%202024\!!!%20&#1044;&#1072;&#1085;&#1085;&#1099;&#1077;\&#1076;&#1086;&#1090;&#1072;&#1094;&#1080;&#1080;%20&#1085;&#1072;%20&#1074;&#1099;&#1088;&#1072;&#1074;&#1085;&#1080;&#1074;&#1072;&#1085;&#1080;&#1077;%202010-2023.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Krasnopeeva_NA\Documents\!!!%20&#1044;&#1086;&#1090;&#1072;&#1094;&#1080;&#1080;%202024\!!!%20&#1044;&#1072;&#1085;&#1085;&#1099;&#1077;\&#1076;&#1086;&#1090;&#1072;&#1094;&#1080;&#1080;%20&#1085;&#1072;%20&#1074;&#1099;&#1088;&#1072;&#1074;&#1085;&#1080;&#1074;&#1072;&#1085;&#1080;&#1077;%20201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ru-RU">
                <a:latin typeface="Times New Roman" panose="02020603050405020304" pitchFamily="18" charset="0"/>
                <a:cs typeface="Times New Roman" panose="02020603050405020304" pitchFamily="18" charset="0"/>
              </a:rPr>
              <a:t>Республика Карелия</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ru-RU"/>
        </a:p>
      </c:txPr>
    </c:title>
    <c:autoTitleDeleted val="0"/>
    <c:plotArea>
      <c:layout/>
      <c:lineChart>
        <c:grouping val="standard"/>
        <c:varyColors val="0"/>
        <c:ser>
          <c:idx val="0"/>
          <c:order val="0"/>
          <c:tx>
            <c:strRef>
              <c:f>Лист1!$A$2</c:f>
              <c:strCache>
                <c:ptCount val="1"/>
                <c:pt idx="0">
                  <c:v>Республика Карелия</c:v>
                </c:pt>
              </c:strCache>
            </c:strRef>
          </c:tx>
          <c:spPr>
            <a:ln w="28575" cap="rnd">
              <a:solidFill>
                <a:srgbClr val="9D82EC"/>
              </a:solidFill>
              <a:round/>
            </a:ln>
            <a:effectLst/>
          </c:spPr>
          <c:marker>
            <c:symbol val="none"/>
          </c:marker>
          <c:cat>
            <c:numRef>
              <c:f>Лист1!$B$9:$O$9</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Лист1!$B$10:$O$10</c:f>
              <c:numCache>
                <c:formatCode>0.0</c:formatCode>
                <c:ptCount val="14"/>
                <c:pt idx="0">
                  <c:v>2213.8270000000002</c:v>
                </c:pt>
                <c:pt idx="1">
                  <c:v>2765.1546000000003</c:v>
                </c:pt>
                <c:pt idx="2">
                  <c:v>3050.4870000000001</c:v>
                </c:pt>
                <c:pt idx="3">
                  <c:v>1941.1569999999999</c:v>
                </c:pt>
                <c:pt idx="4">
                  <c:v>2669.0239999999999</c:v>
                </c:pt>
                <c:pt idx="5">
                  <c:v>3686.154</c:v>
                </c:pt>
                <c:pt idx="6">
                  <c:v>5014.8869999999997</c:v>
                </c:pt>
                <c:pt idx="7">
                  <c:v>7195.4409999999998</c:v>
                </c:pt>
                <c:pt idx="8">
                  <c:v>8542.5409999999993</c:v>
                </c:pt>
                <c:pt idx="9">
                  <c:v>8115.4142999999995</c:v>
                </c:pt>
                <c:pt idx="10">
                  <c:v>7709.6435999999994</c:v>
                </c:pt>
                <c:pt idx="11">
                  <c:v>7709.6440000000002</c:v>
                </c:pt>
                <c:pt idx="12">
                  <c:v>8169.9229000000005</c:v>
                </c:pt>
                <c:pt idx="13">
                  <c:v>8169.9229000000005</c:v>
                </c:pt>
              </c:numCache>
            </c:numRef>
          </c:val>
          <c:smooth val="0"/>
          <c:extLst>
            <c:ext xmlns:c16="http://schemas.microsoft.com/office/drawing/2014/chart" uri="{C3380CC4-5D6E-409C-BE32-E72D297353CC}">
              <c16:uniqueId val="{00000000-FB46-4C34-B682-FC7FAFFDD730}"/>
            </c:ext>
          </c:extLst>
        </c:ser>
        <c:dLbls>
          <c:showLegendKey val="0"/>
          <c:showVal val="0"/>
          <c:showCatName val="0"/>
          <c:showSerName val="0"/>
          <c:showPercent val="0"/>
          <c:showBubbleSize val="0"/>
        </c:dLbls>
        <c:smooth val="0"/>
        <c:axId val="1447296544"/>
        <c:axId val="1447290304"/>
      </c:lineChart>
      <c:catAx>
        <c:axId val="14472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0304"/>
        <c:crosses val="autoZero"/>
        <c:auto val="1"/>
        <c:lblAlgn val="ctr"/>
        <c:lblOffset val="100"/>
        <c:noMultiLvlLbl val="0"/>
      </c:catAx>
      <c:valAx>
        <c:axId val="1447290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6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ru-RU">
                <a:latin typeface="Times New Roman" panose="02020603050405020304" pitchFamily="18" charset="0"/>
                <a:cs typeface="Times New Roman" panose="02020603050405020304" pitchFamily="18" charset="0"/>
              </a:rPr>
              <a:t>Республика Коми</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ru-RU"/>
        </a:p>
      </c:txPr>
    </c:title>
    <c:autoTitleDeleted val="0"/>
    <c:plotArea>
      <c:layout/>
      <c:lineChart>
        <c:grouping val="standard"/>
        <c:varyColors val="0"/>
        <c:ser>
          <c:idx val="0"/>
          <c:order val="0"/>
          <c:tx>
            <c:strRef>
              <c:f>Лист1!$A$3</c:f>
              <c:strCache>
                <c:ptCount val="1"/>
                <c:pt idx="0">
                  <c:v>Республика Коми</c:v>
                </c:pt>
              </c:strCache>
            </c:strRef>
          </c:tx>
          <c:spPr>
            <a:ln w="28575" cap="rnd">
              <a:solidFill>
                <a:srgbClr val="9D82EC"/>
              </a:solidFill>
              <a:round/>
            </a:ln>
            <a:effectLst/>
          </c:spPr>
          <c:marker>
            <c:symbol val="none"/>
          </c:marker>
          <c:cat>
            <c:numRef>
              <c:f>Лист1!$B$9:$O$9</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Лист1!$B$11:$O$11</c:f>
              <c:numCache>
                <c:formatCode>0.0</c:formatCode>
                <c:ptCount val="14"/>
                <c:pt idx="0">
                  <c:v>1135.0219999999999</c:v>
                </c:pt>
                <c:pt idx="1">
                  <c:v>1473.7461000000001</c:v>
                </c:pt>
                <c:pt idx="2">
                  <c:v>839.71100000000001</c:v>
                </c:pt>
                <c:pt idx="3">
                  <c:v>390.30599999999998</c:v>
                </c:pt>
                <c:pt idx="4">
                  <c:v>488.892</c:v>
                </c:pt>
                <c:pt idx="5">
                  <c:v>230.78</c:v>
                </c:pt>
                <c:pt idx="6">
                  <c:v>582.077</c:v>
                </c:pt>
                <c:pt idx="7">
                  <c:v>295.495</c:v>
                </c:pt>
                <c:pt idx="8">
                  <c:v>299.71499999999997</c:v>
                </c:pt>
                <c:pt idx="9">
                  <c:v>344.67200000000003</c:v>
                </c:pt>
                <c:pt idx="10">
                  <c:v>311.09340000000003</c:v>
                </c:pt>
                <c:pt idx="11">
                  <c:v>311.09300000000002</c:v>
                </c:pt>
                <c:pt idx="12">
                  <c:v>342.20269999999999</c:v>
                </c:pt>
                <c:pt idx="13">
                  <c:v>1010.3538000000001</c:v>
                </c:pt>
              </c:numCache>
            </c:numRef>
          </c:val>
          <c:smooth val="0"/>
          <c:extLst>
            <c:ext xmlns:c16="http://schemas.microsoft.com/office/drawing/2014/chart" uri="{C3380CC4-5D6E-409C-BE32-E72D297353CC}">
              <c16:uniqueId val="{00000000-1414-45B5-A5C3-2D6C507B9221}"/>
            </c:ext>
          </c:extLst>
        </c:ser>
        <c:dLbls>
          <c:showLegendKey val="0"/>
          <c:showVal val="0"/>
          <c:showCatName val="0"/>
          <c:showSerName val="0"/>
          <c:showPercent val="0"/>
          <c:showBubbleSize val="0"/>
        </c:dLbls>
        <c:smooth val="0"/>
        <c:axId val="1447296544"/>
        <c:axId val="1447290304"/>
      </c:lineChart>
      <c:catAx>
        <c:axId val="14472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0304"/>
        <c:crosses val="autoZero"/>
        <c:auto val="1"/>
        <c:lblAlgn val="ctr"/>
        <c:lblOffset val="100"/>
        <c:noMultiLvlLbl val="0"/>
      </c:catAx>
      <c:valAx>
        <c:axId val="1447290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6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ru-RU">
                <a:latin typeface="Times New Roman" panose="02020603050405020304" pitchFamily="18" charset="0"/>
                <a:cs typeface="Times New Roman" panose="02020603050405020304" pitchFamily="18" charset="0"/>
              </a:rPr>
              <a:t>Мурманская область</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ru-RU"/>
        </a:p>
      </c:txPr>
    </c:title>
    <c:autoTitleDeleted val="0"/>
    <c:plotArea>
      <c:layout/>
      <c:lineChart>
        <c:grouping val="standard"/>
        <c:varyColors val="0"/>
        <c:ser>
          <c:idx val="0"/>
          <c:order val="0"/>
          <c:tx>
            <c:strRef>
              <c:f>Лист1!$A$13</c:f>
              <c:strCache>
                <c:ptCount val="1"/>
                <c:pt idx="0">
                  <c:v>Мурманская область</c:v>
                </c:pt>
              </c:strCache>
            </c:strRef>
          </c:tx>
          <c:spPr>
            <a:ln w="28575" cap="rnd">
              <a:solidFill>
                <a:srgbClr val="9D82EC"/>
              </a:solidFill>
              <a:round/>
            </a:ln>
            <a:effectLst/>
          </c:spPr>
          <c:marker>
            <c:symbol val="none"/>
          </c:marker>
          <c:cat>
            <c:numRef>
              <c:f>Лист1!$B$9:$O$9</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Лист1!$B$13:$O$13</c:f>
              <c:numCache>
                <c:formatCode>0.0</c:formatCode>
                <c:ptCount val="14"/>
                <c:pt idx="0">
                  <c:v>1072.731</c:v>
                </c:pt>
                <c:pt idx="1">
                  <c:v>1599.3836000000001</c:v>
                </c:pt>
                <c:pt idx="2">
                  <c:v>1106.0619999999999</c:v>
                </c:pt>
                <c:pt idx="3">
                  <c:v>589.09199999999998</c:v>
                </c:pt>
                <c:pt idx="4">
                  <c:v>1037.4839999999999</c:v>
                </c:pt>
                <c:pt idx="5">
                  <c:v>1569.39</c:v>
                </c:pt>
                <c:pt idx="6">
                  <c:v>1126.4280000000001</c:v>
                </c:pt>
                <c:pt idx="7">
                  <c:v>1887.596</c:v>
                </c:pt>
                <c:pt idx="8">
                  <c:v>472.90300000000002</c:v>
                </c:pt>
                <c:pt idx="9">
                  <c:v>31.706400000000002</c:v>
                </c:pt>
                <c:pt idx="10">
                  <c:v>14.9438</c:v>
                </c:pt>
                <c:pt idx="11">
                  <c:v>14.944000000000001</c:v>
                </c:pt>
                <c:pt idx="12">
                  <c:v>0</c:v>
                </c:pt>
                <c:pt idx="13">
                  <c:v>0</c:v>
                </c:pt>
              </c:numCache>
            </c:numRef>
          </c:val>
          <c:smooth val="0"/>
          <c:extLst>
            <c:ext xmlns:c16="http://schemas.microsoft.com/office/drawing/2014/chart" uri="{C3380CC4-5D6E-409C-BE32-E72D297353CC}">
              <c16:uniqueId val="{00000000-5A79-4957-822F-8E4C6E679064}"/>
            </c:ext>
          </c:extLst>
        </c:ser>
        <c:dLbls>
          <c:showLegendKey val="0"/>
          <c:showVal val="0"/>
          <c:showCatName val="0"/>
          <c:showSerName val="0"/>
          <c:showPercent val="0"/>
          <c:showBubbleSize val="0"/>
        </c:dLbls>
        <c:smooth val="0"/>
        <c:axId val="1447296544"/>
        <c:axId val="1447290304"/>
      </c:lineChart>
      <c:catAx>
        <c:axId val="14472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0304"/>
        <c:crosses val="autoZero"/>
        <c:auto val="1"/>
        <c:lblAlgn val="ctr"/>
        <c:lblOffset val="100"/>
        <c:noMultiLvlLbl val="0"/>
      </c:catAx>
      <c:valAx>
        <c:axId val="1447290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6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ru-RU">
                <a:latin typeface="Times New Roman" panose="02020603050405020304" pitchFamily="18" charset="0"/>
                <a:cs typeface="Times New Roman" panose="02020603050405020304" pitchFamily="18" charset="0"/>
              </a:rPr>
              <a:t>Республика Саха (Якутия)</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ru-RU"/>
        </a:p>
      </c:txPr>
    </c:title>
    <c:autoTitleDeleted val="0"/>
    <c:plotArea>
      <c:layout/>
      <c:lineChart>
        <c:grouping val="standard"/>
        <c:varyColors val="0"/>
        <c:ser>
          <c:idx val="0"/>
          <c:order val="0"/>
          <c:tx>
            <c:strRef>
              <c:f>Лист1!$A$14</c:f>
              <c:strCache>
                <c:ptCount val="1"/>
                <c:pt idx="0">
                  <c:v>Республика Саха (Якутия)</c:v>
                </c:pt>
              </c:strCache>
            </c:strRef>
          </c:tx>
          <c:spPr>
            <a:ln w="28575" cap="rnd">
              <a:solidFill>
                <a:srgbClr val="9D82EC"/>
              </a:solidFill>
              <a:round/>
            </a:ln>
            <a:effectLst/>
          </c:spPr>
          <c:marker>
            <c:symbol val="none"/>
          </c:marker>
          <c:cat>
            <c:numRef>
              <c:f>Лист1!$B$9:$O$9</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Лист1!$B$14:$O$14</c:f>
              <c:numCache>
                <c:formatCode>0.0</c:formatCode>
                <c:ptCount val="14"/>
                <c:pt idx="0">
                  <c:v>39200.910000000003</c:v>
                </c:pt>
                <c:pt idx="1">
                  <c:v>39771.181400000001</c:v>
                </c:pt>
                <c:pt idx="2">
                  <c:v>44896.902999999998</c:v>
                </c:pt>
                <c:pt idx="3">
                  <c:v>51357.745999999999</c:v>
                </c:pt>
                <c:pt idx="4">
                  <c:v>50714.167999999998</c:v>
                </c:pt>
                <c:pt idx="5">
                  <c:v>47846.438999999998</c:v>
                </c:pt>
                <c:pt idx="6">
                  <c:v>43189.612000000001</c:v>
                </c:pt>
                <c:pt idx="7">
                  <c:v>36620.830999999998</c:v>
                </c:pt>
                <c:pt idx="8">
                  <c:v>54506.822999999997</c:v>
                </c:pt>
                <c:pt idx="9">
                  <c:v>46907.224399999999</c:v>
                </c:pt>
                <c:pt idx="10">
                  <c:v>51597.946799999998</c:v>
                </c:pt>
                <c:pt idx="11">
                  <c:v>51597.947</c:v>
                </c:pt>
                <c:pt idx="12">
                  <c:v>56757.741399999999</c:v>
                </c:pt>
                <c:pt idx="13">
                  <c:v>56757.741399999999</c:v>
                </c:pt>
              </c:numCache>
            </c:numRef>
          </c:val>
          <c:smooth val="0"/>
          <c:extLst>
            <c:ext xmlns:c16="http://schemas.microsoft.com/office/drawing/2014/chart" uri="{C3380CC4-5D6E-409C-BE32-E72D297353CC}">
              <c16:uniqueId val="{00000000-D0C5-42C5-9173-387C2FB63DEF}"/>
            </c:ext>
          </c:extLst>
        </c:ser>
        <c:dLbls>
          <c:showLegendKey val="0"/>
          <c:showVal val="0"/>
          <c:showCatName val="0"/>
          <c:showSerName val="0"/>
          <c:showPercent val="0"/>
          <c:showBubbleSize val="0"/>
        </c:dLbls>
        <c:smooth val="0"/>
        <c:axId val="1447296544"/>
        <c:axId val="1447290304"/>
      </c:lineChart>
      <c:catAx>
        <c:axId val="14472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0304"/>
        <c:crosses val="autoZero"/>
        <c:auto val="1"/>
        <c:lblAlgn val="ctr"/>
        <c:lblOffset val="100"/>
        <c:noMultiLvlLbl val="0"/>
      </c:catAx>
      <c:valAx>
        <c:axId val="1447290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6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ru-RU">
                <a:latin typeface="Times New Roman" panose="02020603050405020304" pitchFamily="18" charset="0"/>
                <a:cs typeface="Times New Roman" panose="02020603050405020304" pitchFamily="18" charset="0"/>
              </a:rPr>
              <a:t>Красноярский край</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ru-RU"/>
        </a:p>
      </c:txPr>
    </c:title>
    <c:autoTitleDeleted val="0"/>
    <c:plotArea>
      <c:layout/>
      <c:lineChart>
        <c:grouping val="standard"/>
        <c:varyColors val="0"/>
        <c:ser>
          <c:idx val="0"/>
          <c:order val="0"/>
          <c:tx>
            <c:strRef>
              <c:f>Лист1!$A$15</c:f>
              <c:strCache>
                <c:ptCount val="1"/>
                <c:pt idx="0">
                  <c:v>Красноярский край</c:v>
                </c:pt>
              </c:strCache>
            </c:strRef>
          </c:tx>
          <c:spPr>
            <a:ln w="28575" cap="rnd">
              <a:solidFill>
                <a:srgbClr val="9D82EC"/>
              </a:solidFill>
              <a:round/>
            </a:ln>
            <a:effectLst/>
          </c:spPr>
          <c:marker>
            <c:symbol val="none"/>
          </c:marker>
          <c:cat>
            <c:numRef>
              <c:f>Лист1!$B$9:$O$9</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Лист1!$B$15:$O$15</c:f>
              <c:numCache>
                <c:formatCode>0.0</c:formatCode>
                <c:ptCount val="14"/>
                <c:pt idx="0">
                  <c:v>3187.8240000000001</c:v>
                </c:pt>
                <c:pt idx="1">
                  <c:v>379.07040000000001</c:v>
                </c:pt>
                <c:pt idx="2">
                  <c:v>426.96100000000001</c:v>
                </c:pt>
                <c:pt idx="3">
                  <c:v>279.96100000000001</c:v>
                </c:pt>
                <c:pt idx="4">
                  <c:v>304.54599999999999</c:v>
                </c:pt>
                <c:pt idx="5">
                  <c:v>2893.8789999999999</c:v>
                </c:pt>
                <c:pt idx="6">
                  <c:v>1882.749</c:v>
                </c:pt>
                <c:pt idx="7">
                  <c:v>5577.616</c:v>
                </c:pt>
                <c:pt idx="8">
                  <c:v>3194.5259999999998</c:v>
                </c:pt>
                <c:pt idx="9">
                  <c:v>1763.1096</c:v>
                </c:pt>
                <c:pt idx="10">
                  <c:v>906.71940000000006</c:v>
                </c:pt>
                <c:pt idx="11">
                  <c:v>906.71900000000005</c:v>
                </c:pt>
                <c:pt idx="12">
                  <c:v>0</c:v>
                </c:pt>
                <c:pt idx="13">
                  <c:v>0</c:v>
                </c:pt>
              </c:numCache>
            </c:numRef>
          </c:val>
          <c:smooth val="0"/>
          <c:extLst>
            <c:ext xmlns:c16="http://schemas.microsoft.com/office/drawing/2014/chart" uri="{C3380CC4-5D6E-409C-BE32-E72D297353CC}">
              <c16:uniqueId val="{00000000-614E-4F99-895D-C647E63C8992}"/>
            </c:ext>
          </c:extLst>
        </c:ser>
        <c:dLbls>
          <c:showLegendKey val="0"/>
          <c:showVal val="0"/>
          <c:showCatName val="0"/>
          <c:showSerName val="0"/>
          <c:showPercent val="0"/>
          <c:showBubbleSize val="0"/>
        </c:dLbls>
        <c:smooth val="0"/>
        <c:axId val="1447296544"/>
        <c:axId val="1447290304"/>
      </c:lineChart>
      <c:catAx>
        <c:axId val="14472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0304"/>
        <c:crosses val="autoZero"/>
        <c:auto val="1"/>
        <c:lblAlgn val="ctr"/>
        <c:lblOffset val="100"/>
        <c:noMultiLvlLbl val="0"/>
      </c:catAx>
      <c:valAx>
        <c:axId val="1447290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6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ru-RU">
                <a:latin typeface="Times New Roman" panose="02020603050405020304" pitchFamily="18" charset="0"/>
                <a:cs typeface="Times New Roman" panose="02020603050405020304" pitchFamily="18" charset="0"/>
              </a:rPr>
              <a:t>Чукотский автономный округ</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ru-RU"/>
        </a:p>
      </c:txPr>
    </c:title>
    <c:autoTitleDeleted val="0"/>
    <c:plotArea>
      <c:layout/>
      <c:lineChart>
        <c:grouping val="standard"/>
        <c:varyColors val="0"/>
        <c:ser>
          <c:idx val="0"/>
          <c:order val="0"/>
          <c:tx>
            <c:strRef>
              <c:f>Лист1!$A$16</c:f>
              <c:strCache>
                <c:ptCount val="1"/>
                <c:pt idx="0">
                  <c:v>Чукотский автономный округ</c:v>
                </c:pt>
              </c:strCache>
            </c:strRef>
          </c:tx>
          <c:spPr>
            <a:ln w="28575" cap="rnd">
              <a:solidFill>
                <a:srgbClr val="9D82EC"/>
              </a:solidFill>
              <a:round/>
            </a:ln>
            <a:effectLst/>
          </c:spPr>
          <c:marker>
            <c:symbol val="none"/>
          </c:marker>
          <c:cat>
            <c:numRef>
              <c:f>Лист1!$B$9:$O$9</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Лист1!$B$16:$O$16</c:f>
              <c:numCache>
                <c:formatCode>0.0</c:formatCode>
                <c:ptCount val="14"/>
                <c:pt idx="0">
                  <c:v>1692.7239999999999</c:v>
                </c:pt>
                <c:pt idx="1">
                  <c:v>1523.4518999999998</c:v>
                </c:pt>
                <c:pt idx="2">
                  <c:v>352.541</c:v>
                </c:pt>
                <c:pt idx="3">
                  <c:v>195.62</c:v>
                </c:pt>
                <c:pt idx="4">
                  <c:v>7548.5479999999998</c:v>
                </c:pt>
                <c:pt idx="5">
                  <c:v>8993.0329999999994</c:v>
                </c:pt>
                <c:pt idx="6">
                  <c:v>10756.228999999999</c:v>
                </c:pt>
                <c:pt idx="7">
                  <c:v>10288.477000000001</c:v>
                </c:pt>
                <c:pt idx="8">
                  <c:v>8527.143</c:v>
                </c:pt>
                <c:pt idx="9">
                  <c:v>11240.160800000001</c:v>
                </c:pt>
                <c:pt idx="10">
                  <c:v>12364.1769</c:v>
                </c:pt>
                <c:pt idx="11">
                  <c:v>12782.544</c:v>
                </c:pt>
                <c:pt idx="12">
                  <c:v>13508.220599999999</c:v>
                </c:pt>
                <c:pt idx="13">
                  <c:v>13508.220599999999</c:v>
                </c:pt>
              </c:numCache>
            </c:numRef>
          </c:val>
          <c:smooth val="0"/>
          <c:extLst>
            <c:ext xmlns:c16="http://schemas.microsoft.com/office/drawing/2014/chart" uri="{C3380CC4-5D6E-409C-BE32-E72D297353CC}">
              <c16:uniqueId val="{00000000-387C-48FD-842C-DB06CFCE1D81}"/>
            </c:ext>
          </c:extLst>
        </c:ser>
        <c:dLbls>
          <c:showLegendKey val="0"/>
          <c:showVal val="0"/>
          <c:showCatName val="0"/>
          <c:showSerName val="0"/>
          <c:showPercent val="0"/>
          <c:showBubbleSize val="0"/>
        </c:dLbls>
        <c:smooth val="0"/>
        <c:axId val="1447296544"/>
        <c:axId val="1447290304"/>
      </c:lineChart>
      <c:catAx>
        <c:axId val="14472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0304"/>
        <c:crosses val="autoZero"/>
        <c:auto val="1"/>
        <c:lblAlgn val="ctr"/>
        <c:lblOffset val="100"/>
        <c:noMultiLvlLbl val="0"/>
      </c:catAx>
      <c:valAx>
        <c:axId val="1447290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447296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28607-62BE-46AC-ADD0-171650FF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8851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Краснопеева Наталия Александровна</dc:creator>
  <cp:keywords/>
  <dc:description/>
  <cp:lastModifiedBy>Суворова Юлиана Олеговна</cp:lastModifiedBy>
  <cp:revision>3</cp:revision>
  <cp:lastPrinted>2024-06-28T08:06:00Z</cp:lastPrinted>
  <dcterms:created xsi:type="dcterms:W3CDTF">2024-09-16T15:26:00Z</dcterms:created>
  <dcterms:modified xsi:type="dcterms:W3CDTF">2024-10-16T09:43:00Z</dcterms:modified>
</cp:coreProperties>
</file>