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6AA4" w:rsidRDefault="00E06AA4" w:rsidP="00E06AA4">
      <w:pPr>
        <w:shd w:val="clear" w:color="auto" w:fill="FFFFFF"/>
        <w:overflowPunct w:val="0"/>
        <w:autoSpaceDE w:val="0"/>
        <w:autoSpaceDN w:val="0"/>
        <w:adjustRightInd w:val="0"/>
        <w:ind w:left="10065"/>
        <w:contextualSpacing/>
        <w:jc w:val="center"/>
        <w:textAlignment w:val="baseline"/>
        <w:rPr>
          <w:bCs/>
          <w:sz w:val="28"/>
          <w:szCs w:val="28"/>
        </w:rPr>
      </w:pPr>
      <w:r>
        <w:rPr>
          <w:bCs/>
          <w:sz w:val="28"/>
          <w:szCs w:val="28"/>
        </w:rPr>
        <w:t>Приложение № 19</w:t>
      </w:r>
    </w:p>
    <w:p w:rsidR="00E06AA4" w:rsidRDefault="00E06AA4" w:rsidP="00E06AA4">
      <w:pPr>
        <w:shd w:val="clear" w:color="auto" w:fill="FFFFFF"/>
        <w:overflowPunct w:val="0"/>
        <w:autoSpaceDE w:val="0"/>
        <w:autoSpaceDN w:val="0"/>
        <w:adjustRightInd w:val="0"/>
        <w:ind w:left="10065"/>
        <w:contextualSpacing/>
        <w:jc w:val="center"/>
        <w:textAlignment w:val="baseline"/>
        <w:rPr>
          <w:bCs/>
          <w:sz w:val="28"/>
          <w:szCs w:val="28"/>
        </w:rPr>
      </w:pPr>
      <w:r>
        <w:rPr>
          <w:bCs/>
          <w:sz w:val="28"/>
          <w:szCs w:val="28"/>
        </w:rPr>
        <w:t>к отчету по результатам</w:t>
      </w:r>
    </w:p>
    <w:p w:rsidR="00E06AA4" w:rsidRDefault="00E06AA4" w:rsidP="004B6B99">
      <w:pPr>
        <w:shd w:val="clear" w:color="auto" w:fill="FFFFFF"/>
        <w:overflowPunct w:val="0"/>
        <w:autoSpaceDE w:val="0"/>
        <w:autoSpaceDN w:val="0"/>
        <w:adjustRightInd w:val="0"/>
        <w:ind w:left="10065"/>
        <w:contextualSpacing/>
        <w:jc w:val="center"/>
        <w:textAlignment w:val="baseline"/>
        <w:rPr>
          <w:bCs/>
          <w:sz w:val="28"/>
          <w:szCs w:val="28"/>
        </w:rPr>
      </w:pPr>
      <w:r>
        <w:rPr>
          <w:bCs/>
          <w:sz w:val="28"/>
          <w:szCs w:val="28"/>
        </w:rPr>
        <w:t xml:space="preserve">контрольного мероприятия </w:t>
      </w:r>
      <w:r>
        <w:rPr>
          <w:bCs/>
          <w:sz w:val="28"/>
          <w:szCs w:val="28"/>
        </w:rPr>
        <w:br/>
      </w:r>
    </w:p>
    <w:p w:rsidR="0020111B" w:rsidRDefault="009D5006">
      <w:pPr>
        <w:spacing w:before="330"/>
        <w:ind w:left="163" w:right="161"/>
        <w:jc w:val="center"/>
        <w:rPr>
          <w:rFonts w:cstheme="minorBidi"/>
          <w:sz w:val="24"/>
          <w:szCs w:val="24"/>
        </w:rPr>
      </w:pPr>
      <w:bookmarkStart w:id="0" w:name="_GoBack"/>
      <w:r>
        <w:rPr>
          <w:b/>
          <w:bCs/>
          <w:color w:val="000000"/>
          <w:sz w:val="31"/>
          <w:szCs w:val="31"/>
        </w:rPr>
        <w:t>КАРТА ИТОГОВ</w:t>
      </w:r>
      <w:r w:rsidR="005A39F8">
        <w:rPr>
          <w:b/>
          <w:bCs/>
          <w:color w:val="000000"/>
          <w:sz w:val="31"/>
          <w:szCs w:val="31"/>
        </w:rPr>
        <w:t xml:space="preserve"> СОВМЕСТНОГО</w:t>
      </w:r>
      <w:r>
        <w:rPr>
          <w:b/>
          <w:bCs/>
          <w:color w:val="000000"/>
          <w:sz w:val="31"/>
          <w:szCs w:val="31"/>
        </w:rPr>
        <w:t xml:space="preserve"> КОНТРОЛЬНОГО МЕРОПРИЯТИЯ</w:t>
      </w:r>
    </w:p>
    <w:bookmarkEnd w:id="0"/>
    <w:p w:rsidR="0020111B" w:rsidRDefault="009D5006">
      <w:pPr>
        <w:ind w:left="163" w:right="161"/>
        <w:jc w:val="center"/>
        <w:rPr>
          <w:rFonts w:cstheme="minorBidi"/>
          <w:sz w:val="24"/>
          <w:szCs w:val="24"/>
        </w:rPr>
      </w:pPr>
      <w:r>
        <w:rPr>
          <w:color w:val="000000"/>
          <w:sz w:val="28"/>
          <w:szCs w:val="28"/>
        </w:rPr>
        <w:t>План работы на 2025 год пункт 2.1.23.1, сроки проведения 2 декабря 2024 – 27 мая 2025, проверяемый период 1 Января 2022 – 31 Декабря 2024, совместное контрольное мероприятие «Аудит эффективности использования средств, предоставленных из федерального бюджета на строительство коммунальной инфраструктуры, в том числе бюджетных кредитов на финансовое обеспечение реализации инфраструктурных проектов, в 2022–2023 годах и истекшем периоде 2024 года» (с контрольно-счетными органами субъектов Российской Федерации) (дополнительные объекты контрольного мероприятия утверждаются отдельным решением Коллегии Счетной палаты Российской Федерации)</w:t>
      </w:r>
    </w:p>
    <w:tbl>
      <w:tblPr>
        <w:tblW w:w="0" w:type="auto"/>
        <w:tblCellMar>
          <w:left w:w="0" w:type="dxa"/>
          <w:right w:w="0" w:type="dxa"/>
        </w:tblCellMar>
        <w:tblLook w:val="04A0" w:firstRow="1" w:lastRow="0" w:firstColumn="1" w:lastColumn="0" w:noHBand="0" w:noVBand="1"/>
      </w:tblPr>
      <w:tblGrid>
        <w:gridCol w:w="2039"/>
        <w:gridCol w:w="2040"/>
        <w:gridCol w:w="2265"/>
        <w:gridCol w:w="2265"/>
        <w:gridCol w:w="3585"/>
        <w:gridCol w:w="1245"/>
        <w:gridCol w:w="1680"/>
        <w:gridCol w:w="15"/>
      </w:tblGrid>
      <w:tr w:rsidR="0020111B">
        <w:trPr>
          <w:trHeight w:hRule="exact" w:val="150"/>
        </w:trPr>
        <w:tc>
          <w:tcPr>
            <w:tcW w:w="2040" w:type="dxa"/>
            <w:tcBorders>
              <w:top w:val="nil"/>
              <w:left w:val="nil"/>
              <w:bottom w:val="nil"/>
              <w:right w:val="nil"/>
            </w:tcBorders>
          </w:tcPr>
          <w:p w:rsidR="0020111B" w:rsidRDefault="0020111B">
            <w:pPr>
              <w:rPr>
                <w:rFonts w:cstheme="minorBidi"/>
                <w:sz w:val="1"/>
                <w:szCs w:val="1"/>
              </w:rPr>
            </w:pPr>
          </w:p>
        </w:tc>
        <w:tc>
          <w:tcPr>
            <w:tcW w:w="2040" w:type="dxa"/>
            <w:tcBorders>
              <w:top w:val="nil"/>
              <w:left w:val="nil"/>
              <w:bottom w:val="nil"/>
              <w:right w:val="nil"/>
            </w:tcBorders>
          </w:tcPr>
          <w:p w:rsidR="0020111B" w:rsidRDefault="0020111B">
            <w:pPr>
              <w:rPr>
                <w:rFonts w:cstheme="minorBidi"/>
                <w:sz w:val="1"/>
                <w:szCs w:val="1"/>
              </w:rPr>
            </w:pPr>
          </w:p>
        </w:tc>
        <w:tc>
          <w:tcPr>
            <w:tcW w:w="2265" w:type="dxa"/>
            <w:tcBorders>
              <w:top w:val="nil"/>
              <w:left w:val="nil"/>
              <w:bottom w:val="nil"/>
              <w:right w:val="nil"/>
            </w:tcBorders>
          </w:tcPr>
          <w:p w:rsidR="0020111B" w:rsidRDefault="0020111B">
            <w:pPr>
              <w:rPr>
                <w:rFonts w:cstheme="minorBidi"/>
                <w:sz w:val="1"/>
                <w:szCs w:val="1"/>
              </w:rPr>
            </w:pPr>
          </w:p>
        </w:tc>
        <w:tc>
          <w:tcPr>
            <w:tcW w:w="2265" w:type="dxa"/>
            <w:tcBorders>
              <w:top w:val="nil"/>
              <w:left w:val="nil"/>
              <w:bottom w:val="nil"/>
              <w:right w:val="nil"/>
            </w:tcBorders>
          </w:tcPr>
          <w:p w:rsidR="0020111B" w:rsidRDefault="0020111B">
            <w:pPr>
              <w:rPr>
                <w:rFonts w:cstheme="minorBidi"/>
                <w:sz w:val="1"/>
                <w:szCs w:val="1"/>
              </w:rPr>
            </w:pPr>
          </w:p>
        </w:tc>
        <w:tc>
          <w:tcPr>
            <w:tcW w:w="3585" w:type="dxa"/>
            <w:tcBorders>
              <w:top w:val="nil"/>
              <w:left w:val="nil"/>
              <w:bottom w:val="nil"/>
              <w:right w:val="nil"/>
            </w:tcBorders>
          </w:tcPr>
          <w:p w:rsidR="0020111B" w:rsidRDefault="0020111B">
            <w:pPr>
              <w:rPr>
                <w:rFonts w:cstheme="minorBidi"/>
                <w:sz w:val="1"/>
                <w:szCs w:val="1"/>
              </w:rPr>
            </w:pPr>
          </w:p>
        </w:tc>
        <w:tc>
          <w:tcPr>
            <w:tcW w:w="1245" w:type="dxa"/>
            <w:tcBorders>
              <w:top w:val="nil"/>
              <w:left w:val="nil"/>
              <w:bottom w:val="nil"/>
              <w:right w:val="nil"/>
            </w:tcBorders>
          </w:tcPr>
          <w:p w:rsidR="0020111B" w:rsidRDefault="0020111B">
            <w:pPr>
              <w:rPr>
                <w:rFonts w:cstheme="minorBidi"/>
                <w:sz w:val="1"/>
                <w:szCs w:val="1"/>
              </w:rPr>
            </w:pPr>
          </w:p>
        </w:tc>
        <w:tc>
          <w:tcPr>
            <w:tcW w:w="1695" w:type="dxa"/>
            <w:gridSpan w:val="2"/>
            <w:tcBorders>
              <w:top w:val="nil"/>
              <w:left w:val="nil"/>
              <w:bottom w:val="nil"/>
              <w:right w:val="nil"/>
            </w:tcBorders>
          </w:tcPr>
          <w:p w:rsidR="0020111B" w:rsidRDefault="0020111B">
            <w:pPr>
              <w:rPr>
                <w:rFonts w:cstheme="minorBidi"/>
                <w:sz w:val="1"/>
                <w:szCs w:val="1"/>
              </w:rPr>
            </w:pPr>
          </w:p>
        </w:tc>
      </w:tr>
      <w:tr w:rsidR="0020111B">
        <w:tc>
          <w:tcPr>
            <w:tcW w:w="2040"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Объект контроля</w:t>
            </w:r>
          </w:p>
        </w:tc>
        <w:tc>
          <w:tcPr>
            <w:tcW w:w="2040" w:type="dxa"/>
            <w:tcBorders>
              <w:top w:val="single" w:sz="6" w:space="0" w:color="000000"/>
              <w:left w:val="single" w:sz="6" w:space="0" w:color="000000"/>
              <w:bottom w:val="single" w:sz="6" w:space="0" w:color="000000"/>
              <w:right w:val="single" w:sz="6" w:space="0" w:color="000000"/>
            </w:tcBorders>
            <w:vAlign w:val="center"/>
          </w:tcPr>
          <w:p w:rsidR="0020111B" w:rsidRDefault="009D5006">
            <w:pPr>
              <w:spacing w:after="160" w:line="258" w:lineRule="auto"/>
              <w:jc w:val="center"/>
              <w:rPr>
                <w:rFonts w:cstheme="minorBidi"/>
                <w:color w:val="000000"/>
              </w:rPr>
            </w:pPr>
            <w:r>
              <w:rPr>
                <w:rFonts w:cstheme="minorBidi"/>
                <w:color w:val="000000"/>
              </w:rPr>
              <w:t>Главный распорядитель бюджетных средств</w:t>
            </w:r>
            <w:r>
              <w:rPr>
                <w:rFonts w:cstheme="minorBidi"/>
                <w:b/>
                <w:bCs/>
                <w:color w:val="000000"/>
                <w:vertAlign w:val="superscript"/>
                <w:lang w:val="en-US" w:eastAsia="en-US"/>
              </w:rPr>
              <w:t>1</w:t>
            </w:r>
          </w:p>
        </w:tc>
        <w:tc>
          <w:tcPr>
            <w:tcW w:w="226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Положения и реквизиты нормативных правовых актов, являющиеся правовым основанием квалификации нарушения</w:t>
            </w:r>
          </w:p>
        </w:tc>
        <w:tc>
          <w:tcPr>
            <w:tcW w:w="226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58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Краткое описание факта нарушения / факта неэффективного использования федеральных и иных ресурсов (на основе отчёта о  результатах контрольного мероприятия)</w:t>
            </w:r>
          </w:p>
        </w:tc>
        <w:tc>
          <w:tcPr>
            <w:tcW w:w="124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Сумма</w:t>
            </w:r>
            <w:r>
              <w:rPr>
                <w:color w:val="000000"/>
                <w:sz w:val="19"/>
                <w:szCs w:val="19"/>
              </w:rPr>
              <w:br/>
              <w:t>(тыс. рублей)</w:t>
            </w:r>
          </w:p>
        </w:tc>
        <w:tc>
          <w:tcPr>
            <w:tcW w:w="1695" w:type="dxa"/>
            <w:gridSpan w:val="2"/>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Реквизиты протокола об административной ответственности</w:t>
            </w:r>
          </w:p>
        </w:tc>
      </w:tr>
      <w:tr w:rsidR="0020111B" w:rsidTr="00F0411D">
        <w:trPr>
          <w:trHeight w:val="51"/>
        </w:trPr>
        <w:tc>
          <w:tcPr>
            <w:tcW w:w="2040"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1</w:t>
            </w:r>
          </w:p>
        </w:tc>
        <w:tc>
          <w:tcPr>
            <w:tcW w:w="2040"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2</w:t>
            </w:r>
          </w:p>
        </w:tc>
        <w:tc>
          <w:tcPr>
            <w:tcW w:w="226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3</w:t>
            </w:r>
          </w:p>
        </w:tc>
        <w:tc>
          <w:tcPr>
            <w:tcW w:w="226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4</w:t>
            </w:r>
          </w:p>
        </w:tc>
        <w:tc>
          <w:tcPr>
            <w:tcW w:w="358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5</w:t>
            </w:r>
          </w:p>
        </w:tc>
        <w:tc>
          <w:tcPr>
            <w:tcW w:w="124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6</w:t>
            </w:r>
          </w:p>
        </w:tc>
        <w:tc>
          <w:tcPr>
            <w:tcW w:w="1695" w:type="dxa"/>
            <w:gridSpan w:val="2"/>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color w:val="000000"/>
                <w:sz w:val="19"/>
                <w:szCs w:val="19"/>
              </w:rPr>
            </w:pPr>
            <w:r>
              <w:rPr>
                <w:color w:val="000000"/>
                <w:sz w:val="19"/>
                <w:szCs w:val="19"/>
              </w:rPr>
              <w:t>7</w:t>
            </w:r>
          </w:p>
        </w:tc>
      </w:tr>
      <w:tr w:rsidR="0020111B">
        <w:trPr>
          <w:trHeight w:val="345"/>
        </w:trPr>
        <w:tc>
          <w:tcPr>
            <w:tcW w:w="15135" w:type="dxa"/>
            <w:gridSpan w:val="8"/>
            <w:tcBorders>
              <w:top w:val="single" w:sz="6" w:space="0" w:color="000000"/>
              <w:left w:val="single" w:sz="6" w:space="0" w:color="000000"/>
              <w:bottom w:val="single" w:sz="6" w:space="0" w:color="000000"/>
              <w:right w:val="single" w:sz="6" w:space="0" w:color="000000"/>
            </w:tcBorders>
            <w:vAlign w:val="center"/>
          </w:tcPr>
          <w:p w:rsidR="0020111B" w:rsidRDefault="009D5006">
            <w:pPr>
              <w:rPr>
                <w:b/>
                <w:bCs/>
                <w:color w:val="000000"/>
                <w:sz w:val="19"/>
                <w:szCs w:val="19"/>
              </w:rPr>
            </w:pPr>
            <w:r>
              <w:rPr>
                <w:b/>
                <w:bCs/>
                <w:color w:val="000000"/>
                <w:sz w:val="19"/>
                <w:szCs w:val="19"/>
              </w:rPr>
              <w:t>1. Нарушения согласно Классификатору нарушений, выявленных в ходе внешнего государственного аудита (контроля)</w:t>
            </w:r>
          </w:p>
        </w:tc>
      </w:tr>
      <w:tr w:rsidR="0020111B">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МИНИСТЕРСТВО СТРОИТЕЛЬСТВА И ЖИЛИЩНО-КОММУНАЛЬНОГО ХОЗЯЙСТВА АСТРАХАНСКОЙ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МИНИСТЕРСТВО СТРОИТЕЛЬСТВА И ЖИЛИЩНО-КОММУНАЛЬНОГО ХОЗЯЙСТВА АСТРАХАНСКОЙ ОБЛАСТИ</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 xml:space="preserve">Соглашение от 26 декабря 2023 г. № 069-09-2024-032 о предоставлении субсидии из федерального бюджета бюджету субъекта Российской Федерации, заключенного Минстроем России и Правительством Астраханской области, на строительство и реконструкцию (модернизацию) объектов питьевого водоснабжения в рамках федерального </w:t>
            </w:r>
            <w:r>
              <w:rPr>
                <w:color w:val="000000"/>
                <w:sz w:val="19"/>
                <w:szCs w:val="19"/>
              </w:rPr>
              <w:lastRenderedPageBreak/>
              <w:t>проекта «Чистая вода».</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 xml:space="preserve">1.3.10 Нарушение порядка и (или) (условий) предоставления из бюджета субсидий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w:t>
            </w:r>
            <w:r>
              <w:rPr>
                <w:color w:val="000000"/>
                <w:sz w:val="19"/>
                <w:szCs w:val="19"/>
              </w:rPr>
              <w:lastRenderedPageBreak/>
              <w:t>софинансирование капитальных вложений в объекты муниципальной собственности, которые осуществляются из местных бюджетов и (или) соглашения о предоставлении субсидии (за исключением нарушений по пункту )</w:t>
            </w:r>
          </w:p>
        </w:tc>
        <w:tc>
          <w:tcPr>
            <w:tcW w:w="358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 xml:space="preserve">2534776788. В нарушение пунктов 4.3.3 </w:t>
            </w:r>
            <w:r w:rsidR="00F0411D">
              <w:rPr>
                <w:color w:val="000000"/>
                <w:sz w:val="19"/>
                <w:szCs w:val="19"/>
              </w:rPr>
              <w:br/>
            </w:r>
            <w:r>
              <w:rPr>
                <w:color w:val="000000"/>
                <w:sz w:val="19"/>
                <w:szCs w:val="19"/>
              </w:rPr>
              <w:t xml:space="preserve">и 6.1.1 соглашения от 26 декабря 2023 г. </w:t>
            </w:r>
            <w:r w:rsidR="00F0411D">
              <w:rPr>
                <w:color w:val="000000"/>
                <w:sz w:val="19"/>
                <w:szCs w:val="19"/>
              </w:rPr>
              <w:br/>
            </w:r>
            <w:r>
              <w:rPr>
                <w:color w:val="000000"/>
                <w:sz w:val="19"/>
                <w:szCs w:val="19"/>
              </w:rPr>
              <w:t xml:space="preserve">№ 069-09-2024-032 (далее – Соглашение </w:t>
            </w:r>
            <w:r w:rsidR="00F0411D">
              <w:rPr>
                <w:color w:val="000000"/>
                <w:sz w:val="19"/>
                <w:szCs w:val="19"/>
              </w:rPr>
              <w:br/>
            </w:r>
            <w:r>
              <w:rPr>
                <w:color w:val="000000"/>
                <w:sz w:val="19"/>
                <w:szCs w:val="19"/>
              </w:rPr>
              <w:t xml:space="preserve">№ 032) о предоставлении субсидии из федерального бюджета бюджету субъекта Российской Федерации, заключенного Минстроем России и Правительством Астраханской области, на строительство </w:t>
            </w:r>
            <w:r w:rsidR="00F0411D">
              <w:rPr>
                <w:color w:val="000000"/>
                <w:sz w:val="19"/>
                <w:szCs w:val="19"/>
              </w:rPr>
              <w:br/>
            </w:r>
            <w:r>
              <w:rPr>
                <w:color w:val="000000"/>
                <w:sz w:val="19"/>
                <w:szCs w:val="19"/>
              </w:rPr>
              <w:t>и реконструкцию (модернизацию) объектов питьевого водоснабжения в рамках федер</w:t>
            </w:r>
            <w:r w:rsidR="00F0411D">
              <w:rPr>
                <w:color w:val="000000"/>
                <w:sz w:val="19"/>
                <w:szCs w:val="19"/>
              </w:rPr>
              <w:t xml:space="preserve">ального проекта «Чистая вода», </w:t>
            </w:r>
            <w:r>
              <w:rPr>
                <w:color w:val="000000"/>
                <w:sz w:val="19"/>
                <w:szCs w:val="19"/>
              </w:rPr>
              <w:t xml:space="preserve">Министерством, на которое в соответствии с пунктом 6.1 Соглашения № 032 возложены функции по исполнению (координации исполнения) соглашения и </w:t>
            </w:r>
            <w:r>
              <w:rPr>
                <w:color w:val="000000"/>
                <w:sz w:val="19"/>
                <w:szCs w:val="19"/>
              </w:rPr>
              <w:lastRenderedPageBreak/>
              <w:t>предоставлению отчетности, не обеспечено достижение значений результатов использования субсидии, установленных  приложением № 3 к Соглашению № 032.</w:t>
            </w:r>
            <w:r>
              <w:rPr>
                <w:color w:val="000000"/>
                <w:sz w:val="19"/>
                <w:szCs w:val="19"/>
              </w:rPr>
              <w:br/>
              <w:t>Так, в соответствии с отчетом о достижении значений результатов использования субсидии и обязательствах, принятых в целях их достижения (от 15 января 2025 года), по состоянию на 1 января 2025 года показатель результата использования субсидии «Завершено строительство и реконструкция (модернизация) объектов питьевого водоснабжения и водоподготовки, предусмотренных региональными программами», не достигнут, фактическое значение отклонения от планового показателя составило ( - ) 1. Фактически сложившаяся техническая готовность объекта на 1 января 2025 года - 57,6 % .</w:t>
            </w:r>
          </w:p>
        </w:tc>
        <w:tc>
          <w:tcPr>
            <w:tcW w:w="124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0,0</w:t>
            </w:r>
          </w:p>
        </w:tc>
        <w:tc>
          <w:tcPr>
            <w:tcW w:w="1695" w:type="dxa"/>
            <w:gridSpan w:val="2"/>
            <w:tcBorders>
              <w:top w:val="single" w:sz="6" w:space="0" w:color="000000"/>
              <w:left w:val="single" w:sz="6" w:space="0" w:color="000000"/>
              <w:bottom w:val="single" w:sz="6" w:space="0" w:color="000000"/>
              <w:right w:val="single" w:sz="6" w:space="0" w:color="000000"/>
            </w:tcBorders>
          </w:tcPr>
          <w:p w:rsidR="0020111B" w:rsidRDefault="0020111B">
            <w:pPr>
              <w:jc w:val="center"/>
              <w:rPr>
                <w:color w:val="000000"/>
                <w:sz w:val="19"/>
                <w:szCs w:val="19"/>
              </w:rPr>
            </w:pPr>
          </w:p>
        </w:tc>
      </w:tr>
      <w:tr w:rsidR="0020111B">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МИНИСТЕРСТВО СТРОИТЕЛЬСТВА И ЖИЛИЩНО-КОММУНАЛЬНОГО ХОЗЯЙСТВА АСТРАХАНСКОЙ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МИНИСТЕРСТВО СТРОИТЕЛЬСТВА И ЖИЛИЩНО-КОММУНАЛЬНОГО ХОЗЯЙСТВА АСТРАХАНСКОЙ ОБЛАСТИ</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Соглашение о предоставлении субсидии из бюджета Астраханской области бюджету муниципального образования Астраханской области на реализацию мероприятий по строительству (реконструкции) и капитальному ремонту сетей водоснабжения и водоотведения в рамках реализации инфраструктурных проектов от 15 февраля 2022 г. № 04-01/7.</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 xml:space="preserve">1.3.10 Нарушение порядка и (или) (условий) предоставления из бюджета субсидий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и (или) соглашения о предоставлении субсидии </w:t>
            </w:r>
            <w:r>
              <w:rPr>
                <w:color w:val="000000"/>
                <w:sz w:val="19"/>
                <w:szCs w:val="19"/>
              </w:rPr>
              <w:lastRenderedPageBreak/>
              <w:t>(за исключением нарушений по пункту )</w:t>
            </w:r>
          </w:p>
        </w:tc>
        <w:tc>
          <w:tcPr>
            <w:tcW w:w="3585" w:type="dxa"/>
            <w:tcBorders>
              <w:top w:val="single" w:sz="6" w:space="0" w:color="000000"/>
              <w:left w:val="single" w:sz="6" w:space="0" w:color="000000"/>
              <w:bottom w:val="single" w:sz="6" w:space="0" w:color="000000"/>
              <w:right w:val="single" w:sz="6" w:space="0" w:color="000000"/>
            </w:tcBorders>
          </w:tcPr>
          <w:p w:rsidR="0020111B" w:rsidRDefault="009D5006" w:rsidP="00F0411D">
            <w:pPr>
              <w:jc w:val="center"/>
              <w:rPr>
                <w:color w:val="000000"/>
                <w:sz w:val="19"/>
                <w:szCs w:val="19"/>
              </w:rPr>
            </w:pPr>
            <w:r>
              <w:rPr>
                <w:color w:val="000000"/>
                <w:sz w:val="19"/>
                <w:szCs w:val="19"/>
              </w:rPr>
              <w:lastRenderedPageBreak/>
              <w:t xml:space="preserve">2565480679. В нарушение  пунктов 4.1.3 и 4.1.4  соглашения о предоставлении субсидии из бюджета Астраханской области в сумме 2 783 011,4 тыс. рублей бюджету муниципального образования «Город Астрахань» (в лице УКС Администрации г. Астрахань) на реализацию мероприятий по строительству (реконструкции) и капитальному ремонту сетей водоснабжения и водоотведения в рамках реализации инфраструктурных проектов от 15 февраля 2022 г. № 04-01/7 (далее – Соглашение № 04-01/7) Министерством не осуществлена оценка использования субсидии администрацией муниципального образования «Город Астрахань» (далее – Муниципальное образование) с учетом обязательств по достижению значений показателей результативности использования субсидии, установленных в соответствии с пунктом 4.3.3 Соглашения № 04-01/7, на основании представленных Муниципальным </w:t>
            </w:r>
            <w:r>
              <w:rPr>
                <w:color w:val="000000"/>
                <w:sz w:val="19"/>
                <w:szCs w:val="19"/>
              </w:rPr>
              <w:lastRenderedPageBreak/>
              <w:t xml:space="preserve">образованием отчетности, и не рассчитан в соответствии с пунктами 15–18 Порядка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капитальному ремонту сетей водоснабжения и водоотведения в рамках реализации инфраструктурных проектов, утвержденных постановлением Правительства Астраханской области от 15 декабря 2022 г. № 640-п  (далее – Порядок № 640-п), объем средств, подлежащий возврату из местного бюджета в бюджет Астраханской области в сумме 278 301,1 тыс. рублей (расчетно), и не направлено Муниципальному образованию требование о возврате средств субсидии в бюджет Астраханской области в связи с нарушением Муниципальным образованием обязательств, предусмотренных  Соглашением № 04-01/7 по достижению значений </w:t>
            </w:r>
            <w:r w:rsidR="00F0411D">
              <w:rPr>
                <w:color w:val="000000"/>
                <w:sz w:val="19"/>
                <w:szCs w:val="19"/>
              </w:rPr>
              <w:t xml:space="preserve">показателей результативности. </w:t>
            </w:r>
            <w:r>
              <w:rPr>
                <w:color w:val="000000"/>
                <w:sz w:val="19"/>
                <w:szCs w:val="19"/>
              </w:rPr>
              <w:t xml:space="preserve">Так, согласно данным годового отчета о достижении значений показателей результативности от 15 января 2025 года, представленного Управлением по капитальному строительству администрации муниципального образования «Городской округ город Астрахань», на которое возложены функции по исполнению (координации исполнения) соглашения, показатель значения «протяженность сетей» не достигнут по 31 из 53 объектов с суммарным объемом недостижения указанного показателя – 2,10538 километров на общую сумму 313 544,4 тыс. рублей (расчетно). Таким образом, Муниципальным образованием по Соглашению № 04-01/7 (в редакции дополнительного соглашения от 2 ноября 2024 г. № 04-01/7-9) не обеспечено </w:t>
            </w:r>
            <w:r>
              <w:rPr>
                <w:color w:val="000000"/>
                <w:sz w:val="19"/>
                <w:szCs w:val="19"/>
              </w:rPr>
              <w:lastRenderedPageBreak/>
              <w:t>достижение значений показателей результативности использования субсидии «протяженность сетей», установленных в соответствии с приложением № 4 к Соглашению № 04-01/7 (с учетом приложения № 2 к дополнительному соглашению от 2 ноября 2024 г. № 04-01/7-9), в общем объеме 18,72606 километров, так и значения результатов по отдельным объектам в рамках выполнения мероприятий по строительству (реконструкции) и капитальному ремонту сетей водоснабжения и водоотведения в рамках реализации инфраструктурных проектов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24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313 544,4</w:t>
            </w:r>
          </w:p>
        </w:tc>
        <w:tc>
          <w:tcPr>
            <w:tcW w:w="1695" w:type="dxa"/>
            <w:gridSpan w:val="2"/>
            <w:tcBorders>
              <w:top w:val="single" w:sz="6" w:space="0" w:color="000000"/>
              <w:left w:val="single" w:sz="6" w:space="0" w:color="000000"/>
              <w:bottom w:val="single" w:sz="6" w:space="0" w:color="000000"/>
              <w:right w:val="single" w:sz="6" w:space="0" w:color="000000"/>
            </w:tcBorders>
          </w:tcPr>
          <w:p w:rsidR="0020111B" w:rsidRDefault="0020111B">
            <w:pPr>
              <w:jc w:val="center"/>
              <w:rPr>
                <w:color w:val="000000"/>
                <w:sz w:val="19"/>
                <w:szCs w:val="19"/>
              </w:rPr>
            </w:pPr>
          </w:p>
        </w:tc>
      </w:tr>
      <w:tr w:rsidR="0020111B">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МИНИСТЕРСТВО ТОПЛИВНО-ЭНЕРГЕТИЧЕСКОГО КОМПЛЕКСА И ЖИЛИЩНО-КОММУНАЛЬНОГО ХОЗЯЙСТВА ТАМБОВСКОЙ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МИНИСТЕРСТВО ТОПЛИВНО-ЭНЕРГЕТИЧЕСКОГО КОМПЛЕКСА И ЖИЛИЩНО-КОММУНАЛЬНОГО ХОЗЯЙСТВА ТАМБОВСКОЙ ОБЛАСТИ</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 xml:space="preserve">Соглашения о предоставлении субсидий из федерального бюджета бюджету субъекта Российской Федерации от 24 декабря 2022 г. № 069-09-2023-358  и от </w:t>
            </w:r>
            <w:r>
              <w:rPr>
                <w:color w:val="000000"/>
                <w:sz w:val="19"/>
                <w:szCs w:val="19"/>
              </w:rPr>
              <w:br/>
              <w:t>23 декабря 2023 г. № 069-09-2024-066.</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 xml:space="preserve">1.3.10 Нарушение порядка и (или) (условий) предоставления из бюджета субсидий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и (или) соглашения о </w:t>
            </w:r>
            <w:r>
              <w:rPr>
                <w:color w:val="000000"/>
                <w:sz w:val="19"/>
                <w:szCs w:val="19"/>
              </w:rPr>
              <w:lastRenderedPageBreak/>
              <w:t>предоставлении субсидии (за исключением нарушений по пункту )</w:t>
            </w:r>
          </w:p>
        </w:tc>
        <w:tc>
          <w:tcPr>
            <w:tcW w:w="3585" w:type="dxa"/>
            <w:tcBorders>
              <w:top w:val="single" w:sz="6" w:space="0" w:color="000000"/>
              <w:left w:val="single" w:sz="6" w:space="0" w:color="000000"/>
              <w:bottom w:val="single" w:sz="6" w:space="0" w:color="000000"/>
              <w:right w:val="single" w:sz="6" w:space="0" w:color="000000"/>
            </w:tcBorders>
          </w:tcPr>
          <w:p w:rsidR="0020111B" w:rsidRDefault="009D5006" w:rsidP="00F0411D">
            <w:pPr>
              <w:jc w:val="center"/>
              <w:rPr>
                <w:color w:val="000000"/>
                <w:sz w:val="19"/>
                <w:szCs w:val="19"/>
              </w:rPr>
            </w:pPr>
            <w:r>
              <w:rPr>
                <w:color w:val="000000"/>
                <w:sz w:val="19"/>
                <w:szCs w:val="19"/>
              </w:rPr>
              <w:lastRenderedPageBreak/>
              <w:t xml:space="preserve">2518632781. В нарушение подпункта 6.1.16 соглашений о предоставлении субсидий из федерального бюджета бюджету субъекта Российской Федерации от 24 декабря 2022 г. № 069-09-2023-358 (далее – соглашение № 069-09-2023-358) и от 23 декабря 2023 г. № 069-09-2024-066 (далее – соглашение </w:t>
            </w:r>
            <w:r w:rsidR="00F0411D">
              <w:rPr>
                <w:color w:val="000000"/>
                <w:sz w:val="19"/>
                <w:szCs w:val="19"/>
              </w:rPr>
              <w:br/>
            </w:r>
            <w:r>
              <w:rPr>
                <w:color w:val="000000"/>
                <w:sz w:val="19"/>
                <w:szCs w:val="19"/>
              </w:rPr>
              <w:t>№ 069-09-2024-066), согласно которым Правительство Тамбовской области обязуется заключить соглашения о предоставлении субсидии из бюджета субъекта Российской Федерации местному бюджету не позднее 30-го дня со дня вступления в силу соглашений № 069-09-2023-358  и № 069-09-2024-066 , Министерством заключены соглашения о предоставлении субсидии из бюджета субъекта Российской Федерации местному бюджету в 2023 и 2024 годах с нарушением установленного срока от 3 дней до 153 дней.</w:t>
            </w:r>
            <w:r w:rsidR="00F0411D">
              <w:rPr>
                <w:color w:val="000000"/>
                <w:sz w:val="19"/>
                <w:szCs w:val="19"/>
              </w:rPr>
              <w:t xml:space="preserve"> </w:t>
            </w:r>
            <w:r>
              <w:rPr>
                <w:color w:val="000000"/>
                <w:sz w:val="19"/>
                <w:szCs w:val="19"/>
              </w:rPr>
              <w:t xml:space="preserve">Так, нарушение указанного срока допущено в 2023 году при заключении </w:t>
            </w:r>
            <w:r>
              <w:rPr>
                <w:color w:val="000000"/>
                <w:sz w:val="19"/>
                <w:szCs w:val="19"/>
              </w:rPr>
              <w:lastRenderedPageBreak/>
              <w:t>Министерством соглашений с 10 муниципальными образованиями в рамках соглашения № 069-09-2023-358:</w:t>
            </w:r>
            <w:r>
              <w:rPr>
                <w:color w:val="000000"/>
                <w:sz w:val="19"/>
                <w:szCs w:val="19"/>
              </w:rPr>
              <w:br/>
              <w:t>соглашение от 26 января 2023 г. № 68705000-1-2023-006 с администрацией г. Кирсанова Тамбовской области;</w:t>
            </w:r>
            <w:r>
              <w:rPr>
                <w:color w:val="000000"/>
                <w:sz w:val="19"/>
                <w:szCs w:val="19"/>
              </w:rPr>
              <w:br/>
              <w:t>соглашение от 30 января 2023 г. № 68610415-1-2023-001 с администрацией Голынщинского сельсовета Кирсановского района Тамбовской области;</w:t>
            </w:r>
            <w:r>
              <w:rPr>
                <w:color w:val="000000"/>
                <w:sz w:val="19"/>
                <w:szCs w:val="19"/>
              </w:rPr>
              <w:br/>
              <w:t>соглашение от 30 января 2023 г. № 68610440-1-2023-001 с администрацией Ковыльского сельсовета Кирсановского района Тамбовской области;</w:t>
            </w:r>
            <w:r>
              <w:rPr>
                <w:color w:val="000000"/>
                <w:sz w:val="19"/>
                <w:szCs w:val="19"/>
              </w:rPr>
              <w:br/>
              <w:t>соглашение от 31 января 2023 г. № 68624440-1-2023-002 с администрацией Петровского сельсовета Петровского района Тамбовской области;</w:t>
            </w:r>
            <w:r>
              <w:rPr>
                <w:color w:val="000000"/>
                <w:sz w:val="19"/>
                <w:szCs w:val="19"/>
              </w:rPr>
              <w:br/>
              <w:t>соглашение от 31 января 2023 г. № 68628420-1-2023-001 с администрацией Нижнеспасского сельсовета Рассказовского района Тамбовской области;</w:t>
            </w:r>
            <w:r>
              <w:rPr>
                <w:color w:val="000000"/>
                <w:sz w:val="19"/>
                <w:szCs w:val="19"/>
              </w:rPr>
              <w:br/>
              <w:t>соглашение от 31 января 2023 г. № 68640158-1-2023-001 с администрацией Новолядинского поссовета Тамбовского района Тамбовской области;</w:t>
            </w:r>
            <w:r>
              <w:rPr>
                <w:color w:val="000000"/>
                <w:sz w:val="19"/>
                <w:szCs w:val="19"/>
              </w:rPr>
              <w:br/>
              <w:t>соглашение от 31 января 2023 г. № 68701000-1-2023-008 с администрацией г. Тамбова Тамбовской области;</w:t>
            </w:r>
            <w:r>
              <w:rPr>
                <w:color w:val="000000"/>
                <w:sz w:val="19"/>
                <w:szCs w:val="19"/>
              </w:rPr>
              <w:br/>
              <w:t>соглашение от 1 февраля 2023 г. № 68612430-1-2023-003 с администрацией Кочетовского сельсовета Мичуринского района Тамбовской области;</w:t>
            </w:r>
            <w:r>
              <w:rPr>
                <w:color w:val="000000"/>
                <w:sz w:val="19"/>
                <w:szCs w:val="19"/>
              </w:rPr>
              <w:br/>
              <w:t>соглашение от 21 июня 2023 г. № 68612445-1-2023-001 с администрацией Остролучинского сельсовета Мичуринского района Тамбовской области;</w:t>
            </w:r>
            <w:r>
              <w:rPr>
                <w:color w:val="000000"/>
                <w:sz w:val="19"/>
                <w:szCs w:val="19"/>
              </w:rPr>
              <w:br/>
              <w:t xml:space="preserve">соглашение от 26 июня 2023 г. № 68710000-1-2023-010 с администрацией города Котовска Тамбовской области.  </w:t>
            </w:r>
            <w:r>
              <w:rPr>
                <w:color w:val="000000"/>
                <w:sz w:val="19"/>
                <w:szCs w:val="19"/>
              </w:rPr>
              <w:br/>
              <w:t xml:space="preserve">В 2024 году нарушение установленного срока допущено Министерством при </w:t>
            </w:r>
            <w:r>
              <w:rPr>
                <w:color w:val="000000"/>
                <w:sz w:val="19"/>
                <w:szCs w:val="19"/>
              </w:rPr>
              <w:lastRenderedPageBreak/>
              <w:t>заключении соглашений с 4 муниципальными образованиями в рамках соглашения № 069-09-2024-066:</w:t>
            </w:r>
            <w:r>
              <w:rPr>
                <w:color w:val="000000"/>
                <w:sz w:val="19"/>
                <w:szCs w:val="19"/>
              </w:rPr>
              <w:br/>
              <w:t>соглашение от 5 февраля 2024 г. № 68516000-1-2024-002 с администрацией Моршанского муниципального округа Тамбовской области;</w:t>
            </w:r>
            <w:r>
              <w:rPr>
                <w:color w:val="000000"/>
                <w:sz w:val="19"/>
                <w:szCs w:val="19"/>
              </w:rPr>
              <w:br/>
              <w:t>соглашение от 7 февраля 2024 г. № 68512000-1-2024-002 с финансовым управлением администрации Мичуринского муниципального округа Тамбовской области;</w:t>
            </w:r>
            <w:r>
              <w:rPr>
                <w:color w:val="000000"/>
                <w:sz w:val="19"/>
                <w:szCs w:val="19"/>
              </w:rPr>
              <w:br/>
              <w:t>соглашение от 7 февраля 2024 г. № 68528000-1-2024-002 с администрацией Рассказовского муниципального округа Тамбовской области;</w:t>
            </w:r>
            <w:r>
              <w:rPr>
                <w:color w:val="000000"/>
                <w:sz w:val="19"/>
                <w:szCs w:val="19"/>
              </w:rPr>
              <w:br/>
              <w:t>соглашение от 7 февраля 2024 г. № 68710000-1-2024-005 с администрацией города Котовска Тамбовской области.</w:t>
            </w:r>
          </w:p>
        </w:tc>
        <w:tc>
          <w:tcPr>
            <w:tcW w:w="124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0,0</w:t>
            </w:r>
          </w:p>
        </w:tc>
        <w:tc>
          <w:tcPr>
            <w:tcW w:w="1695" w:type="dxa"/>
            <w:gridSpan w:val="2"/>
            <w:tcBorders>
              <w:top w:val="single" w:sz="6" w:space="0" w:color="000000"/>
              <w:left w:val="single" w:sz="6" w:space="0" w:color="000000"/>
              <w:bottom w:val="single" w:sz="6" w:space="0" w:color="000000"/>
              <w:right w:val="single" w:sz="6" w:space="0" w:color="000000"/>
            </w:tcBorders>
          </w:tcPr>
          <w:p w:rsidR="0020111B" w:rsidRDefault="0020111B">
            <w:pPr>
              <w:jc w:val="center"/>
              <w:rPr>
                <w:color w:val="000000"/>
                <w:sz w:val="19"/>
                <w:szCs w:val="19"/>
              </w:rPr>
            </w:pPr>
          </w:p>
        </w:tc>
      </w:tr>
      <w:tr w:rsidR="0020111B">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МУНИЦИПАЛЬНОЕ КАЗЕННОЕ УЧРЕЖДЕНИЕ "ИНВЕСТИЦИОННО-СТРОИТЕЛЬНЫЙ ЦЕНТР Г. ТАМБОВА "ИНВЕСТОР"</w:t>
            </w:r>
          </w:p>
        </w:tc>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МУНИЦИПАЛЬНОЕ КАЗЕННОЕ УЧРЕЖДЕНИЕ "ИНВЕСТИЦИОННО-СТРОИТЕЛЬНЫЙ ЦЕНТР Г. ТАМБОВА "ИНВЕСТОР"</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Постановление администрации города Тамбова от 14 декабря 2021 г. № 6175 «О мерах, обеспечивающих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ремонту и (или) содержанию автомобильных дорог общего пользования местного значения».</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4.41 Внесение изменений (невнесение изменений) в контракт (договор) с нарушением требований, установленных законодательством Российской Федерации</w:t>
            </w:r>
          </w:p>
        </w:tc>
        <w:tc>
          <w:tcPr>
            <w:tcW w:w="3585" w:type="dxa"/>
            <w:tcBorders>
              <w:top w:val="single" w:sz="6" w:space="0" w:color="000000"/>
              <w:left w:val="single" w:sz="6" w:space="0" w:color="000000"/>
              <w:bottom w:val="single" w:sz="6" w:space="0" w:color="000000"/>
              <w:right w:val="single" w:sz="6" w:space="0" w:color="000000"/>
            </w:tcBorders>
          </w:tcPr>
          <w:p w:rsidR="0020111B" w:rsidRDefault="009D5006" w:rsidP="00384780">
            <w:pPr>
              <w:jc w:val="center"/>
              <w:rPr>
                <w:color w:val="000000"/>
                <w:sz w:val="19"/>
                <w:szCs w:val="19"/>
              </w:rPr>
            </w:pPr>
            <w:r>
              <w:rPr>
                <w:color w:val="000000"/>
                <w:sz w:val="19"/>
                <w:szCs w:val="19"/>
              </w:rPr>
              <w:t xml:space="preserve">2576142319. В соответствии с пунктом 1.1 постановления администрации города Тамбова от 14 декабря 2021 г. № 6175 «О мерах, обеспечивающих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ремонту и (или) содержанию автомобильных дорог общего пользования местного значения» (далее – постановление № 6175) допускается изменение существенных условий контракта, в том числе изменение (увеличение) цены контракта, осуществляемое в пределах лимитов бюджетных обязательств, доведенных до получателя средств городского бюджета муниципального образования городской округ – город Тамбов в соответствии с бюджетным законодательством Российской Федерации, на срок </w:t>
            </w:r>
            <w:r>
              <w:rPr>
                <w:color w:val="000000"/>
                <w:sz w:val="19"/>
                <w:szCs w:val="19"/>
              </w:rPr>
              <w:lastRenderedPageBreak/>
              <w:t xml:space="preserve">исполнения контракта и если это не приводит к увеличению срока исполнения контракта и (или) цены контракта более чем на 30 процентов. </w:t>
            </w:r>
            <w:r>
              <w:rPr>
                <w:color w:val="000000"/>
                <w:sz w:val="19"/>
                <w:szCs w:val="19"/>
              </w:rPr>
              <w:br/>
              <w:t>Пунктом 1.1 постановления № 6175 определено, что изменение (увеличение) цены контракта осуществляется при том, что предусмотренные проектной документацией соответствующего объекта капитального строительства физические объемы работ, конструктивные, организационно-технологические и другие решения не изменяются. В нарушение указанных положений постановления № 6175, МКУ ИСЦ 24 августа 2022 года заключило дополнительное соглашение № 1 к муниципальному контракту от 14 января 2022 г. № 11/21, заключенному с ООО «Тамбовспецстрой» на выполнение подрядных (строительных) работ для муниципальных нужд городского округа – город Тамбов по объекту: «Строительство водовода в п. Ласки с закольцовкой по ул. Чкалова в г. Тамбове Тамбовской области», которым произведено фактическое уменьшение объема работ на 228,3 тыс. рублей с одновременным  увеличением цены муниципального контракта с 5 896,9 тыс. рублей до 7 127,9 тыс. рублей.</w:t>
            </w:r>
          </w:p>
        </w:tc>
        <w:tc>
          <w:tcPr>
            <w:tcW w:w="124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0,0</w:t>
            </w:r>
          </w:p>
        </w:tc>
        <w:tc>
          <w:tcPr>
            <w:tcW w:w="1695" w:type="dxa"/>
            <w:gridSpan w:val="2"/>
            <w:tcBorders>
              <w:top w:val="single" w:sz="6" w:space="0" w:color="000000"/>
              <w:left w:val="single" w:sz="6" w:space="0" w:color="000000"/>
              <w:bottom w:val="single" w:sz="6" w:space="0" w:color="000000"/>
              <w:right w:val="single" w:sz="6" w:space="0" w:color="000000"/>
            </w:tcBorders>
          </w:tcPr>
          <w:p w:rsidR="0020111B" w:rsidRDefault="0020111B">
            <w:pPr>
              <w:jc w:val="center"/>
              <w:rPr>
                <w:color w:val="000000"/>
                <w:sz w:val="19"/>
                <w:szCs w:val="19"/>
              </w:rPr>
            </w:pPr>
          </w:p>
        </w:tc>
      </w:tr>
      <w:tr w:rsidR="0020111B">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УПРАВЛЕНИЕ ПО КАПИТАЛЬНОМУ СТРОИТЕЛЬСТВУ АДМИНИСТРАЦИИ МУНИЦИПАЛЬНОГО ОБРАЗОВАНИЯ "ГОРОД АСТРАХАНЬ"</w:t>
            </w:r>
          </w:p>
        </w:tc>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УПРАВЛЕНИЕ ПО КАПИТАЛЬНОМУ СТРОИТЕЛЬСТВУ АДМИНИСТРАЦИИ МУНИЦИПАЛЬНОГО ОБРАЗОВАНИЯ "ГОРОД АСТРАХАНЬ"</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Часть 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4.33 Отсутствие надлежащего обеспечения исполнения контракта (договора)</w:t>
            </w:r>
          </w:p>
        </w:tc>
        <w:tc>
          <w:tcPr>
            <w:tcW w:w="3585" w:type="dxa"/>
            <w:tcBorders>
              <w:top w:val="single" w:sz="6" w:space="0" w:color="000000"/>
              <w:left w:val="single" w:sz="6" w:space="0" w:color="000000"/>
              <w:bottom w:val="single" w:sz="6" w:space="0" w:color="000000"/>
              <w:right w:val="single" w:sz="6" w:space="0" w:color="000000"/>
            </w:tcBorders>
          </w:tcPr>
          <w:p w:rsidR="0020111B" w:rsidRDefault="009D5006" w:rsidP="00F0411D">
            <w:pPr>
              <w:jc w:val="center"/>
              <w:rPr>
                <w:color w:val="000000"/>
                <w:sz w:val="19"/>
                <w:szCs w:val="19"/>
              </w:rPr>
            </w:pPr>
            <w:r>
              <w:rPr>
                <w:color w:val="000000"/>
                <w:sz w:val="19"/>
                <w:szCs w:val="19"/>
              </w:rPr>
              <w:t xml:space="preserve">2588675779. В нарушение части 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согласно которой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w:t>
            </w:r>
            <w:r>
              <w:rPr>
                <w:color w:val="000000"/>
                <w:sz w:val="19"/>
                <w:szCs w:val="19"/>
              </w:rPr>
              <w:lastRenderedPageBreak/>
              <w:t xml:space="preserve">соответствии со статьей 95 указанного Федерального закона, УКС Администрации г. Астрахань заключено дополнительное соглашение от 26 ноября 2024 г. № 556/83/16 к муниципальному контракту от 5 августа 2022 г. № 83, заключенному с единственным поставщиком (ООО «ССР») </w:t>
            </w:r>
            <w:r w:rsidRPr="00C30A99">
              <w:rPr>
                <w:color w:val="000000"/>
                <w:spacing w:val="-6"/>
                <w:sz w:val="19"/>
                <w:szCs w:val="19"/>
              </w:rPr>
              <w:t>на выполнение мероприятий по капитальному ремонту сетей водоснабжения и водоотведения, включая подготовку проектной документации (далее – муниципальный контракт № 83), на основании которого срок исполнения обязательств продлен до 20 декабря 2024 года, при отсутствии банковской гарантии, обеспечивающей исполнение муниципального контракта на протяжении увеличенного срока действия контракта не менее чем на один месяц (срок действия банковской гарантии от 2 декабря 2024 г. № 0В179R013 – до 31 декабря 2024 года включительно). Таким образом, в период с 1 января 2025 года исполнение обязательств подрядчика по муниципальному контракту № 83 не обеспечено, по состоянию на 21 февраля 2025 года  исполнение контракта не завершено.</w:t>
            </w:r>
          </w:p>
        </w:tc>
        <w:tc>
          <w:tcPr>
            <w:tcW w:w="124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0,0</w:t>
            </w:r>
          </w:p>
        </w:tc>
        <w:tc>
          <w:tcPr>
            <w:tcW w:w="1695" w:type="dxa"/>
            <w:gridSpan w:val="2"/>
            <w:tcBorders>
              <w:top w:val="single" w:sz="6" w:space="0" w:color="000000"/>
              <w:left w:val="single" w:sz="6" w:space="0" w:color="000000"/>
              <w:bottom w:val="single" w:sz="6" w:space="0" w:color="000000"/>
              <w:right w:val="single" w:sz="6" w:space="0" w:color="000000"/>
            </w:tcBorders>
          </w:tcPr>
          <w:p w:rsidR="0020111B" w:rsidRDefault="0020111B">
            <w:pPr>
              <w:jc w:val="center"/>
              <w:rPr>
                <w:color w:val="000000"/>
                <w:sz w:val="19"/>
                <w:szCs w:val="19"/>
              </w:rPr>
            </w:pPr>
          </w:p>
        </w:tc>
      </w:tr>
      <w:tr w:rsidR="0020111B">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УПРАВЛЕНИЕ ПО КАПИТАЛЬНОМУ СТРОИТЕЛЬСТВУ АДМИНИСТРАЦИИ МУНИЦИПАЛЬНОГО ОБРАЗОВАНИЯ "ГОРОД АСТРАХАНЬ"</w:t>
            </w:r>
          </w:p>
        </w:tc>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УПРАВЛЕНИЕ ПО КАПИТАЛЬНОМУ СТРОИТЕЛЬСТВУ АДМИНИСТРАЦИИ МУНИЦИПАЛЬНОГО ОБРАЗОВАНИЯ "ГОРОД АСТРАХАНЬ"</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Соглашение о предоставлении субсидии из бюджета Астраханской области бюджету муниципального образования «Город Астрахань» на реализацию мероприятий по строительству (реконструкции) и капитальному ремонту сетей водоснабжения и водоотведения в рамках реализации инфраструктурных проектов от 15 февраля 2022 г. № 04-01/7.</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 xml:space="preserve">1.3.10 Нарушение порядка и (или) (условий) предоставления из бюджета субсидий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w:t>
            </w:r>
            <w:r>
              <w:rPr>
                <w:color w:val="000000"/>
                <w:sz w:val="19"/>
                <w:szCs w:val="19"/>
              </w:rPr>
              <w:lastRenderedPageBreak/>
              <w:t>объекты муниципальной собственности, которые осуществляются из местных бюджетов и (или) соглашения о предоставлении субсидии (за исключением нарушений по пункту )</w:t>
            </w:r>
          </w:p>
        </w:tc>
        <w:tc>
          <w:tcPr>
            <w:tcW w:w="3585" w:type="dxa"/>
            <w:tcBorders>
              <w:top w:val="single" w:sz="6" w:space="0" w:color="000000"/>
              <w:left w:val="single" w:sz="6" w:space="0" w:color="000000"/>
              <w:bottom w:val="single" w:sz="6" w:space="0" w:color="000000"/>
              <w:right w:val="single" w:sz="6" w:space="0" w:color="000000"/>
            </w:tcBorders>
          </w:tcPr>
          <w:p w:rsidR="0020111B" w:rsidRDefault="009D5006" w:rsidP="00C30A99">
            <w:pPr>
              <w:jc w:val="center"/>
              <w:rPr>
                <w:color w:val="000000"/>
                <w:sz w:val="19"/>
                <w:szCs w:val="19"/>
              </w:rPr>
            </w:pPr>
            <w:r>
              <w:rPr>
                <w:color w:val="000000"/>
                <w:sz w:val="19"/>
                <w:szCs w:val="19"/>
              </w:rPr>
              <w:lastRenderedPageBreak/>
              <w:t xml:space="preserve">2576793245. В нарушение пункта 4.3.3 Соглашения о предоставлении субсидии из бюджета Астраханской области бюджету муниципального образования «Город Астрахань» на реализацию мероприятий по строительству (реконструкции) и капитальному ремонту сетей водоснабжения и водоотведения в рамках реализации инфраструктурных проектов от 15 февраля 2022 г. № 04-01/7, УКС Администрации г. Астрахань, на которое в соответствии с пунктом 6.1.1 указанного соглашения возложены функции по исполнению (координации исполнения) соглашения и предоставления отчетности, обязуется обеспечить достижение значений показателей результативности </w:t>
            </w:r>
            <w:r>
              <w:rPr>
                <w:color w:val="000000"/>
                <w:sz w:val="19"/>
                <w:szCs w:val="19"/>
              </w:rPr>
              <w:lastRenderedPageBreak/>
              <w:t>использования субсидии, установленных в соответствии с приложением № 4 к соглашению, УКС Администрации г. Астрахань не обеспечено достижение установленного значения результата «протяженность сетей» в общем объеме 18,72606 километров, и значения результатов по отдельным объектам в рамках выполнения мероприятий по строительству (реконструкции) и капитальному ремонту сетей водоснабжения и водоотведения в рамках реализации инфраструктурных проектов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r w:rsidR="00F0411D">
              <w:rPr>
                <w:color w:val="000000"/>
                <w:sz w:val="19"/>
                <w:szCs w:val="19"/>
              </w:rPr>
              <w:t xml:space="preserve"> </w:t>
            </w:r>
            <w:r>
              <w:rPr>
                <w:color w:val="000000"/>
                <w:sz w:val="19"/>
                <w:szCs w:val="19"/>
              </w:rPr>
              <w:t>Так, согласно данным годового отчета о достижении значений показателей результативности от 15 января 2025 года, представленного УКС Администрации г. Астрахань в адрес Министерства строительства и жилищно-коммунального хозяйства Астраханской области, показатели значений не достигнуты по 31 из 53 объектов по строительству (реконструкции) и капитальному ремонту сетей водоснабжения и водоотведения в рамках реализации инфраструктурных проектов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 с суммарным показателем в объеме 2,10538 километров на общую сумму 313 544,4 тыс. рублей (расчетно).</w:t>
            </w:r>
            <w:r w:rsidR="00F0411D">
              <w:rPr>
                <w:color w:val="000000"/>
                <w:sz w:val="19"/>
                <w:szCs w:val="19"/>
              </w:rPr>
              <w:t xml:space="preserve"> </w:t>
            </w:r>
            <w:r>
              <w:rPr>
                <w:color w:val="000000"/>
                <w:sz w:val="19"/>
                <w:szCs w:val="19"/>
              </w:rPr>
              <w:t xml:space="preserve">В соответствии с пунктом 15 Порядка предоставления и распределения субсидий из бюджета Астраханской </w:t>
            </w:r>
            <w:r>
              <w:rPr>
                <w:color w:val="000000"/>
                <w:sz w:val="19"/>
                <w:szCs w:val="19"/>
              </w:rPr>
              <w:lastRenderedPageBreak/>
              <w:t>области муниципальным образованиям Астраханской области на реализацию мероприятий по капитальному ремонту сетей водоснабжения и водоотведения в рамках реализации инфраструктурных проектов, утвержденного постановлением Правительства Астраханской области от 15 декабря 2022 г. № 640-п, в  случае если муниципальным образованием Астраханской области по состоянию на 31 декабря года предоставления субсидии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представления отчетности о достижении значений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до 1 июня года, следующего за годом предоставления субсидии, средства субсидии в соответствующем размере из бюджета муниципального образования Астраханской области подлежат возврату в бюджет Астраханской области.</w:t>
            </w:r>
          </w:p>
        </w:tc>
        <w:tc>
          <w:tcPr>
            <w:tcW w:w="124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0,0</w:t>
            </w:r>
          </w:p>
        </w:tc>
        <w:tc>
          <w:tcPr>
            <w:tcW w:w="1695" w:type="dxa"/>
            <w:gridSpan w:val="2"/>
            <w:tcBorders>
              <w:top w:val="single" w:sz="6" w:space="0" w:color="000000"/>
              <w:left w:val="single" w:sz="6" w:space="0" w:color="000000"/>
              <w:bottom w:val="single" w:sz="6" w:space="0" w:color="000000"/>
              <w:right w:val="single" w:sz="6" w:space="0" w:color="000000"/>
            </w:tcBorders>
          </w:tcPr>
          <w:p w:rsidR="0020111B" w:rsidRDefault="0020111B">
            <w:pPr>
              <w:jc w:val="center"/>
              <w:rPr>
                <w:color w:val="000000"/>
                <w:sz w:val="19"/>
                <w:szCs w:val="19"/>
              </w:rPr>
            </w:pPr>
          </w:p>
        </w:tc>
      </w:tr>
      <w:tr w:rsidR="0020111B" w:rsidTr="00C30A99">
        <w:trPr>
          <w:gridAfter w:val="1"/>
          <w:wAfter w:w="15" w:type="dxa"/>
          <w:trHeight w:val="56"/>
        </w:trPr>
        <w:tc>
          <w:tcPr>
            <w:tcW w:w="12195" w:type="dxa"/>
            <w:gridSpan w:val="5"/>
            <w:tcBorders>
              <w:top w:val="single" w:sz="6" w:space="0" w:color="000000"/>
              <w:left w:val="single" w:sz="6" w:space="0" w:color="000000"/>
              <w:bottom w:val="single" w:sz="6" w:space="0" w:color="000000"/>
              <w:right w:val="single" w:sz="6" w:space="0" w:color="000000"/>
            </w:tcBorders>
            <w:vAlign w:val="center"/>
          </w:tcPr>
          <w:p w:rsidR="0020111B" w:rsidRDefault="009D5006">
            <w:pPr>
              <w:ind w:right="113"/>
              <w:jc w:val="right"/>
              <w:rPr>
                <w:b/>
                <w:bCs/>
                <w:color w:val="000000"/>
                <w:sz w:val="19"/>
                <w:szCs w:val="19"/>
              </w:rPr>
            </w:pPr>
            <w:r>
              <w:rPr>
                <w:b/>
                <w:bCs/>
                <w:color w:val="000000"/>
                <w:sz w:val="19"/>
                <w:szCs w:val="19"/>
              </w:rPr>
              <w:lastRenderedPageBreak/>
              <w:t>Всего по разделу 1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b/>
                <w:bCs/>
                <w:color w:val="000000"/>
                <w:sz w:val="19"/>
                <w:szCs w:val="19"/>
              </w:rPr>
            </w:pPr>
            <w:r>
              <w:rPr>
                <w:b/>
                <w:bCs/>
                <w:color w:val="000000"/>
                <w:sz w:val="19"/>
                <w:szCs w:val="19"/>
              </w:rPr>
              <w:t>313 544,4</w:t>
            </w:r>
          </w:p>
        </w:tc>
        <w:tc>
          <w:tcPr>
            <w:tcW w:w="1680" w:type="dxa"/>
            <w:tcBorders>
              <w:top w:val="single" w:sz="6" w:space="0" w:color="000000"/>
              <w:left w:val="single" w:sz="6" w:space="0" w:color="000000"/>
              <w:bottom w:val="single" w:sz="6" w:space="0" w:color="000000"/>
              <w:right w:val="single" w:sz="6" w:space="0" w:color="000000"/>
            </w:tcBorders>
            <w:vAlign w:val="center"/>
          </w:tcPr>
          <w:p w:rsidR="0020111B" w:rsidRDefault="0020111B">
            <w:pPr>
              <w:jc w:val="center"/>
              <w:rPr>
                <w:b/>
                <w:bCs/>
                <w:color w:val="000000"/>
                <w:sz w:val="19"/>
                <w:szCs w:val="19"/>
              </w:rPr>
            </w:pPr>
          </w:p>
        </w:tc>
      </w:tr>
      <w:tr w:rsidR="0020111B" w:rsidTr="00C30A99">
        <w:trPr>
          <w:trHeight w:val="116"/>
        </w:trPr>
        <w:tc>
          <w:tcPr>
            <w:tcW w:w="15135" w:type="dxa"/>
            <w:gridSpan w:val="8"/>
            <w:tcBorders>
              <w:top w:val="single" w:sz="6" w:space="0" w:color="000000"/>
              <w:left w:val="single" w:sz="6" w:space="0" w:color="000000"/>
              <w:bottom w:val="single" w:sz="6" w:space="0" w:color="000000"/>
              <w:right w:val="single" w:sz="6" w:space="0" w:color="000000"/>
            </w:tcBorders>
            <w:vAlign w:val="center"/>
          </w:tcPr>
          <w:p w:rsidR="0020111B" w:rsidRDefault="009D5006">
            <w:pPr>
              <w:rPr>
                <w:b/>
                <w:bCs/>
                <w:color w:val="000000"/>
                <w:sz w:val="19"/>
                <w:szCs w:val="19"/>
              </w:rPr>
            </w:pPr>
            <w:r>
              <w:rPr>
                <w:b/>
                <w:bCs/>
                <w:color w:val="000000"/>
                <w:sz w:val="19"/>
                <w:szCs w:val="19"/>
              </w:rPr>
              <w:t>2. Прочие нарушения и недостатки</w:t>
            </w:r>
          </w:p>
        </w:tc>
      </w:tr>
      <w:tr w:rsidR="0020111B">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УПРАВЛЕНИЕ ПО КАПИТАЛЬНОМУ СТРОИТЕЛЬСТВУ АДМИНИСТРАЦИИ МУНИЦИПАЛЬНОГО ОБРАЗОВАНИЯ "ГОРОД АСТРАХАНЬ"</w:t>
            </w:r>
          </w:p>
        </w:tc>
        <w:tc>
          <w:tcPr>
            <w:tcW w:w="2040"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УПРАВЛЕНИЕ ПО КАПИТАЛЬНОМУ СТРОИТЕЛЬСТВУ АДМИНИСТРАЦИИ МУНИЦИПАЛЬНОГО ОБРАЗОВАНИЯ "ГОРОД АСТРАХАНЬ"</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tc>
        <w:tc>
          <w:tcPr>
            <w:tcW w:w="226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t>XXX</w:t>
            </w:r>
          </w:p>
        </w:tc>
        <w:tc>
          <w:tcPr>
            <w:tcW w:w="3585" w:type="dxa"/>
            <w:tcBorders>
              <w:top w:val="single" w:sz="6" w:space="0" w:color="000000"/>
              <w:left w:val="single" w:sz="6" w:space="0" w:color="000000"/>
              <w:bottom w:val="single" w:sz="6" w:space="0" w:color="000000"/>
              <w:right w:val="single" w:sz="6" w:space="0" w:color="000000"/>
            </w:tcBorders>
          </w:tcPr>
          <w:p w:rsidR="0020111B" w:rsidRDefault="009D5006" w:rsidP="00C30A99">
            <w:pPr>
              <w:jc w:val="center"/>
              <w:rPr>
                <w:color w:val="000000"/>
                <w:sz w:val="19"/>
                <w:szCs w:val="19"/>
              </w:rPr>
            </w:pPr>
            <w:r>
              <w:rPr>
                <w:color w:val="000000"/>
                <w:sz w:val="19"/>
                <w:szCs w:val="19"/>
              </w:rPr>
              <w:t>2542993802. В соответствии с частью 7 статьи 95 Федерального закона № 44-ФЗ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C30A99">
              <w:rPr>
                <w:color w:val="000000"/>
                <w:sz w:val="19"/>
                <w:szCs w:val="19"/>
              </w:rPr>
              <w:t xml:space="preserve"> </w:t>
            </w:r>
            <w:r>
              <w:rPr>
                <w:color w:val="000000"/>
                <w:sz w:val="19"/>
                <w:szCs w:val="19"/>
              </w:rPr>
              <w:t xml:space="preserve">Пунктом 5.4.14 муниципального </w:t>
            </w:r>
            <w:r>
              <w:rPr>
                <w:color w:val="000000"/>
                <w:sz w:val="19"/>
                <w:szCs w:val="19"/>
              </w:rPr>
              <w:lastRenderedPageBreak/>
              <w:t xml:space="preserve">контракта № 83 предусмотрено, что замена оборудования, материалов, изделий и конструкций допустима только с письменного согласования заказчика и на основании дополнительного соглашения при условии, что предлагаемые подрядчиком для замены оборудование, материалы, изделия и конструкции имеют улучшенные технические и функциональные характеристики (потребительские свойства) по сравнению с качеством и соответствующими техническими и функциональными </w:t>
            </w:r>
            <w:r w:rsidRPr="00C30A99">
              <w:rPr>
                <w:color w:val="000000"/>
                <w:spacing w:val="-6"/>
                <w:sz w:val="19"/>
                <w:szCs w:val="19"/>
              </w:rPr>
              <w:t>характеристиками, указанными в проектной документации, рабочей документации. Проверкой установлено, что УКС Администрации г. Астрахань при реализации контракта № 83 по 14 объектам капитального ремонта согласована замена запорно-регулирующего оборудования, предусмотренного проектной документацией, на дорогостоящие аналоги, на общую сумму 63 886,2 тыс. рублей (без учета НДС).</w:t>
            </w:r>
            <w:r w:rsidR="00C30A99" w:rsidRPr="00C30A99">
              <w:rPr>
                <w:color w:val="000000"/>
                <w:spacing w:val="-6"/>
                <w:sz w:val="19"/>
                <w:szCs w:val="19"/>
              </w:rPr>
              <w:t xml:space="preserve"> </w:t>
            </w:r>
            <w:r w:rsidRPr="00C30A99">
              <w:rPr>
                <w:color w:val="000000"/>
                <w:spacing w:val="-6"/>
                <w:sz w:val="19"/>
                <w:szCs w:val="19"/>
              </w:rPr>
              <w:t>При этом обосновывающие документы, подтверждающие техническую необходимость замены указанного оборудования, а также улучшение его технических и функциональных характеристик (потребительских свойств), отсутствуют, что не позволяет подтвердить экономическую целесообразность замены оборудования и может свидетельствовать о рисках необоснованного увеличения  стоимости работ на общую сумму 63 886,2 тыс. рублей.</w:t>
            </w:r>
          </w:p>
        </w:tc>
        <w:tc>
          <w:tcPr>
            <w:tcW w:w="1245" w:type="dxa"/>
            <w:tcBorders>
              <w:top w:val="single" w:sz="6" w:space="0" w:color="000000"/>
              <w:left w:val="single" w:sz="6" w:space="0" w:color="000000"/>
              <w:bottom w:val="single" w:sz="6" w:space="0" w:color="000000"/>
              <w:right w:val="single" w:sz="6" w:space="0" w:color="000000"/>
            </w:tcBorders>
          </w:tcPr>
          <w:p w:rsidR="0020111B" w:rsidRDefault="009D5006">
            <w:pPr>
              <w:jc w:val="center"/>
              <w:rPr>
                <w:color w:val="000000"/>
                <w:sz w:val="19"/>
                <w:szCs w:val="19"/>
              </w:rPr>
            </w:pPr>
            <w:r>
              <w:rPr>
                <w:color w:val="000000"/>
                <w:sz w:val="19"/>
                <w:szCs w:val="19"/>
              </w:rPr>
              <w:lastRenderedPageBreak/>
              <w:t>63 886,2</w:t>
            </w:r>
          </w:p>
        </w:tc>
        <w:tc>
          <w:tcPr>
            <w:tcW w:w="1695" w:type="dxa"/>
            <w:gridSpan w:val="2"/>
            <w:tcBorders>
              <w:top w:val="single" w:sz="6" w:space="0" w:color="000000"/>
              <w:left w:val="single" w:sz="6" w:space="0" w:color="000000"/>
              <w:bottom w:val="single" w:sz="6" w:space="0" w:color="000000"/>
              <w:right w:val="single" w:sz="6" w:space="0" w:color="000000"/>
            </w:tcBorders>
          </w:tcPr>
          <w:p w:rsidR="0020111B" w:rsidRDefault="0020111B">
            <w:pPr>
              <w:jc w:val="center"/>
              <w:rPr>
                <w:color w:val="000000"/>
                <w:sz w:val="19"/>
                <w:szCs w:val="19"/>
              </w:rPr>
            </w:pPr>
          </w:p>
        </w:tc>
      </w:tr>
      <w:tr w:rsidR="0020111B" w:rsidTr="00C30A99">
        <w:trPr>
          <w:gridAfter w:val="1"/>
          <w:wAfter w:w="15" w:type="dxa"/>
          <w:trHeight w:val="84"/>
        </w:trPr>
        <w:tc>
          <w:tcPr>
            <w:tcW w:w="12195" w:type="dxa"/>
            <w:gridSpan w:val="5"/>
            <w:tcBorders>
              <w:top w:val="single" w:sz="6" w:space="0" w:color="000000"/>
              <w:left w:val="single" w:sz="6" w:space="0" w:color="000000"/>
              <w:bottom w:val="single" w:sz="6" w:space="0" w:color="000000"/>
              <w:right w:val="single" w:sz="6" w:space="0" w:color="000000"/>
            </w:tcBorders>
            <w:vAlign w:val="center"/>
          </w:tcPr>
          <w:p w:rsidR="0020111B" w:rsidRDefault="009D5006">
            <w:pPr>
              <w:ind w:right="113"/>
              <w:jc w:val="right"/>
              <w:rPr>
                <w:b/>
                <w:bCs/>
                <w:color w:val="000000"/>
                <w:sz w:val="19"/>
                <w:szCs w:val="19"/>
              </w:rPr>
            </w:pPr>
            <w:r>
              <w:rPr>
                <w:b/>
                <w:bCs/>
                <w:color w:val="000000"/>
                <w:sz w:val="19"/>
                <w:szCs w:val="19"/>
              </w:rPr>
              <w:lastRenderedPageBreak/>
              <w:t>Всего по разделу 2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b/>
                <w:bCs/>
                <w:color w:val="000000"/>
                <w:sz w:val="19"/>
                <w:szCs w:val="19"/>
              </w:rPr>
            </w:pPr>
            <w:r>
              <w:rPr>
                <w:b/>
                <w:bCs/>
                <w:color w:val="000000"/>
                <w:sz w:val="19"/>
                <w:szCs w:val="19"/>
              </w:rPr>
              <w:t>63 886,2</w:t>
            </w:r>
          </w:p>
        </w:tc>
        <w:tc>
          <w:tcPr>
            <w:tcW w:w="1680" w:type="dxa"/>
            <w:tcBorders>
              <w:top w:val="single" w:sz="6" w:space="0" w:color="000000"/>
              <w:left w:val="single" w:sz="6" w:space="0" w:color="000000"/>
              <w:bottom w:val="single" w:sz="6" w:space="0" w:color="000000"/>
              <w:right w:val="single" w:sz="6" w:space="0" w:color="000000"/>
            </w:tcBorders>
            <w:vAlign w:val="center"/>
          </w:tcPr>
          <w:p w:rsidR="0020111B" w:rsidRDefault="0020111B">
            <w:pPr>
              <w:jc w:val="center"/>
              <w:rPr>
                <w:b/>
                <w:bCs/>
                <w:color w:val="000000"/>
                <w:sz w:val="19"/>
                <w:szCs w:val="19"/>
              </w:rPr>
            </w:pPr>
          </w:p>
        </w:tc>
      </w:tr>
      <w:tr w:rsidR="0020111B" w:rsidTr="00C30A99">
        <w:trPr>
          <w:trHeight w:val="126"/>
        </w:trPr>
        <w:tc>
          <w:tcPr>
            <w:tcW w:w="15135" w:type="dxa"/>
            <w:gridSpan w:val="8"/>
            <w:tcBorders>
              <w:top w:val="single" w:sz="6" w:space="0" w:color="000000"/>
              <w:left w:val="single" w:sz="6" w:space="0" w:color="000000"/>
              <w:bottom w:val="single" w:sz="6" w:space="0" w:color="000000"/>
              <w:right w:val="single" w:sz="6" w:space="0" w:color="000000"/>
            </w:tcBorders>
            <w:vAlign w:val="center"/>
          </w:tcPr>
          <w:p w:rsidR="0020111B" w:rsidRDefault="009D5006">
            <w:pPr>
              <w:rPr>
                <w:b/>
                <w:bCs/>
                <w:color w:val="000000"/>
                <w:sz w:val="19"/>
                <w:szCs w:val="19"/>
              </w:rPr>
            </w:pPr>
            <w:r>
              <w:rPr>
                <w:b/>
                <w:bCs/>
                <w:color w:val="000000"/>
                <w:sz w:val="19"/>
                <w:szCs w:val="19"/>
              </w:rPr>
              <w:t>3. Неэффективное использование федеральных и иных ресурсов в пределах компетенции Счетной палаты</w:t>
            </w:r>
          </w:p>
        </w:tc>
      </w:tr>
      <w:tr w:rsidR="0020111B" w:rsidTr="00C30A99">
        <w:trPr>
          <w:trHeight w:val="126"/>
        </w:trPr>
        <w:tc>
          <w:tcPr>
            <w:tcW w:w="15135" w:type="dxa"/>
            <w:gridSpan w:val="8"/>
            <w:tcBorders>
              <w:top w:val="single" w:sz="6" w:space="0" w:color="000000"/>
              <w:left w:val="single" w:sz="6" w:space="0" w:color="000000"/>
              <w:bottom w:val="single" w:sz="6" w:space="0" w:color="000000"/>
              <w:right w:val="single" w:sz="6" w:space="0" w:color="000000"/>
            </w:tcBorders>
            <w:vAlign w:val="center"/>
          </w:tcPr>
          <w:p w:rsidR="0020111B" w:rsidRDefault="009D5006">
            <w:pPr>
              <w:rPr>
                <w:b/>
                <w:bCs/>
                <w:color w:val="000000"/>
                <w:sz w:val="19"/>
                <w:szCs w:val="19"/>
              </w:rPr>
            </w:pPr>
            <w:r>
              <w:rPr>
                <w:b/>
                <w:bCs/>
                <w:color w:val="000000"/>
                <w:sz w:val="19"/>
                <w:szCs w:val="19"/>
              </w:rPr>
              <w:t>3.1. Неэффективное использование средств федерального бюджета и бюджета государственных внебюджетных фондов</w:t>
            </w:r>
          </w:p>
        </w:tc>
      </w:tr>
      <w:tr w:rsidR="0020111B" w:rsidTr="00C30A99">
        <w:trPr>
          <w:trHeight w:val="51"/>
        </w:trPr>
        <w:tc>
          <w:tcPr>
            <w:tcW w:w="15135" w:type="dxa"/>
            <w:gridSpan w:val="8"/>
            <w:tcBorders>
              <w:top w:val="single" w:sz="6" w:space="0" w:color="000000"/>
              <w:left w:val="single" w:sz="6" w:space="0" w:color="000000"/>
              <w:bottom w:val="single" w:sz="6" w:space="0" w:color="000000"/>
              <w:right w:val="single" w:sz="6" w:space="0" w:color="000000"/>
            </w:tcBorders>
            <w:vAlign w:val="center"/>
          </w:tcPr>
          <w:p w:rsidR="0020111B" w:rsidRDefault="009D5006">
            <w:pPr>
              <w:rPr>
                <w:b/>
                <w:bCs/>
                <w:color w:val="000000"/>
                <w:sz w:val="19"/>
                <w:szCs w:val="19"/>
              </w:rPr>
            </w:pPr>
            <w:r>
              <w:rPr>
                <w:b/>
                <w:bCs/>
                <w:color w:val="000000"/>
                <w:sz w:val="19"/>
                <w:szCs w:val="19"/>
              </w:rPr>
              <w:t>3.2. Неэффективное использование федеральной собственности и иных ресурсов</w:t>
            </w:r>
          </w:p>
        </w:tc>
      </w:tr>
      <w:tr w:rsidR="0020111B" w:rsidTr="00C30A99">
        <w:trPr>
          <w:gridAfter w:val="1"/>
          <w:wAfter w:w="15" w:type="dxa"/>
          <w:trHeight w:val="51"/>
        </w:trPr>
        <w:tc>
          <w:tcPr>
            <w:tcW w:w="12195" w:type="dxa"/>
            <w:gridSpan w:val="5"/>
            <w:tcBorders>
              <w:top w:val="single" w:sz="6" w:space="0" w:color="000000"/>
              <w:left w:val="single" w:sz="6" w:space="0" w:color="000000"/>
              <w:bottom w:val="single" w:sz="6" w:space="0" w:color="000000"/>
              <w:right w:val="single" w:sz="6" w:space="0" w:color="000000"/>
            </w:tcBorders>
            <w:vAlign w:val="center"/>
          </w:tcPr>
          <w:p w:rsidR="0020111B" w:rsidRDefault="009D5006">
            <w:pPr>
              <w:ind w:right="113"/>
              <w:jc w:val="right"/>
              <w:rPr>
                <w:b/>
                <w:bCs/>
                <w:color w:val="000000"/>
                <w:sz w:val="19"/>
                <w:szCs w:val="19"/>
              </w:rPr>
            </w:pPr>
            <w:r>
              <w:rPr>
                <w:b/>
                <w:bCs/>
                <w:color w:val="000000"/>
                <w:sz w:val="19"/>
                <w:szCs w:val="19"/>
              </w:rPr>
              <w:t>Всего по разделу 3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20111B" w:rsidRDefault="009D5006">
            <w:pPr>
              <w:jc w:val="center"/>
              <w:rPr>
                <w:b/>
                <w:bCs/>
                <w:color w:val="000000"/>
                <w:sz w:val="19"/>
                <w:szCs w:val="19"/>
              </w:rPr>
            </w:pPr>
            <w:r>
              <w:rPr>
                <w:b/>
                <w:bCs/>
                <w:color w:val="000000"/>
                <w:sz w:val="19"/>
                <w:szCs w:val="19"/>
              </w:rPr>
              <w:t>0,0</w:t>
            </w:r>
          </w:p>
        </w:tc>
        <w:tc>
          <w:tcPr>
            <w:tcW w:w="1680" w:type="dxa"/>
            <w:tcBorders>
              <w:top w:val="single" w:sz="6" w:space="0" w:color="000000"/>
              <w:left w:val="single" w:sz="6" w:space="0" w:color="000000"/>
              <w:bottom w:val="single" w:sz="6" w:space="0" w:color="000000"/>
              <w:right w:val="single" w:sz="6" w:space="0" w:color="000000"/>
            </w:tcBorders>
            <w:vAlign w:val="center"/>
          </w:tcPr>
          <w:p w:rsidR="0020111B" w:rsidRDefault="0020111B">
            <w:pPr>
              <w:jc w:val="center"/>
              <w:rPr>
                <w:b/>
                <w:bCs/>
                <w:color w:val="000000"/>
                <w:sz w:val="19"/>
                <w:szCs w:val="19"/>
              </w:rPr>
            </w:pPr>
          </w:p>
        </w:tc>
      </w:tr>
    </w:tbl>
    <w:p w:rsidR="0020111B" w:rsidRDefault="0020111B"/>
    <w:sectPr w:rsidR="0020111B" w:rsidSect="00C30A99">
      <w:headerReference w:type="default" r:id="rId6"/>
      <w:footerReference w:type="default" r:id="rId7"/>
      <w:headerReference w:type="first" r:id="rId8"/>
      <w:footerReference w:type="first" r:id="rId9"/>
      <w:pgSz w:w="16833" w:h="11908" w:orient="landscape"/>
      <w:pgMar w:top="1133" w:right="566" w:bottom="2" w:left="1133" w:header="0" w:footer="748"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2E4" w:rsidRDefault="00E502E4">
      <w:r>
        <w:separator/>
      </w:r>
    </w:p>
  </w:endnote>
  <w:endnote w:type="continuationSeparator" w:id="0">
    <w:p w:rsidR="00E502E4" w:rsidRDefault="00E5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1B" w:rsidRDefault="0020111B">
    <w:pPr>
      <w:spacing w:after="160" w:line="258" w:lineRule="auto"/>
      <w:rPr>
        <w:rFonts w:cstheme="minorBidi"/>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1B" w:rsidRDefault="0020111B">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15134"/>
    </w:tblGrid>
    <w:tr w:rsidR="0020111B">
      <w:trPr>
        <w:trHeight w:hRule="exact" w:val="405"/>
      </w:trPr>
      <w:tc>
        <w:tcPr>
          <w:tcW w:w="15135" w:type="dxa"/>
          <w:tcBorders>
            <w:top w:val="nil"/>
            <w:left w:val="nil"/>
            <w:bottom w:val="nil"/>
            <w:right w:val="nil"/>
          </w:tcBorders>
        </w:tcPr>
        <w:p w:rsidR="0020111B" w:rsidRDefault="009D5006">
          <w:pPr>
            <w:spacing w:after="160" w:line="258" w:lineRule="auto"/>
            <w:rPr>
              <w:rFonts w:cstheme="minorBidi"/>
              <w:color w:val="000000"/>
              <w:sz w:val="24"/>
              <w:szCs w:val="24"/>
            </w:rPr>
          </w:pPr>
          <w:r>
            <w:rPr>
              <w:rFonts w:cstheme="minorBidi"/>
              <w:b/>
              <w:bCs/>
              <w:color w:val="000000"/>
              <w:vertAlign w:val="superscript"/>
            </w:rPr>
            <w:t>1</w:t>
          </w:r>
          <w:r>
            <w:rPr>
              <w:rFonts w:cstheme="minorBidi"/>
              <w:color w:val="000000"/>
            </w:rPr>
            <w:t xml:space="preserve"> Источник финансирования средств, при использовании которых выявлены нарушения</w:t>
          </w:r>
        </w:p>
      </w:tc>
    </w:tr>
  </w:tbl>
  <w:p w:rsidR="0020111B" w:rsidRDefault="0020111B">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2E4" w:rsidRDefault="00E502E4">
      <w:r>
        <w:separator/>
      </w:r>
    </w:p>
  </w:footnote>
  <w:footnote w:type="continuationSeparator" w:id="0">
    <w:p w:rsidR="00E502E4" w:rsidRDefault="00E502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1B" w:rsidRDefault="0020111B">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9464"/>
      <w:gridCol w:w="5670"/>
    </w:tblGrid>
    <w:tr w:rsidR="0020111B">
      <w:trPr>
        <w:trHeight w:hRule="exact" w:val="390"/>
      </w:trPr>
      <w:tc>
        <w:tcPr>
          <w:tcW w:w="9465" w:type="dxa"/>
          <w:tcBorders>
            <w:top w:val="nil"/>
            <w:left w:val="nil"/>
            <w:bottom w:val="nil"/>
            <w:right w:val="nil"/>
          </w:tcBorders>
        </w:tcPr>
        <w:p w:rsidR="0020111B" w:rsidRDefault="0020111B">
          <w:pPr>
            <w:rPr>
              <w:rFonts w:cstheme="minorBidi"/>
              <w:sz w:val="1"/>
              <w:szCs w:val="1"/>
            </w:rPr>
          </w:pPr>
        </w:p>
      </w:tc>
      <w:tc>
        <w:tcPr>
          <w:tcW w:w="5670" w:type="dxa"/>
          <w:tcBorders>
            <w:top w:val="nil"/>
            <w:left w:val="nil"/>
            <w:bottom w:val="nil"/>
            <w:right w:val="nil"/>
          </w:tcBorders>
          <w:vAlign w:val="center"/>
        </w:tcPr>
        <w:p w:rsidR="0020111B" w:rsidRDefault="0020111B">
          <w:pPr>
            <w:ind w:left="28" w:right="28"/>
            <w:jc w:val="right"/>
            <w:rPr>
              <w:color w:val="000000"/>
              <w:sz w:val="16"/>
              <w:szCs w:val="16"/>
            </w:rPr>
          </w:pPr>
        </w:p>
      </w:tc>
    </w:tr>
    <w:tr w:rsidR="0020111B">
      <w:trPr>
        <w:trHeight w:hRule="exact" w:val="345"/>
      </w:trPr>
      <w:tc>
        <w:tcPr>
          <w:tcW w:w="15135" w:type="dxa"/>
          <w:gridSpan w:val="2"/>
          <w:tcBorders>
            <w:top w:val="nil"/>
            <w:left w:val="nil"/>
            <w:bottom w:val="nil"/>
            <w:right w:val="nil"/>
          </w:tcBorders>
          <w:vAlign w:val="center"/>
        </w:tcPr>
        <w:p w:rsidR="0020111B" w:rsidRDefault="009D5006">
          <w:pPr>
            <w:ind w:left="28" w:right="28"/>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4B6B99">
            <w:rPr>
              <w:noProof/>
              <w:color w:val="000000"/>
              <w:sz w:val="24"/>
              <w:szCs w:val="24"/>
            </w:rPr>
            <w:t>2</w:t>
          </w:r>
          <w:r>
            <w:rPr>
              <w:color w:val="000000"/>
              <w:sz w:val="24"/>
              <w:szCs w:val="24"/>
            </w:rPr>
            <w:fldChar w:fldCharType="end"/>
          </w:r>
        </w:p>
      </w:tc>
    </w:tr>
  </w:tbl>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1B" w:rsidRDefault="0020111B">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9464"/>
      <w:gridCol w:w="5670"/>
    </w:tblGrid>
    <w:tr w:rsidR="0020111B">
      <w:trPr>
        <w:trHeight w:hRule="exact" w:val="390"/>
      </w:trPr>
      <w:tc>
        <w:tcPr>
          <w:tcW w:w="9465" w:type="dxa"/>
          <w:tcBorders>
            <w:top w:val="nil"/>
            <w:left w:val="nil"/>
            <w:bottom w:val="nil"/>
            <w:right w:val="nil"/>
          </w:tcBorders>
        </w:tcPr>
        <w:p w:rsidR="0020111B" w:rsidRDefault="0020111B">
          <w:pPr>
            <w:rPr>
              <w:rFonts w:cstheme="minorBidi"/>
              <w:sz w:val="1"/>
              <w:szCs w:val="1"/>
            </w:rPr>
          </w:pPr>
        </w:p>
      </w:tc>
      <w:tc>
        <w:tcPr>
          <w:tcW w:w="5670" w:type="dxa"/>
          <w:tcBorders>
            <w:top w:val="nil"/>
            <w:left w:val="nil"/>
            <w:bottom w:val="nil"/>
            <w:right w:val="nil"/>
          </w:tcBorders>
          <w:vAlign w:val="center"/>
        </w:tcPr>
        <w:p w:rsidR="0020111B" w:rsidRDefault="0020111B">
          <w:pPr>
            <w:ind w:left="28" w:right="28"/>
            <w:jc w:val="right"/>
            <w:rPr>
              <w:color w:val="000000"/>
              <w:sz w:val="16"/>
              <w:szCs w:val="16"/>
            </w:rPr>
          </w:pPr>
        </w:p>
      </w:tc>
    </w:tr>
  </w:tbl>
  <w:p w:rsidR="0020111B" w:rsidRDefault="0020111B">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oNotShadeFormData/>
  <w:characterSpacingControl w:val="compressPunctuation"/>
  <w:footnotePr>
    <w:footnote w:id="-1"/>
    <w:footnote w:id="0"/>
  </w:footnotePr>
  <w:endnotePr>
    <w:endnote w:id="-1"/>
    <w:endnote w:id="0"/>
  </w:endnotePr>
  <w:compat>
    <w:balanceSingleByteDoubleByteWidth/>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11B"/>
    <w:rsid w:val="0020111B"/>
    <w:rsid w:val="00384780"/>
    <w:rsid w:val="004B6B99"/>
    <w:rsid w:val="005A39F8"/>
    <w:rsid w:val="009D5006"/>
    <w:rsid w:val="00C30A99"/>
    <w:rsid w:val="00E06AA4"/>
    <w:rsid w:val="00E502E4"/>
    <w:rsid w:val="00F04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AA822-ABEB-40D7-88DC-51124381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E06AA4"/>
    <w:pPr>
      <w:tabs>
        <w:tab w:val="center" w:pos="4677"/>
        <w:tab w:val="right" w:pos="9355"/>
      </w:tabs>
    </w:pPr>
  </w:style>
  <w:style w:type="character" w:customStyle="1" w:styleId="a6">
    <w:name w:val="Верхний колонтитул Знак"/>
    <w:basedOn w:val="a0"/>
    <w:link w:val="a5"/>
    <w:uiPriority w:val="99"/>
    <w:rsid w:val="00E06AA4"/>
  </w:style>
  <w:style w:type="paragraph" w:styleId="a7">
    <w:name w:val="footer"/>
    <w:basedOn w:val="a"/>
    <w:link w:val="a8"/>
    <w:uiPriority w:val="99"/>
    <w:unhideWhenUsed/>
    <w:rsid w:val="00E06AA4"/>
    <w:pPr>
      <w:tabs>
        <w:tab w:val="center" w:pos="4677"/>
        <w:tab w:val="right" w:pos="9355"/>
      </w:tabs>
    </w:pPr>
  </w:style>
  <w:style w:type="character" w:customStyle="1" w:styleId="a8">
    <w:name w:val="Нижний колонтитул Знак"/>
    <w:basedOn w:val="a0"/>
    <w:link w:val="a7"/>
    <w:uiPriority w:val="99"/>
    <w:rsid w:val="00E06AA4"/>
  </w:style>
  <w:style w:type="paragraph" w:styleId="a9">
    <w:name w:val="Balloon Text"/>
    <w:basedOn w:val="a"/>
    <w:link w:val="aa"/>
    <w:uiPriority w:val="99"/>
    <w:semiHidden/>
    <w:unhideWhenUsed/>
    <w:rsid w:val="00E06AA4"/>
    <w:rPr>
      <w:rFonts w:ascii="Tahoma" w:hAnsi="Tahoma" w:cs="Tahoma"/>
      <w:sz w:val="16"/>
      <w:szCs w:val="16"/>
    </w:rPr>
  </w:style>
  <w:style w:type="character" w:customStyle="1" w:styleId="aa">
    <w:name w:val="Текст выноски Знак"/>
    <w:basedOn w:val="a0"/>
    <w:link w:val="a9"/>
    <w:uiPriority w:val="99"/>
    <w:semiHidden/>
    <w:rsid w:val="00E06A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3426</Words>
  <Characters>19529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Ксения Евгеньевна</dc:creator>
  <cp:lastModifiedBy>Суворова Юлиана Олеговна</cp:lastModifiedBy>
  <cp:revision>4</cp:revision>
  <dcterms:created xsi:type="dcterms:W3CDTF">2025-05-23T11:26:00Z</dcterms:created>
  <dcterms:modified xsi:type="dcterms:W3CDTF">2025-07-09T06:43:00Z</dcterms:modified>
</cp:coreProperties>
</file>