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0838C" w14:textId="58673095" w:rsidR="00AB00E9" w:rsidRDefault="00AB00E9" w:rsidP="00AB00E9">
      <w:pPr>
        <w:ind w:left="11199" w:right="-2"/>
        <w:jc w:val="center"/>
        <w:rPr>
          <w:sz w:val="24"/>
          <w:szCs w:val="24"/>
        </w:rPr>
      </w:pPr>
      <w:r w:rsidRPr="00C12C1C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  <w:r w:rsidR="00C2625F">
        <w:rPr>
          <w:sz w:val="24"/>
          <w:szCs w:val="24"/>
        </w:rPr>
        <w:t>1</w:t>
      </w:r>
    </w:p>
    <w:p w14:paraId="7A832591" w14:textId="77777777" w:rsidR="00AB00E9" w:rsidRDefault="00AB00E9" w:rsidP="00AB00E9">
      <w:pPr>
        <w:ind w:left="11199" w:right="-2"/>
        <w:jc w:val="center"/>
        <w:rPr>
          <w:sz w:val="24"/>
          <w:szCs w:val="24"/>
        </w:rPr>
      </w:pPr>
      <w:r w:rsidRPr="00C12C1C">
        <w:rPr>
          <w:sz w:val="24"/>
          <w:szCs w:val="24"/>
        </w:rPr>
        <w:t xml:space="preserve">к </w:t>
      </w:r>
      <w:r w:rsidRPr="006B1FA5">
        <w:rPr>
          <w:sz w:val="24"/>
          <w:szCs w:val="24"/>
        </w:rPr>
        <w:t>отчету</w:t>
      </w:r>
      <w:r>
        <w:rPr>
          <w:sz w:val="24"/>
          <w:szCs w:val="24"/>
        </w:rPr>
        <w:t xml:space="preserve"> по результатам</w:t>
      </w:r>
    </w:p>
    <w:p w14:paraId="32634629" w14:textId="52A4D9F7" w:rsidR="00AB00E9" w:rsidRPr="006B1FA5" w:rsidRDefault="00AB00E9" w:rsidP="00AB00E9">
      <w:pPr>
        <w:ind w:left="11199" w:right="-2"/>
        <w:jc w:val="center"/>
        <w:rPr>
          <w:sz w:val="24"/>
          <w:szCs w:val="24"/>
        </w:rPr>
      </w:pPr>
      <w:r>
        <w:rPr>
          <w:sz w:val="24"/>
          <w:szCs w:val="24"/>
        </w:rPr>
        <w:t>контрольного мероприятия</w:t>
      </w:r>
    </w:p>
    <w:p w14:paraId="551BF2C1" w14:textId="77777777" w:rsidR="00EA3792" w:rsidRDefault="00EA3792" w:rsidP="00EA3792">
      <w:pPr>
        <w:jc w:val="right"/>
      </w:pPr>
    </w:p>
    <w:p w14:paraId="3A763C98" w14:textId="751C44E5" w:rsidR="001336E5" w:rsidRPr="001336E5" w:rsidRDefault="00EA3792" w:rsidP="00AB00E9">
      <w:pPr>
        <w:widowControl w:val="0"/>
        <w:spacing w:after="60"/>
        <w:jc w:val="center"/>
        <w:rPr>
          <w:b/>
          <w:sz w:val="16"/>
          <w:szCs w:val="16"/>
        </w:rPr>
      </w:pPr>
      <w:bookmarkStart w:id="0" w:name="_GoBack"/>
      <w:r w:rsidRPr="00082B25">
        <w:rPr>
          <w:b/>
          <w:sz w:val="32"/>
        </w:rPr>
        <w:t>Методы</w:t>
      </w:r>
      <w:r w:rsidR="00082B25" w:rsidRPr="00082B25">
        <w:rPr>
          <w:b/>
          <w:sz w:val="32"/>
        </w:rPr>
        <w:t xml:space="preserve"> сбора и анализа данных</w:t>
      </w:r>
      <w:r w:rsidRPr="00082B25">
        <w:rPr>
          <w:b/>
          <w:sz w:val="32"/>
        </w:rPr>
        <w:t xml:space="preserve">, использованные в ходе </w:t>
      </w:r>
      <w:r w:rsidR="00082B25">
        <w:rPr>
          <w:b/>
          <w:sz w:val="32"/>
        </w:rPr>
        <w:br/>
      </w:r>
      <w:r w:rsidRPr="00082B25">
        <w:rPr>
          <w:b/>
          <w:sz w:val="32"/>
        </w:rPr>
        <w:t xml:space="preserve">проведения </w:t>
      </w:r>
      <w:r w:rsidR="005859F1">
        <w:rPr>
          <w:b/>
          <w:sz w:val="32"/>
        </w:rPr>
        <w:t>контрольного</w:t>
      </w:r>
      <w:r w:rsidRPr="00082B25">
        <w:rPr>
          <w:b/>
          <w:sz w:val="32"/>
        </w:rPr>
        <w:t xml:space="preserve"> мероприятия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85"/>
        <w:gridCol w:w="4188"/>
        <w:gridCol w:w="2098"/>
        <w:gridCol w:w="4990"/>
        <w:gridCol w:w="2835"/>
      </w:tblGrid>
      <w:tr w:rsidR="00F44AF0" w:rsidRPr="00154D35" w14:paraId="329A406C" w14:textId="77777777" w:rsidTr="001336E5">
        <w:trPr>
          <w:cantSplit/>
          <w:trHeight w:val="20"/>
          <w:tblHeader/>
        </w:trPr>
        <w:tc>
          <w:tcPr>
            <w:tcW w:w="485" w:type="dxa"/>
            <w:vAlign w:val="center"/>
          </w:tcPr>
          <w:bookmarkEnd w:id="0"/>
          <w:p w14:paraId="3727F930" w14:textId="77777777" w:rsidR="00B317A3" w:rsidRPr="00ED3637" w:rsidRDefault="00B317A3" w:rsidP="00834E3F">
            <w:pPr>
              <w:ind w:left="-57" w:right="-57"/>
            </w:pPr>
            <w:r w:rsidRPr="00ED3637">
              <w:t>№</w:t>
            </w:r>
          </w:p>
        </w:tc>
        <w:tc>
          <w:tcPr>
            <w:tcW w:w="4188" w:type="dxa"/>
            <w:vAlign w:val="center"/>
          </w:tcPr>
          <w:p w14:paraId="138F8347" w14:textId="77777777" w:rsidR="00B317A3" w:rsidRPr="00ED3637" w:rsidRDefault="00B317A3" w:rsidP="00834E3F">
            <w:pPr>
              <w:ind w:left="-57" w:right="-57"/>
              <w:jc w:val="center"/>
            </w:pPr>
            <w:r w:rsidRPr="00ED3637">
              <w:t>Наименование использованного метода</w:t>
            </w:r>
          </w:p>
        </w:tc>
        <w:tc>
          <w:tcPr>
            <w:tcW w:w="2098" w:type="dxa"/>
            <w:vAlign w:val="center"/>
          </w:tcPr>
          <w:p w14:paraId="03ABF04C" w14:textId="77777777" w:rsidR="00B317A3" w:rsidRPr="00ED3637" w:rsidRDefault="00B317A3" w:rsidP="00834E3F">
            <w:pPr>
              <w:ind w:left="-57" w:right="-57"/>
              <w:jc w:val="center"/>
            </w:pPr>
            <w:r w:rsidRPr="00ED3637">
              <w:t>Номер</w:t>
            </w:r>
            <w:r w:rsidR="00154D35" w:rsidRPr="00ED3637">
              <w:t xml:space="preserve"> метода</w:t>
            </w:r>
            <w:r w:rsidRPr="00ED3637">
              <w:t xml:space="preserve"> в соответствии со Справочником</w:t>
            </w:r>
            <w:r w:rsidR="00154D35" w:rsidRPr="00ED3637">
              <w:rPr>
                <w:rStyle w:val="a8"/>
              </w:rPr>
              <w:footnoteReference w:id="1"/>
            </w:r>
          </w:p>
        </w:tc>
        <w:tc>
          <w:tcPr>
            <w:tcW w:w="4990" w:type="dxa"/>
            <w:vAlign w:val="center"/>
          </w:tcPr>
          <w:p w14:paraId="762E3B3E" w14:textId="77777777" w:rsidR="00B317A3" w:rsidRPr="00ED3637" w:rsidRDefault="00154D35" w:rsidP="00834E3F">
            <w:pPr>
              <w:ind w:left="-57" w:right="-57"/>
              <w:jc w:val="center"/>
            </w:pPr>
            <w:r w:rsidRPr="00ED3637">
              <w:t>Краткое описание метода</w:t>
            </w:r>
          </w:p>
        </w:tc>
        <w:tc>
          <w:tcPr>
            <w:tcW w:w="2835" w:type="dxa"/>
            <w:vAlign w:val="center"/>
          </w:tcPr>
          <w:p w14:paraId="66A3BD18" w14:textId="439FD638" w:rsidR="00B317A3" w:rsidRPr="00ED3637" w:rsidRDefault="00A64EDD" w:rsidP="00834E3F">
            <w:pPr>
              <w:ind w:left="-57" w:right="-57"/>
              <w:jc w:val="center"/>
            </w:pPr>
            <w:r>
              <w:t xml:space="preserve">Цель </w:t>
            </w:r>
            <w:r w:rsidR="003F1EA9">
              <w:t>К</w:t>
            </w:r>
            <w:r>
              <w:t>М, в которой</w:t>
            </w:r>
            <w:r w:rsidR="00154D35" w:rsidRPr="00ED3637">
              <w:t xml:space="preserve"> использовался метод</w:t>
            </w:r>
          </w:p>
        </w:tc>
      </w:tr>
      <w:tr w:rsidR="00CD47A0" w:rsidRPr="00154D35" w14:paraId="34B1ED66" w14:textId="77777777" w:rsidTr="001336E5">
        <w:trPr>
          <w:cantSplit/>
          <w:trHeight w:val="20"/>
        </w:trPr>
        <w:tc>
          <w:tcPr>
            <w:tcW w:w="485" w:type="dxa"/>
            <w:vAlign w:val="center"/>
          </w:tcPr>
          <w:p w14:paraId="4C07C7AB" w14:textId="77777777" w:rsidR="00CD47A0" w:rsidRPr="00ED3637" w:rsidRDefault="00CD47A0" w:rsidP="00346E84">
            <w:pPr>
              <w:pStyle w:val="a9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4188" w:type="dxa"/>
            <w:vAlign w:val="center"/>
          </w:tcPr>
          <w:p w14:paraId="6183CE79" w14:textId="4D3FE07A" w:rsidR="00CD47A0" w:rsidRPr="00ED3637" w:rsidRDefault="00CD47A0" w:rsidP="00834E3F">
            <w:pPr>
              <w:ind w:left="-57" w:right="-57"/>
            </w:pPr>
            <w:r w:rsidRPr="00ED3637">
              <w:t xml:space="preserve">Получение данных по запросу </w:t>
            </w:r>
          </w:p>
        </w:tc>
        <w:tc>
          <w:tcPr>
            <w:tcW w:w="2098" w:type="dxa"/>
            <w:vAlign w:val="center"/>
          </w:tcPr>
          <w:p w14:paraId="1894F29E" w14:textId="2693969E" w:rsidR="00CD47A0" w:rsidRPr="00ED3637" w:rsidRDefault="00CD47A0" w:rsidP="00834E3F">
            <w:pPr>
              <w:ind w:left="-57" w:right="-57"/>
              <w:jc w:val="center"/>
            </w:pPr>
            <w:r w:rsidRPr="00ED3637">
              <w:t>1.2.</w:t>
            </w:r>
          </w:p>
        </w:tc>
        <w:tc>
          <w:tcPr>
            <w:tcW w:w="4990" w:type="dxa"/>
            <w:vAlign w:val="center"/>
          </w:tcPr>
          <w:p w14:paraId="252C5823" w14:textId="12F4E501" w:rsidR="00CD47A0" w:rsidRPr="001336E5" w:rsidRDefault="00CD47A0" w:rsidP="000239D8">
            <w:pPr>
              <w:ind w:left="-57" w:right="-57"/>
            </w:pPr>
            <w:r w:rsidRPr="001336E5">
              <w:t xml:space="preserve">В ходе </w:t>
            </w:r>
            <w:r w:rsidR="003F1EA9" w:rsidRPr="001336E5">
              <w:t>КМ</w:t>
            </w:r>
            <w:r w:rsidRPr="001336E5">
              <w:t xml:space="preserve"> направлено </w:t>
            </w:r>
            <w:r w:rsidR="000239D8">
              <w:t>155</w:t>
            </w:r>
            <w:r w:rsidRPr="001336E5">
              <w:t xml:space="preserve"> запрос</w:t>
            </w:r>
            <w:r w:rsidR="003F1EA9" w:rsidRPr="001336E5">
              <w:t>ов</w:t>
            </w:r>
            <w:r w:rsidRPr="001336E5">
              <w:t xml:space="preserve"> в </w:t>
            </w:r>
            <w:r w:rsidR="000239D8">
              <w:t>2</w:t>
            </w:r>
            <w:r w:rsidRPr="001336E5">
              <w:t xml:space="preserve"> федеральных органа исполнительной власти, </w:t>
            </w:r>
            <w:r w:rsidR="003F1EA9" w:rsidRPr="001336E5">
              <w:t xml:space="preserve">ЦИК России, ПАО «Ростелеком, </w:t>
            </w:r>
            <w:r w:rsidRPr="001336E5">
              <w:t>8</w:t>
            </w:r>
            <w:r w:rsidR="00B948B3" w:rsidRPr="001336E5">
              <w:t>3</w:t>
            </w:r>
            <w:r w:rsidRPr="001336E5">
              <w:t xml:space="preserve"> субъект</w:t>
            </w:r>
            <w:r w:rsidR="00B948B3" w:rsidRPr="001336E5">
              <w:t>а</w:t>
            </w:r>
            <w:r w:rsidRPr="001336E5">
              <w:t xml:space="preserve"> Российской Федерации</w:t>
            </w:r>
            <w:r w:rsidR="000239D8">
              <w:t>, 5 операторов связи</w:t>
            </w:r>
            <w:r w:rsidR="001336E5" w:rsidRPr="001336E5">
              <w:t>.</w:t>
            </w:r>
          </w:p>
        </w:tc>
        <w:tc>
          <w:tcPr>
            <w:tcW w:w="2835" w:type="dxa"/>
            <w:vAlign w:val="center"/>
          </w:tcPr>
          <w:p w14:paraId="313E0E28" w14:textId="1832E260" w:rsidR="00CD47A0" w:rsidRPr="00ED3637" w:rsidRDefault="00CD47A0" w:rsidP="00A64EDD">
            <w:pPr>
              <w:ind w:left="-57" w:right="-57"/>
            </w:pPr>
            <w:r w:rsidRPr="00ED3637">
              <w:t xml:space="preserve">Все </w:t>
            </w:r>
            <w:r w:rsidR="00A64EDD">
              <w:t>цели</w:t>
            </w:r>
            <w:r w:rsidRPr="00ED3637">
              <w:t xml:space="preserve"> </w:t>
            </w:r>
            <w:r w:rsidR="003F1EA9">
              <w:t>КМ</w:t>
            </w:r>
          </w:p>
        </w:tc>
      </w:tr>
      <w:tr w:rsidR="003F1EA9" w:rsidRPr="00154D35" w14:paraId="2E2DBD84" w14:textId="77777777" w:rsidTr="001336E5">
        <w:trPr>
          <w:cantSplit/>
          <w:trHeight w:val="20"/>
        </w:trPr>
        <w:tc>
          <w:tcPr>
            <w:tcW w:w="485" w:type="dxa"/>
            <w:vAlign w:val="center"/>
          </w:tcPr>
          <w:p w14:paraId="28ED25DE" w14:textId="77777777" w:rsidR="003F1EA9" w:rsidRPr="00ED3637" w:rsidRDefault="003F1EA9" w:rsidP="003F1EA9">
            <w:pPr>
              <w:pStyle w:val="a9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4188" w:type="dxa"/>
            <w:vAlign w:val="center"/>
          </w:tcPr>
          <w:p w14:paraId="2CD277E3" w14:textId="6FF0CC71" w:rsidR="003F1EA9" w:rsidRPr="00ED3637" w:rsidRDefault="003F1EA9" w:rsidP="003F1EA9">
            <w:pPr>
              <w:ind w:left="-57" w:right="-57"/>
            </w:pPr>
            <w:r>
              <w:t>Получение данных из ГИС</w:t>
            </w:r>
          </w:p>
        </w:tc>
        <w:tc>
          <w:tcPr>
            <w:tcW w:w="2098" w:type="dxa"/>
            <w:vAlign w:val="center"/>
          </w:tcPr>
          <w:p w14:paraId="214E08D2" w14:textId="67161D3F" w:rsidR="003F1EA9" w:rsidRPr="00ED3637" w:rsidRDefault="003F1EA9" w:rsidP="003F1EA9">
            <w:pPr>
              <w:ind w:left="-57" w:right="-57"/>
              <w:jc w:val="center"/>
            </w:pPr>
            <w:r>
              <w:t>1.2.1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9B53376" w14:textId="246C1C3D" w:rsidR="003F1EA9" w:rsidRPr="001336E5" w:rsidRDefault="003F1EA9" w:rsidP="003F1EA9">
            <w:pPr>
              <w:ind w:left="-57" w:right="-57"/>
            </w:pPr>
            <w:r w:rsidRPr="001336E5">
              <w:t xml:space="preserve">Получены </w:t>
            </w:r>
            <w:bookmarkStart w:id="1" w:name="_Hlk159439354"/>
            <w:r w:rsidRPr="001336E5">
              <w:t xml:space="preserve">данные из </w:t>
            </w:r>
            <w:r w:rsidR="001336E5" w:rsidRPr="001336E5">
              <w:t>информационной системы Роскомнадзора «Реестр лицензий</w:t>
            </w:r>
            <w:r w:rsidR="00E01F34">
              <w:t>»</w:t>
            </w:r>
            <w:bookmarkEnd w:id="1"/>
            <w:r w:rsidR="00EC3C08">
              <w:t>,</w:t>
            </w:r>
            <w:r w:rsidRPr="001336E5">
              <w:t xml:space="preserve"> </w:t>
            </w:r>
            <w:bookmarkStart w:id="2" w:name="_Hlk159439404"/>
            <w:r w:rsidR="001336E5" w:rsidRPr="001336E5">
              <w:t>из Единой информационной системы закупок</w:t>
            </w:r>
            <w:bookmarkEnd w:id="2"/>
            <w:r w:rsidR="00EC3C08">
              <w:t xml:space="preserve">, </w:t>
            </w:r>
            <w:r w:rsidR="00EC3C08" w:rsidRPr="00A579D8">
              <w:t>из информационной аналитической системы «Мониторинг социально значимых объектов»</w:t>
            </w:r>
            <w:r w:rsidR="00EC3C08">
              <w:t xml:space="preserve">, </w:t>
            </w:r>
            <w:r w:rsidR="00EC3C08" w:rsidRPr="008E521A">
              <w:t>из информационной системы Федерального казначейства</w:t>
            </w:r>
            <w:r w:rsidR="00EC3C08">
              <w:t xml:space="preserve">, </w:t>
            </w:r>
            <w:r w:rsidR="00EC3C08" w:rsidRPr="008E521A">
              <w:t>из информационной системы «Электронный бюджет»</w:t>
            </w:r>
          </w:p>
        </w:tc>
        <w:tc>
          <w:tcPr>
            <w:tcW w:w="2835" w:type="dxa"/>
            <w:vAlign w:val="center"/>
          </w:tcPr>
          <w:p w14:paraId="4784012C" w14:textId="7BA35ACC" w:rsidR="003F1EA9" w:rsidRPr="00ED3637" w:rsidRDefault="003F1EA9" w:rsidP="003F1EA9">
            <w:pPr>
              <w:ind w:left="-57" w:right="-57"/>
            </w:pPr>
            <w:r w:rsidRPr="00ED3637">
              <w:t xml:space="preserve">Все </w:t>
            </w:r>
            <w:r>
              <w:t>цели</w:t>
            </w:r>
            <w:r w:rsidRPr="00ED3637">
              <w:t xml:space="preserve"> </w:t>
            </w:r>
            <w:r>
              <w:t>КМ</w:t>
            </w:r>
          </w:p>
        </w:tc>
      </w:tr>
      <w:tr w:rsidR="003F1EA9" w:rsidRPr="00154D35" w14:paraId="7191F3E4" w14:textId="77777777" w:rsidTr="001336E5">
        <w:trPr>
          <w:cantSplit/>
          <w:trHeight w:val="20"/>
        </w:trPr>
        <w:tc>
          <w:tcPr>
            <w:tcW w:w="485" w:type="dxa"/>
            <w:vAlign w:val="center"/>
          </w:tcPr>
          <w:p w14:paraId="42498F50" w14:textId="77777777" w:rsidR="003F1EA9" w:rsidRPr="00ED3637" w:rsidRDefault="003F1EA9" w:rsidP="003F1EA9">
            <w:pPr>
              <w:pStyle w:val="a9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4188" w:type="dxa"/>
            <w:vAlign w:val="center"/>
          </w:tcPr>
          <w:p w14:paraId="1B0BB8F8" w14:textId="3B72D603" w:rsidR="003F1EA9" w:rsidRPr="00ED3637" w:rsidRDefault="003F1EA9" w:rsidP="003F1EA9">
            <w:pPr>
              <w:ind w:left="-57" w:right="-57"/>
            </w:pPr>
            <w:r w:rsidRPr="00ED3637">
              <w:t xml:space="preserve">Фокус-группа </w:t>
            </w:r>
          </w:p>
        </w:tc>
        <w:tc>
          <w:tcPr>
            <w:tcW w:w="2098" w:type="dxa"/>
            <w:vAlign w:val="center"/>
          </w:tcPr>
          <w:p w14:paraId="2BC3D1D2" w14:textId="3F88F5E0" w:rsidR="003F1EA9" w:rsidRPr="00ED3637" w:rsidRDefault="003F1EA9" w:rsidP="003F1EA9">
            <w:pPr>
              <w:ind w:left="-57" w:right="-57"/>
              <w:jc w:val="center"/>
            </w:pPr>
            <w:r w:rsidRPr="00ED3637">
              <w:t>1.3.3.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25522F5" w14:textId="2A36F267" w:rsidR="003F1EA9" w:rsidRPr="003F1EA9" w:rsidRDefault="003F1EA9" w:rsidP="003F1EA9">
            <w:pPr>
              <w:ind w:left="-57" w:right="-57"/>
            </w:pPr>
            <w:r w:rsidRPr="003F1EA9">
              <w:t>Инспекторским составом, участвующие в КМ, обсуждены основные риски, выявленные в ходе КМ</w:t>
            </w:r>
          </w:p>
        </w:tc>
        <w:tc>
          <w:tcPr>
            <w:tcW w:w="2835" w:type="dxa"/>
            <w:vAlign w:val="center"/>
          </w:tcPr>
          <w:p w14:paraId="672AD749" w14:textId="4377CC61" w:rsidR="003F1EA9" w:rsidRPr="00ED3637" w:rsidRDefault="003F1EA9" w:rsidP="003F1EA9">
            <w:pPr>
              <w:ind w:left="-57" w:right="-57"/>
            </w:pPr>
            <w:r w:rsidRPr="00ED3637">
              <w:t xml:space="preserve">Все </w:t>
            </w:r>
            <w:r>
              <w:t>цели</w:t>
            </w:r>
            <w:r w:rsidRPr="00ED3637">
              <w:t xml:space="preserve"> </w:t>
            </w:r>
            <w:r>
              <w:t>КМ</w:t>
            </w:r>
          </w:p>
        </w:tc>
      </w:tr>
      <w:tr w:rsidR="003F1EA9" w:rsidRPr="00154D35" w14:paraId="6E3D472B" w14:textId="77777777" w:rsidTr="001336E5">
        <w:trPr>
          <w:cantSplit/>
          <w:trHeight w:val="20"/>
        </w:trPr>
        <w:tc>
          <w:tcPr>
            <w:tcW w:w="485" w:type="dxa"/>
            <w:vAlign w:val="center"/>
          </w:tcPr>
          <w:p w14:paraId="2BCC4433" w14:textId="77777777" w:rsidR="003F1EA9" w:rsidRPr="00ED3637" w:rsidRDefault="003F1EA9" w:rsidP="003F1EA9">
            <w:pPr>
              <w:pStyle w:val="a9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4188" w:type="dxa"/>
            <w:vAlign w:val="center"/>
          </w:tcPr>
          <w:p w14:paraId="56612ACC" w14:textId="10D1FBE0" w:rsidR="003F1EA9" w:rsidRPr="00ED3637" w:rsidRDefault="003F1EA9" w:rsidP="003F1EA9">
            <w:pPr>
              <w:ind w:left="-57" w:right="-57"/>
            </w:pPr>
            <w:r w:rsidRPr="00ED3637">
              <w:t>Мозговой штурм</w:t>
            </w:r>
          </w:p>
        </w:tc>
        <w:tc>
          <w:tcPr>
            <w:tcW w:w="2098" w:type="dxa"/>
            <w:vAlign w:val="center"/>
          </w:tcPr>
          <w:p w14:paraId="68B3BEE1" w14:textId="62B878DF" w:rsidR="003F1EA9" w:rsidRPr="00ED3637" w:rsidRDefault="003F1EA9" w:rsidP="003F1EA9">
            <w:pPr>
              <w:ind w:left="-57" w:right="-57"/>
              <w:jc w:val="center"/>
            </w:pPr>
            <w:r w:rsidRPr="00ED3637">
              <w:t>1.3.4.2.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2AEB7B9" w14:textId="6591F50F" w:rsidR="003F1EA9" w:rsidRPr="003F1EA9" w:rsidRDefault="003F1EA9" w:rsidP="003F1EA9">
            <w:pPr>
              <w:ind w:left="-57" w:right="-57"/>
            </w:pPr>
            <w:r w:rsidRPr="003F1EA9">
              <w:t>Применялся инспекторским составом на подготовительном и заключительном этапах при подготовке гипотез и результатов КМ</w:t>
            </w:r>
          </w:p>
        </w:tc>
        <w:tc>
          <w:tcPr>
            <w:tcW w:w="2835" w:type="dxa"/>
            <w:vAlign w:val="center"/>
          </w:tcPr>
          <w:p w14:paraId="13CB02F6" w14:textId="240F4C0D" w:rsidR="003F1EA9" w:rsidRPr="00ED3637" w:rsidRDefault="003F1EA9" w:rsidP="003F1EA9">
            <w:pPr>
              <w:ind w:left="-57" w:right="-57"/>
            </w:pPr>
            <w:r w:rsidRPr="00ED3637">
              <w:t xml:space="preserve">Все </w:t>
            </w:r>
            <w:r>
              <w:t>цели</w:t>
            </w:r>
            <w:r w:rsidRPr="00ED3637">
              <w:t xml:space="preserve"> </w:t>
            </w:r>
            <w:r>
              <w:t>КМ</w:t>
            </w:r>
          </w:p>
        </w:tc>
      </w:tr>
      <w:tr w:rsidR="003F1EA9" w:rsidRPr="00154D35" w14:paraId="74C1881D" w14:textId="77777777" w:rsidTr="001336E5">
        <w:trPr>
          <w:cantSplit/>
          <w:trHeight w:val="20"/>
        </w:trPr>
        <w:tc>
          <w:tcPr>
            <w:tcW w:w="485" w:type="dxa"/>
            <w:vAlign w:val="center"/>
          </w:tcPr>
          <w:p w14:paraId="0520250D" w14:textId="77777777" w:rsidR="003F1EA9" w:rsidRPr="00ED3637" w:rsidRDefault="003F1EA9" w:rsidP="003F1EA9">
            <w:pPr>
              <w:pStyle w:val="a9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4188" w:type="dxa"/>
            <w:vAlign w:val="center"/>
          </w:tcPr>
          <w:p w14:paraId="3D3A2726" w14:textId="514643A6" w:rsidR="003F1EA9" w:rsidRPr="00ED3637" w:rsidRDefault="003F1EA9" w:rsidP="003F1EA9">
            <w:pPr>
              <w:ind w:left="-57" w:right="-57"/>
            </w:pPr>
            <w:r w:rsidRPr="00ED3637">
              <w:t>Многокритериальная оценка</w:t>
            </w:r>
          </w:p>
        </w:tc>
        <w:tc>
          <w:tcPr>
            <w:tcW w:w="2098" w:type="dxa"/>
            <w:vAlign w:val="center"/>
          </w:tcPr>
          <w:p w14:paraId="7AFCB9AA" w14:textId="0F9E187D" w:rsidR="003F1EA9" w:rsidRPr="00ED3637" w:rsidRDefault="003F1EA9" w:rsidP="003F1EA9">
            <w:pPr>
              <w:ind w:left="-57" w:right="-57"/>
              <w:jc w:val="center"/>
            </w:pPr>
            <w:r w:rsidRPr="00ED3637">
              <w:t>1.3.4.3.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C6BB867" w14:textId="7DDFEB4A" w:rsidR="003F1EA9" w:rsidRPr="003F1EA9" w:rsidRDefault="003F1EA9" w:rsidP="003F1EA9">
            <w:pPr>
              <w:ind w:left="-57" w:right="-57"/>
            </w:pPr>
            <w:r w:rsidRPr="003F1EA9">
              <w:t>Использована при определении финансовых и административных ресурсов КМ</w:t>
            </w:r>
          </w:p>
        </w:tc>
        <w:tc>
          <w:tcPr>
            <w:tcW w:w="2835" w:type="dxa"/>
            <w:vAlign w:val="center"/>
          </w:tcPr>
          <w:p w14:paraId="5B8E14D1" w14:textId="6DAA735B" w:rsidR="003F1EA9" w:rsidRPr="00ED3637" w:rsidRDefault="003F1EA9" w:rsidP="003F1EA9">
            <w:pPr>
              <w:ind w:left="-57" w:right="-57"/>
            </w:pPr>
            <w:r w:rsidRPr="00ED3637">
              <w:t xml:space="preserve">Все </w:t>
            </w:r>
            <w:r>
              <w:t>цели</w:t>
            </w:r>
            <w:r w:rsidRPr="00ED3637">
              <w:t xml:space="preserve"> </w:t>
            </w:r>
            <w:r>
              <w:t>КМ</w:t>
            </w:r>
          </w:p>
        </w:tc>
      </w:tr>
      <w:tr w:rsidR="003F1EA9" w:rsidRPr="00154D35" w14:paraId="367EE74A" w14:textId="77777777" w:rsidTr="001336E5">
        <w:trPr>
          <w:cantSplit/>
          <w:trHeight w:val="1507"/>
        </w:trPr>
        <w:tc>
          <w:tcPr>
            <w:tcW w:w="485" w:type="dxa"/>
            <w:vAlign w:val="center"/>
          </w:tcPr>
          <w:p w14:paraId="3FE0387A" w14:textId="77777777" w:rsidR="003F1EA9" w:rsidRPr="00ED3637" w:rsidRDefault="003F1EA9" w:rsidP="003F1EA9">
            <w:pPr>
              <w:pStyle w:val="a9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4188" w:type="dxa"/>
            <w:vAlign w:val="center"/>
          </w:tcPr>
          <w:p w14:paraId="17E383E7" w14:textId="3C207160" w:rsidR="003F1EA9" w:rsidRPr="00ED3637" w:rsidRDefault="003F1EA9" w:rsidP="003F1EA9">
            <w:pPr>
              <w:ind w:left="-57" w:right="-57"/>
            </w:pPr>
            <w:r w:rsidRPr="00ED3637">
              <w:t>Описательная статистика</w:t>
            </w:r>
          </w:p>
        </w:tc>
        <w:tc>
          <w:tcPr>
            <w:tcW w:w="2098" w:type="dxa"/>
            <w:vAlign w:val="center"/>
          </w:tcPr>
          <w:p w14:paraId="0E47F7C2" w14:textId="43AA4811" w:rsidR="003F1EA9" w:rsidRPr="00ED3637" w:rsidRDefault="003F1EA9" w:rsidP="003F1EA9">
            <w:pPr>
              <w:ind w:left="-57" w:right="-57"/>
              <w:jc w:val="center"/>
            </w:pPr>
            <w:r w:rsidRPr="00ED3637">
              <w:t>2.1.1.1.</w:t>
            </w:r>
          </w:p>
        </w:tc>
        <w:tc>
          <w:tcPr>
            <w:tcW w:w="4990" w:type="dxa"/>
            <w:vMerge w:val="restart"/>
            <w:shd w:val="clear" w:color="auto" w:fill="auto"/>
            <w:vAlign w:val="center"/>
          </w:tcPr>
          <w:p w14:paraId="79F881D9" w14:textId="53E4A672" w:rsidR="003F1EA9" w:rsidRPr="00ED7F73" w:rsidRDefault="001336E5" w:rsidP="001336E5">
            <w:pPr>
              <w:ind w:left="-57" w:right="-57"/>
            </w:pPr>
            <w:r>
              <w:t xml:space="preserve">Сгруппированные по объектам оказания услуг договоры ПАО «Ростелеком» на заключенные с локальными операторами связи на предмет их соответствия договорам образовательных организаций Московской области, заключенных на подключение к сети Интернет с операторами связи </w:t>
            </w:r>
            <w:r w:rsidR="003F1EA9">
              <w:t xml:space="preserve">проанализированы на предмет </w:t>
            </w:r>
            <w:r>
              <w:t>закупки аналогичных услуг у различных операторов связи</w:t>
            </w:r>
          </w:p>
        </w:tc>
        <w:tc>
          <w:tcPr>
            <w:tcW w:w="2835" w:type="dxa"/>
            <w:vMerge w:val="restart"/>
            <w:vAlign w:val="center"/>
          </w:tcPr>
          <w:p w14:paraId="4D9A60C3" w14:textId="5CB2678F" w:rsidR="003F1EA9" w:rsidRPr="00ED3637" w:rsidRDefault="003F1EA9" w:rsidP="003F1EA9">
            <w:pPr>
              <w:ind w:left="-57" w:right="-57"/>
            </w:pPr>
            <w:r w:rsidRPr="00ED3637">
              <w:t xml:space="preserve">Все </w:t>
            </w:r>
            <w:r>
              <w:t>цели</w:t>
            </w:r>
            <w:r w:rsidRPr="00ED3637">
              <w:t xml:space="preserve"> </w:t>
            </w:r>
            <w:r>
              <w:t>КМ</w:t>
            </w:r>
          </w:p>
        </w:tc>
      </w:tr>
      <w:tr w:rsidR="00F1047F" w:rsidRPr="00154D35" w14:paraId="7461B8A1" w14:textId="77777777" w:rsidTr="001336E5">
        <w:trPr>
          <w:cantSplit/>
          <w:trHeight w:val="20"/>
        </w:trPr>
        <w:tc>
          <w:tcPr>
            <w:tcW w:w="485" w:type="dxa"/>
            <w:vAlign w:val="center"/>
          </w:tcPr>
          <w:p w14:paraId="55FBA5C1" w14:textId="77777777" w:rsidR="00F1047F" w:rsidRPr="00ED3637" w:rsidRDefault="00F1047F" w:rsidP="00346E84">
            <w:pPr>
              <w:pStyle w:val="a9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4188" w:type="dxa"/>
            <w:vAlign w:val="center"/>
          </w:tcPr>
          <w:p w14:paraId="3212CBC9" w14:textId="0A4AF691" w:rsidR="00F1047F" w:rsidRPr="00ED3637" w:rsidRDefault="00F1047F" w:rsidP="00834E3F">
            <w:pPr>
              <w:ind w:left="-57" w:right="-57"/>
            </w:pPr>
            <w:r>
              <w:t>Кластеризация</w:t>
            </w:r>
          </w:p>
        </w:tc>
        <w:tc>
          <w:tcPr>
            <w:tcW w:w="2098" w:type="dxa"/>
            <w:vAlign w:val="center"/>
          </w:tcPr>
          <w:p w14:paraId="16209C5D" w14:textId="6A95A795" w:rsidR="00F1047F" w:rsidRPr="00ED3637" w:rsidRDefault="00F1047F" w:rsidP="00834E3F">
            <w:pPr>
              <w:ind w:left="-57" w:right="-57"/>
              <w:jc w:val="center"/>
            </w:pPr>
            <w:r>
              <w:t>2.1.2.2</w:t>
            </w:r>
          </w:p>
        </w:tc>
        <w:tc>
          <w:tcPr>
            <w:tcW w:w="4990" w:type="dxa"/>
            <w:vMerge/>
            <w:shd w:val="clear" w:color="auto" w:fill="auto"/>
            <w:vAlign w:val="center"/>
          </w:tcPr>
          <w:p w14:paraId="7C1B540E" w14:textId="77777777" w:rsidR="00F1047F" w:rsidRDefault="00F1047F" w:rsidP="00834E3F">
            <w:pPr>
              <w:ind w:left="-57" w:right="-57"/>
            </w:pPr>
          </w:p>
        </w:tc>
        <w:tc>
          <w:tcPr>
            <w:tcW w:w="2835" w:type="dxa"/>
            <w:vMerge/>
            <w:vAlign w:val="center"/>
          </w:tcPr>
          <w:p w14:paraId="3F7486BC" w14:textId="31B5A9B6" w:rsidR="00F1047F" w:rsidRPr="00ED3637" w:rsidRDefault="00F1047F" w:rsidP="00834E3F">
            <w:pPr>
              <w:ind w:left="-57" w:right="-57"/>
            </w:pPr>
          </w:p>
        </w:tc>
      </w:tr>
    </w:tbl>
    <w:p w14:paraId="7895CC0B" w14:textId="346C829D" w:rsidR="00D43F51" w:rsidRDefault="00D43F51" w:rsidP="00EA3792">
      <w:pPr>
        <w:jc w:val="center"/>
      </w:pPr>
    </w:p>
    <w:p w14:paraId="41DB7E7A" w14:textId="77777777" w:rsidR="00D43F51" w:rsidRDefault="00D43F51">
      <w:r>
        <w:br w:type="page"/>
      </w:r>
    </w:p>
    <w:p w14:paraId="1041C8D8" w14:textId="77777777" w:rsidR="00D43F51" w:rsidRDefault="00D43F51" w:rsidP="00EA3792">
      <w:pPr>
        <w:jc w:val="center"/>
        <w:sectPr w:rsidR="00D43F51" w:rsidSect="00B4336C">
          <w:headerReference w:type="default" r:id="rId8"/>
          <w:pgSz w:w="16838" w:h="11906" w:orient="landscape"/>
          <w:pgMar w:top="1134" w:right="1134" w:bottom="850" w:left="1134" w:header="708" w:footer="708" w:gutter="0"/>
          <w:cols w:space="708"/>
          <w:titlePg/>
          <w:docGrid w:linePitch="381"/>
        </w:sectPr>
      </w:pPr>
    </w:p>
    <w:p w14:paraId="22C40B0D" w14:textId="77777777" w:rsidR="00D43F51" w:rsidRPr="004709F4" w:rsidRDefault="00D43F51" w:rsidP="00D43F51">
      <w:pPr>
        <w:pStyle w:val="a9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4709F4">
        <w:lastRenderedPageBreak/>
        <w:t>В ходе контрольного мероприятия использовались следующие наборы данных:</w:t>
      </w:r>
    </w:p>
    <w:p w14:paraId="55E8AA4B" w14:textId="77777777" w:rsidR="00D43F51" w:rsidRPr="004709F4" w:rsidRDefault="00D43F51" w:rsidP="00D43F51">
      <w:pPr>
        <w:pStyle w:val="a9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4709F4">
        <w:t>Машиночитаемые данные:</w:t>
      </w:r>
    </w:p>
    <w:p w14:paraId="59D9DE67" w14:textId="77777777" w:rsidR="00D43F51" w:rsidRPr="00385781" w:rsidRDefault="00D43F51" w:rsidP="00D43F51">
      <w:pPr>
        <w:pStyle w:val="a9"/>
        <w:numPr>
          <w:ilvl w:val="2"/>
          <w:numId w:val="3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85781">
        <w:t>Данные из информационной системы Роскомнадзора «Реестр лицензий»</w:t>
      </w:r>
      <w:r>
        <w:t>.</w:t>
      </w:r>
    </w:p>
    <w:p w14:paraId="1636097C" w14:textId="77777777" w:rsidR="00D43F51" w:rsidRPr="00A579D8" w:rsidRDefault="00D43F51" w:rsidP="00D43F51">
      <w:pPr>
        <w:pStyle w:val="a9"/>
        <w:numPr>
          <w:ilvl w:val="2"/>
          <w:numId w:val="3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A579D8">
        <w:t>Данные из информационной аналитической системы «Мониторинг социально значимых объектов»</w:t>
      </w:r>
      <w:r>
        <w:t>.</w:t>
      </w:r>
    </w:p>
    <w:p w14:paraId="32169B63" w14:textId="7D1F443C" w:rsidR="00D43F51" w:rsidRPr="008E521A" w:rsidRDefault="00D43F51" w:rsidP="00D43F51">
      <w:pPr>
        <w:pStyle w:val="a9"/>
        <w:numPr>
          <w:ilvl w:val="2"/>
          <w:numId w:val="3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8E521A">
        <w:t>Данные из информационной системы Федерального казначейства</w:t>
      </w:r>
      <w:r>
        <w:br/>
      </w:r>
      <w:r w:rsidRPr="008E521A">
        <w:t>о платежах Минцифры России, а также ПАО «Ростелеком» и ООО «Миранда-медиа»</w:t>
      </w:r>
      <w:r>
        <w:t>.</w:t>
      </w:r>
    </w:p>
    <w:p w14:paraId="2853E76E" w14:textId="77777777" w:rsidR="00D43F51" w:rsidRPr="008E521A" w:rsidRDefault="00D43F51" w:rsidP="00D43F51">
      <w:pPr>
        <w:pStyle w:val="a9"/>
        <w:numPr>
          <w:ilvl w:val="2"/>
          <w:numId w:val="3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8E521A">
        <w:t>Данные из информационной системы «Электронный бюджет»</w:t>
      </w:r>
      <w:r>
        <w:t>.</w:t>
      </w:r>
    </w:p>
    <w:p w14:paraId="35E21EDC" w14:textId="77777777" w:rsidR="00D43F51" w:rsidRPr="004709F4" w:rsidRDefault="00D43F51" w:rsidP="00D43F51">
      <w:pPr>
        <w:pStyle w:val="a9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4709F4">
        <w:t>Иные данные, представленные в не машиночитаемом формате.</w:t>
      </w:r>
    </w:p>
    <w:p w14:paraId="3EC6A4BB" w14:textId="4084C71E" w:rsidR="00D43F51" w:rsidRPr="00385781" w:rsidRDefault="00D43F51" w:rsidP="00D43F51">
      <w:pPr>
        <w:pStyle w:val="a9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4709F4">
        <w:t xml:space="preserve">Государственные контракты </w:t>
      </w:r>
      <w:r>
        <w:t xml:space="preserve">Минцифры России с ПАО «Ростелеком» от </w:t>
      </w:r>
      <w:r w:rsidR="000239D8">
        <w:t xml:space="preserve">7 февраля </w:t>
      </w:r>
      <w:r>
        <w:t>202</w:t>
      </w:r>
      <w:r w:rsidR="000239D8">
        <w:t>4</w:t>
      </w:r>
      <w:r>
        <w:t> г. № 0</w:t>
      </w:r>
      <w:r w:rsidR="000239D8">
        <w:t>71/24/</w:t>
      </w:r>
      <w:r>
        <w:t>, от 1 августа 202</w:t>
      </w:r>
      <w:r w:rsidR="000239D8">
        <w:t>4</w:t>
      </w:r>
      <w:r>
        <w:t> г. № 0</w:t>
      </w:r>
      <w:r w:rsidR="000239D8">
        <w:t>71/24/59</w:t>
      </w:r>
      <w:r>
        <w:t>, от 2</w:t>
      </w:r>
      <w:r w:rsidR="000239D8">
        <w:t>9</w:t>
      </w:r>
      <w:r>
        <w:t> </w:t>
      </w:r>
      <w:r w:rsidR="000239D8">
        <w:t>августа</w:t>
      </w:r>
      <w:r>
        <w:t xml:space="preserve"> 202</w:t>
      </w:r>
      <w:r w:rsidR="000239D8">
        <w:t>4</w:t>
      </w:r>
      <w:r>
        <w:t> г. № 0</w:t>
      </w:r>
      <w:r w:rsidR="000239D8">
        <w:t xml:space="preserve">71/2468 и </w:t>
      </w:r>
      <w:r>
        <w:t>от</w:t>
      </w:r>
      <w:r w:rsidR="000239D8">
        <w:t xml:space="preserve"> </w:t>
      </w:r>
      <w:r>
        <w:t>31</w:t>
      </w:r>
      <w:r w:rsidR="000239D8">
        <w:t xml:space="preserve"> </w:t>
      </w:r>
      <w:r>
        <w:t>августа 202</w:t>
      </w:r>
      <w:r w:rsidR="000239D8">
        <w:t>4</w:t>
      </w:r>
      <w:r>
        <w:t> г. № 071/2</w:t>
      </w:r>
      <w:r w:rsidR="000239D8">
        <w:t>4</w:t>
      </w:r>
      <w:r>
        <w:t>/</w:t>
      </w:r>
      <w:r w:rsidR="000239D8">
        <w:t>78</w:t>
      </w:r>
      <w:r>
        <w:t xml:space="preserve">, а </w:t>
      </w:r>
      <w:r w:rsidRPr="00385781">
        <w:t>также технические задания</w:t>
      </w:r>
      <w:r w:rsidR="000239D8">
        <w:t xml:space="preserve"> </w:t>
      </w:r>
      <w:r w:rsidRPr="00385781">
        <w:t>к ним, содержащие сведения об объекте закупок, ценах стоимости услуг, условий их оказания, использованном оборудовании при оказании услуг</w:t>
      </w:r>
      <w:r>
        <w:t>.</w:t>
      </w:r>
    </w:p>
    <w:p w14:paraId="65AA665C" w14:textId="77777777" w:rsidR="00D43F51" w:rsidRDefault="00D43F51" w:rsidP="00D43F51">
      <w:pPr>
        <w:pStyle w:val="a9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85781">
        <w:t>Сведения о результатах закупок услуг согласно Единой информационной системы закупок, содержащие сведения об объеме принятых услуг, а также о суммах оплаты за оказанные услуги.</w:t>
      </w:r>
    </w:p>
    <w:p w14:paraId="5525BBC0" w14:textId="4C2D0F01" w:rsidR="00D43F51" w:rsidRDefault="00D43F51" w:rsidP="00D43F51">
      <w:pPr>
        <w:pStyle w:val="a9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>Полученные по запросам Счетной палаты Российской Федерации</w:t>
      </w:r>
      <w:r>
        <w:br/>
        <w:t>от Министерства просвещения Российской Федерации и от Центральной избирательной комиссии Российской Федерации сведения о предоставлении Минцифры России информации о потребностях образовательных организаций</w:t>
      </w:r>
      <w:r>
        <w:br/>
        <w:t>и избирательных комиссий.</w:t>
      </w:r>
    </w:p>
    <w:p w14:paraId="23A096E8" w14:textId="4089FAA8" w:rsidR="00D43F51" w:rsidRDefault="00D43F51" w:rsidP="00D43F51">
      <w:pPr>
        <w:pStyle w:val="a9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>Полученные по запросам Счетной палаты Российской Федерации</w:t>
      </w:r>
      <w:r>
        <w:br/>
        <w:t>от исполнительных органов государственной власти субъектов Российской Федерации и органов местного самоуправления Московской области сведения</w:t>
      </w:r>
      <w:r>
        <w:br/>
        <w:t>о заключенных образовательными организациями контрактов на закупку услуг подключения к сети «Интернет».</w:t>
      </w:r>
    </w:p>
    <w:p w14:paraId="62CA1A2C" w14:textId="1960DEF7" w:rsidR="00D43F51" w:rsidRDefault="00D43F51" w:rsidP="00D43F51">
      <w:pPr>
        <w:pStyle w:val="a9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lastRenderedPageBreak/>
        <w:t>Полученные по запросам Счетной палаты Российской Федерации от ПАО «Ростелеком» сведения о расходах, произведенных в целях оказания услуг.</w:t>
      </w:r>
    </w:p>
    <w:p w14:paraId="7E5AE64B" w14:textId="6F56D687" w:rsidR="00D43F51" w:rsidRDefault="00D43F51" w:rsidP="00D43F51">
      <w:pPr>
        <w:pStyle w:val="a9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>Полученные по запросам Счетной палаты Российской Федерации</w:t>
      </w:r>
      <w:r>
        <w:br/>
        <w:t>от Минцифры России сведения об осуществлении функций заказчика федеральных контрактов, а также контрольных функциях как федерального органа государственной власти в ходе закупок услуг.</w:t>
      </w:r>
    </w:p>
    <w:p w14:paraId="0041C310" w14:textId="14EBC516" w:rsidR="00D43F51" w:rsidRDefault="00D43F51" w:rsidP="00D43F51">
      <w:pPr>
        <w:pStyle w:val="a9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>Полученные по запросам Счетной палаты Российской Федерации</w:t>
      </w:r>
      <w:r>
        <w:br/>
        <w:t>от локальных операторов связи сведения о заключенных с ПАО «Ростелеком» контрактах на аренду линий связи.</w:t>
      </w:r>
    </w:p>
    <w:p w14:paraId="75E4DB01" w14:textId="77777777" w:rsidR="00D43F51" w:rsidRPr="00385781" w:rsidRDefault="00D43F51" w:rsidP="00D43F51">
      <w:pPr>
        <w:pStyle w:val="a9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>Данные из информационной системы «СПАРК ИНТЕРФАКС».</w:t>
      </w:r>
    </w:p>
    <w:p w14:paraId="67B2BD48" w14:textId="77777777" w:rsidR="00D43F51" w:rsidRPr="004709F4" w:rsidRDefault="00D43F51" w:rsidP="00D43F51">
      <w:pPr>
        <w:pStyle w:val="a9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4709F4">
        <w:t>Методы сбора данных:</w:t>
      </w:r>
    </w:p>
    <w:p w14:paraId="4F146E6A" w14:textId="77777777" w:rsidR="00D43F51" w:rsidRPr="004709F4" w:rsidRDefault="00D43F51" w:rsidP="00D43F51">
      <w:pPr>
        <w:pStyle w:val="a9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4709F4">
        <w:t>Получение открытых данных из государственных информационных систем;</w:t>
      </w:r>
    </w:p>
    <w:p w14:paraId="5DDCAAA1" w14:textId="77777777" w:rsidR="00D43F51" w:rsidRPr="004709F4" w:rsidRDefault="00D43F51" w:rsidP="00D43F51">
      <w:pPr>
        <w:pStyle w:val="a9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4709F4">
        <w:t>Получение данных из закрытых государственных информационных систем, к которым Счетной палате Российской Федерации предоставлен постоянный доступ;</w:t>
      </w:r>
    </w:p>
    <w:p w14:paraId="758ABF52" w14:textId="77777777" w:rsidR="00D43F51" w:rsidRPr="004709F4" w:rsidRDefault="00D43F51" w:rsidP="00D43F51">
      <w:pPr>
        <w:pStyle w:val="a9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4709F4">
        <w:t>Получение данных из закрытых государственных информационных систем, к которым у Счетной палаты Российской Федерации отсутствует доступ, на основании запросов информации;</w:t>
      </w:r>
    </w:p>
    <w:p w14:paraId="66DAAF03" w14:textId="77777777" w:rsidR="00D43F51" w:rsidRPr="004709F4" w:rsidRDefault="00D43F51" w:rsidP="00D43F51">
      <w:pPr>
        <w:pStyle w:val="a9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4709F4">
        <w:t>Получение данных от органов государственной власти и организаций на основании запросов информации</w:t>
      </w:r>
      <w:r>
        <w:t>.</w:t>
      </w:r>
    </w:p>
    <w:p w14:paraId="6E78FA9A" w14:textId="77777777" w:rsidR="00D43F51" w:rsidRDefault="00D43F51" w:rsidP="00D43F51">
      <w:pPr>
        <w:pStyle w:val="a9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4709F4">
        <w:t>Использование общедоступной информации</w:t>
      </w:r>
      <w:r>
        <w:t>.</w:t>
      </w:r>
    </w:p>
    <w:p w14:paraId="3232D118" w14:textId="77777777" w:rsidR="00D43F51" w:rsidRDefault="00D43F51" w:rsidP="00D43F51">
      <w:pPr>
        <w:pStyle w:val="a9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>Эффективность закупок услуг рассчитывается как средневзвешенное критериев эффективности по формуле:</w:t>
      </w:r>
    </w:p>
    <w:p w14:paraId="628C55F7" w14:textId="6F3F95B1" w:rsidR="00D43F51" w:rsidRPr="00625450" w:rsidRDefault="00D43F51" w:rsidP="00D43F51">
      <w:pPr>
        <w:autoSpaceDE w:val="0"/>
        <w:autoSpaceDN w:val="0"/>
        <w:adjustRightInd w:val="0"/>
        <w:ind w:left="708" w:firstLine="708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Эффективность=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7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</m:oMath>
      </m:oMathPara>
    </w:p>
    <w:p w14:paraId="3CCAD32D" w14:textId="77777777" w:rsidR="00D43F51" w:rsidRDefault="00D43F51" w:rsidP="00D43F51">
      <w:pPr>
        <w:autoSpaceDE w:val="0"/>
        <w:autoSpaceDN w:val="0"/>
        <w:adjustRightInd w:val="0"/>
        <w:ind w:firstLine="540"/>
      </w:pPr>
      <w:r>
        <w:t>где:</w:t>
      </w:r>
    </w:p>
    <w:p w14:paraId="4C143525" w14:textId="77777777" w:rsidR="00D43F51" w:rsidRPr="007565D6" w:rsidRDefault="00C2426F" w:rsidP="00D43F51">
      <w:pPr>
        <w:autoSpaceDE w:val="0"/>
        <w:autoSpaceDN w:val="0"/>
        <w:adjustRightInd w:val="0"/>
        <w:ind w:firstLine="54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D43F51" w:rsidRPr="007565D6">
        <w:t xml:space="preserve"> </w:t>
      </w:r>
      <w:r w:rsidR="00D43F51" w:rsidRPr="00615E70">
        <w:t>–значение каждого из критериев эффективности</w:t>
      </w:r>
      <w:r w:rsidR="00D43F51">
        <w:t>;</w:t>
      </w:r>
    </w:p>
    <w:p w14:paraId="3E47B770" w14:textId="2C6D7E4F" w:rsidR="00570081" w:rsidRDefault="00C2426F" w:rsidP="00D43F51">
      <w:pPr>
        <w:autoSpaceDE w:val="0"/>
        <w:autoSpaceDN w:val="0"/>
        <w:adjustRightInd w:val="0"/>
        <w:ind w:firstLine="54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D43F51" w:rsidRPr="007565D6">
        <w:t xml:space="preserve"> </w:t>
      </w:r>
      <w:r w:rsidR="00D43F51" w:rsidRPr="00615E70">
        <w:t>–</w:t>
      </w:r>
      <w:r w:rsidR="00D43F51">
        <w:t>вес</w:t>
      </w:r>
      <w:r w:rsidR="00D43F51" w:rsidRPr="00615E70">
        <w:t xml:space="preserve"> каждого из критериев эффективности</w:t>
      </w:r>
      <w:r w:rsidR="00D43F51">
        <w:t>.</w:t>
      </w:r>
    </w:p>
    <w:p w14:paraId="7F936D78" w14:textId="77777777" w:rsidR="00570081" w:rsidRDefault="00570081">
      <w:r>
        <w:br w:type="page"/>
      </w:r>
    </w:p>
    <w:p w14:paraId="60552C36" w14:textId="77777777" w:rsidR="00D43F51" w:rsidRPr="005229F5" w:rsidRDefault="00D43F51" w:rsidP="00D43F51">
      <w:pPr>
        <w:keepNext/>
        <w:spacing w:after="200"/>
        <w:rPr>
          <w:rFonts w:eastAsia="Calibri"/>
          <w:bCs/>
          <w:sz w:val="24"/>
          <w:szCs w:val="24"/>
        </w:rPr>
      </w:pPr>
      <w:r w:rsidRPr="005229F5">
        <w:rPr>
          <w:rFonts w:eastAsia="Calibri"/>
          <w:bCs/>
          <w:sz w:val="24"/>
          <w:szCs w:val="24"/>
        </w:rPr>
        <w:lastRenderedPageBreak/>
        <w:t xml:space="preserve">Таблица </w:t>
      </w:r>
      <w:r w:rsidRPr="005229F5">
        <w:rPr>
          <w:rFonts w:eastAsia="Calibri"/>
          <w:bCs/>
          <w:sz w:val="24"/>
          <w:szCs w:val="24"/>
        </w:rPr>
        <w:fldChar w:fldCharType="begin"/>
      </w:r>
      <w:r w:rsidRPr="005229F5">
        <w:rPr>
          <w:rFonts w:eastAsia="Calibri"/>
          <w:bCs/>
          <w:sz w:val="24"/>
          <w:szCs w:val="24"/>
        </w:rPr>
        <w:instrText xml:space="preserve"> SEQ Таблица \* ARABIC </w:instrText>
      </w:r>
      <w:r w:rsidRPr="005229F5">
        <w:rPr>
          <w:rFonts w:eastAsia="Calibri"/>
          <w:bCs/>
          <w:sz w:val="24"/>
          <w:szCs w:val="24"/>
        </w:rPr>
        <w:fldChar w:fldCharType="separate"/>
      </w:r>
      <w:r w:rsidR="00C9035A">
        <w:rPr>
          <w:rFonts w:eastAsia="Calibri"/>
          <w:bCs/>
          <w:noProof/>
          <w:sz w:val="24"/>
          <w:szCs w:val="24"/>
        </w:rPr>
        <w:t>1</w:t>
      </w:r>
      <w:r w:rsidRPr="005229F5">
        <w:rPr>
          <w:rFonts w:eastAsia="Calibri"/>
          <w:bCs/>
          <w:sz w:val="24"/>
          <w:szCs w:val="24"/>
        </w:rPr>
        <w:fldChar w:fldCharType="end"/>
      </w:r>
      <w:r w:rsidRPr="005229F5">
        <w:rPr>
          <w:rFonts w:eastAsia="Calibri"/>
          <w:bCs/>
          <w:sz w:val="24"/>
          <w:szCs w:val="24"/>
        </w:rPr>
        <w:t>. Веса критериев эффективности</w:t>
      </w:r>
    </w:p>
    <w:tbl>
      <w:tblPr>
        <w:tblStyle w:val="a3"/>
        <w:tblW w:w="9942" w:type="dxa"/>
        <w:jc w:val="center"/>
        <w:tblLayout w:type="fixed"/>
        <w:tblLook w:val="04A0" w:firstRow="1" w:lastRow="0" w:firstColumn="1" w:lastColumn="0" w:noHBand="0" w:noVBand="1"/>
      </w:tblPr>
      <w:tblGrid>
        <w:gridCol w:w="6610"/>
        <w:gridCol w:w="1134"/>
        <w:gridCol w:w="923"/>
        <w:gridCol w:w="1275"/>
      </w:tblGrid>
      <w:tr w:rsidR="00D43F51" w:rsidRPr="005229F5" w14:paraId="54E4A8A6" w14:textId="77777777" w:rsidTr="00570081">
        <w:trPr>
          <w:tblHeader/>
          <w:jc w:val="center"/>
        </w:trPr>
        <w:tc>
          <w:tcPr>
            <w:tcW w:w="6610" w:type="dxa"/>
            <w:vAlign w:val="center"/>
          </w:tcPr>
          <w:p w14:paraId="3E8DFC5E" w14:textId="77777777" w:rsidR="00D43F51" w:rsidRPr="005229F5" w:rsidRDefault="00D43F51" w:rsidP="00AA6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1134" w:type="dxa"/>
            <w:vAlign w:val="center"/>
          </w:tcPr>
          <w:p w14:paraId="68177970" w14:textId="77777777" w:rsidR="00D43F51" w:rsidRPr="005229F5" w:rsidRDefault="00D43F51" w:rsidP="00AA6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Обозна-чение</w:t>
            </w:r>
          </w:p>
        </w:tc>
        <w:tc>
          <w:tcPr>
            <w:tcW w:w="923" w:type="dxa"/>
            <w:vAlign w:val="center"/>
          </w:tcPr>
          <w:p w14:paraId="679AAEFA" w14:textId="77777777" w:rsidR="00D43F51" w:rsidRPr="005229F5" w:rsidRDefault="00D43F51" w:rsidP="00AA62E2">
            <w:pPr>
              <w:jc w:val="center"/>
              <w:rPr>
                <w:b/>
                <w:sz w:val="24"/>
                <w:szCs w:val="24"/>
              </w:rPr>
            </w:pPr>
            <w:r w:rsidRPr="005229F5">
              <w:rPr>
                <w:b/>
                <w:sz w:val="24"/>
                <w:szCs w:val="24"/>
              </w:rPr>
              <w:t>Вес</w:t>
            </w:r>
          </w:p>
        </w:tc>
        <w:tc>
          <w:tcPr>
            <w:tcW w:w="1275" w:type="dxa"/>
            <w:vAlign w:val="center"/>
          </w:tcPr>
          <w:p w14:paraId="34379F3D" w14:textId="77777777" w:rsidR="00D43F51" w:rsidRPr="005229F5" w:rsidRDefault="00D43F51" w:rsidP="00AA62E2">
            <w:pPr>
              <w:jc w:val="center"/>
              <w:rPr>
                <w:b/>
                <w:sz w:val="24"/>
                <w:szCs w:val="24"/>
              </w:rPr>
            </w:pPr>
            <w:r w:rsidRPr="005229F5">
              <w:rPr>
                <w:b/>
                <w:sz w:val="24"/>
                <w:szCs w:val="24"/>
              </w:rPr>
              <w:t>Значение веса</w:t>
            </w:r>
          </w:p>
        </w:tc>
      </w:tr>
      <w:tr w:rsidR="00D43F51" w:rsidRPr="005229F5" w14:paraId="370BB16A" w14:textId="77777777" w:rsidTr="00570081">
        <w:trPr>
          <w:jc w:val="center"/>
        </w:trPr>
        <w:tc>
          <w:tcPr>
            <w:tcW w:w="6610" w:type="dxa"/>
          </w:tcPr>
          <w:p w14:paraId="6326B8B3" w14:textId="6C6F387C" w:rsidR="00D43F51" w:rsidRPr="00570081" w:rsidRDefault="00570081" w:rsidP="00570081">
            <w:pPr>
              <w:rPr>
                <w:sz w:val="26"/>
                <w:szCs w:val="26"/>
              </w:rPr>
            </w:pPr>
            <w:r w:rsidRPr="00570081">
              <w:rPr>
                <w:sz w:val="26"/>
                <w:szCs w:val="26"/>
              </w:rPr>
              <w:t>Все образовательные организации и избирательные комиссии используют в своей деятельности предоставленный им канал связи ЕСПД</w:t>
            </w:r>
          </w:p>
        </w:tc>
        <w:tc>
          <w:tcPr>
            <w:tcW w:w="1134" w:type="dxa"/>
          </w:tcPr>
          <w:p w14:paraId="5F88A768" w14:textId="77777777" w:rsidR="00D43F51" w:rsidRPr="005229F5" w:rsidRDefault="00C2426F" w:rsidP="00AA62E2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23" w:type="dxa"/>
          </w:tcPr>
          <w:p w14:paraId="188B2EB4" w14:textId="77777777" w:rsidR="00D43F51" w:rsidRPr="005229F5" w:rsidRDefault="00C2426F" w:rsidP="00AA62E2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275" w:type="dxa"/>
          </w:tcPr>
          <w:p w14:paraId="2E8B74C7" w14:textId="73C77585" w:rsidR="00D43F51" w:rsidRPr="005229F5" w:rsidRDefault="00570081" w:rsidP="00BE2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43F51" w:rsidRPr="005229F5">
              <w:rPr>
                <w:sz w:val="24"/>
                <w:szCs w:val="24"/>
              </w:rPr>
              <w:t>%</w:t>
            </w:r>
          </w:p>
        </w:tc>
      </w:tr>
      <w:tr w:rsidR="00D43F51" w:rsidRPr="005229F5" w14:paraId="257974EB" w14:textId="77777777" w:rsidTr="00570081">
        <w:trPr>
          <w:jc w:val="center"/>
        </w:trPr>
        <w:tc>
          <w:tcPr>
            <w:tcW w:w="6610" w:type="dxa"/>
          </w:tcPr>
          <w:p w14:paraId="56A1EF0C" w14:textId="389A70EE" w:rsidR="00D43F51" w:rsidRPr="00570081" w:rsidRDefault="00570081" w:rsidP="00570081">
            <w:pPr>
              <w:rPr>
                <w:sz w:val="26"/>
                <w:szCs w:val="26"/>
              </w:rPr>
            </w:pPr>
            <w:r w:rsidRPr="00570081">
              <w:rPr>
                <w:sz w:val="26"/>
                <w:szCs w:val="26"/>
              </w:rPr>
              <w:t>Скорость доступа к сети «Интернет» с использованием ЕСПД на оборудовании ПАО «Ростелеком» (скорость загрузки и скорость передачи), измеренная в ходе выездов в образовательные организации, соответствует скоростям, предусмотренным государственными контрактами на оказание в 2024 году услуг связи</w:t>
            </w:r>
          </w:p>
        </w:tc>
        <w:tc>
          <w:tcPr>
            <w:tcW w:w="1134" w:type="dxa"/>
          </w:tcPr>
          <w:p w14:paraId="1D5C7A66" w14:textId="77777777" w:rsidR="00D43F51" w:rsidRPr="005229F5" w:rsidRDefault="00C2426F" w:rsidP="00AA62E2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23" w:type="dxa"/>
          </w:tcPr>
          <w:p w14:paraId="7FD06920" w14:textId="77777777" w:rsidR="00D43F51" w:rsidRPr="005229F5" w:rsidRDefault="00C2426F" w:rsidP="00AA62E2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275" w:type="dxa"/>
          </w:tcPr>
          <w:p w14:paraId="795DFB2A" w14:textId="2559E4E7" w:rsidR="00D43F51" w:rsidRPr="005229F5" w:rsidRDefault="00570081" w:rsidP="00BE2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43F51" w:rsidRPr="005229F5">
              <w:rPr>
                <w:sz w:val="24"/>
                <w:szCs w:val="24"/>
              </w:rPr>
              <w:t>%</w:t>
            </w:r>
          </w:p>
        </w:tc>
      </w:tr>
      <w:tr w:rsidR="00D43F51" w:rsidRPr="005229F5" w14:paraId="10067C8B" w14:textId="77777777" w:rsidTr="00570081">
        <w:trPr>
          <w:jc w:val="center"/>
        </w:trPr>
        <w:tc>
          <w:tcPr>
            <w:tcW w:w="6610" w:type="dxa"/>
          </w:tcPr>
          <w:p w14:paraId="3F871C2F" w14:textId="52513783" w:rsidR="00D43F51" w:rsidRPr="00570081" w:rsidRDefault="00570081" w:rsidP="00570081">
            <w:pPr>
              <w:rPr>
                <w:sz w:val="26"/>
                <w:szCs w:val="26"/>
              </w:rPr>
            </w:pPr>
            <w:r w:rsidRPr="00570081">
              <w:rPr>
                <w:sz w:val="26"/>
                <w:szCs w:val="26"/>
              </w:rPr>
              <w:t>Скорость подключения к сети «Интернет»</w:t>
            </w:r>
            <w:r w:rsidRPr="00570081">
              <w:rPr>
                <w:sz w:val="26"/>
                <w:szCs w:val="26"/>
              </w:rPr>
              <w:br/>
              <w:t>с использованием ЕСПД позволяет образовательным организациям при проведении занятий воспроизводить рекомендованный Минпросвещения России видео/аудио материал на всех одновременно используемых для этих целей АРМ</w:t>
            </w:r>
            <w:r w:rsidRPr="00570081">
              <w:rPr>
                <w:sz w:val="26"/>
                <w:szCs w:val="26"/>
                <w:vertAlign w:val="superscript"/>
              </w:rPr>
              <w:footnoteReference w:id="2"/>
            </w:r>
            <w:r w:rsidRPr="00570081">
              <w:rPr>
                <w:sz w:val="26"/>
                <w:szCs w:val="26"/>
              </w:rPr>
              <w:t xml:space="preserve"> в режиме «online» без задержек</w:t>
            </w:r>
          </w:p>
        </w:tc>
        <w:tc>
          <w:tcPr>
            <w:tcW w:w="1134" w:type="dxa"/>
          </w:tcPr>
          <w:p w14:paraId="3D51157C" w14:textId="77777777" w:rsidR="00D43F51" w:rsidRPr="005229F5" w:rsidRDefault="00C2426F" w:rsidP="00AA62E2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23" w:type="dxa"/>
          </w:tcPr>
          <w:p w14:paraId="6AB20ACA" w14:textId="77777777" w:rsidR="00D43F51" w:rsidRPr="005229F5" w:rsidRDefault="00C2426F" w:rsidP="00AA62E2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275" w:type="dxa"/>
          </w:tcPr>
          <w:p w14:paraId="4B54D1EE" w14:textId="0C9ABC80" w:rsidR="00D43F51" w:rsidRPr="005229F5" w:rsidRDefault="00570081" w:rsidP="00CE7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43F51" w:rsidRPr="005229F5">
              <w:rPr>
                <w:sz w:val="24"/>
                <w:szCs w:val="24"/>
              </w:rPr>
              <w:t>%</w:t>
            </w:r>
          </w:p>
        </w:tc>
      </w:tr>
      <w:tr w:rsidR="00D43F51" w:rsidRPr="005229F5" w14:paraId="69C89941" w14:textId="77777777" w:rsidTr="00570081">
        <w:trPr>
          <w:jc w:val="center"/>
        </w:trPr>
        <w:tc>
          <w:tcPr>
            <w:tcW w:w="6610" w:type="dxa"/>
          </w:tcPr>
          <w:p w14:paraId="63E4953E" w14:textId="1AB5667B" w:rsidR="00D43F51" w:rsidRPr="00570081" w:rsidRDefault="00570081" w:rsidP="00570081">
            <w:pPr>
              <w:rPr>
                <w:sz w:val="26"/>
                <w:szCs w:val="26"/>
              </w:rPr>
            </w:pPr>
            <w:r w:rsidRPr="00570081">
              <w:rPr>
                <w:sz w:val="26"/>
                <w:szCs w:val="26"/>
              </w:rPr>
              <w:t>В населенных пунктах, в которых услуги связи оказываются по спутниковым каналам связи, отсутствуют операторы связи, оказывающие услуги подключения к сети «Интернет» по иным технологиям, обеспечивающим наибольшую гарантированную скорость подключения</w:t>
            </w:r>
          </w:p>
        </w:tc>
        <w:tc>
          <w:tcPr>
            <w:tcW w:w="1134" w:type="dxa"/>
          </w:tcPr>
          <w:p w14:paraId="533E66EE" w14:textId="77777777" w:rsidR="00D43F51" w:rsidRPr="005229F5" w:rsidRDefault="00C2426F" w:rsidP="00AA62E2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23" w:type="dxa"/>
          </w:tcPr>
          <w:p w14:paraId="1BFF9886" w14:textId="77777777" w:rsidR="00D43F51" w:rsidRPr="005229F5" w:rsidRDefault="00C2426F" w:rsidP="00AA62E2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275" w:type="dxa"/>
          </w:tcPr>
          <w:p w14:paraId="378AFAE9" w14:textId="169344B3" w:rsidR="00D43F51" w:rsidRPr="005229F5" w:rsidRDefault="00BE2DD0" w:rsidP="00122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0081">
              <w:rPr>
                <w:sz w:val="24"/>
                <w:szCs w:val="24"/>
              </w:rPr>
              <w:t>5</w:t>
            </w:r>
            <w:r w:rsidR="00D43F51" w:rsidRPr="005229F5">
              <w:rPr>
                <w:sz w:val="24"/>
                <w:szCs w:val="24"/>
              </w:rPr>
              <w:t>%</w:t>
            </w:r>
          </w:p>
        </w:tc>
      </w:tr>
      <w:tr w:rsidR="00CE7325" w:rsidRPr="005229F5" w14:paraId="55A20157" w14:textId="77777777" w:rsidTr="00570081">
        <w:trPr>
          <w:jc w:val="center"/>
        </w:trPr>
        <w:tc>
          <w:tcPr>
            <w:tcW w:w="6610" w:type="dxa"/>
          </w:tcPr>
          <w:p w14:paraId="4FAC3FEF" w14:textId="76AA6138" w:rsidR="00CE7325" w:rsidRPr="00570081" w:rsidRDefault="00570081" w:rsidP="00570081">
            <w:pPr>
              <w:rPr>
                <w:sz w:val="26"/>
                <w:szCs w:val="26"/>
              </w:rPr>
            </w:pPr>
            <w:r w:rsidRPr="00570081">
              <w:rPr>
                <w:sz w:val="26"/>
                <w:szCs w:val="26"/>
              </w:rPr>
              <w:t>Паспорта национального проекта и (или) федеральных проектов, в рамках которых осуществляется расходование средств федерального бюджета на оказание услуг (иные документы) содержат показатели (результаты), позволяющие оценить влияние оказания услуг связи на реализацию образовательных программ с применением электронного обучения и (или) дистанционных образовательных технологий</w:t>
            </w:r>
          </w:p>
        </w:tc>
        <w:tc>
          <w:tcPr>
            <w:tcW w:w="1134" w:type="dxa"/>
          </w:tcPr>
          <w:p w14:paraId="1E1D8E31" w14:textId="77777777" w:rsidR="00CE7325" w:rsidRPr="005229F5" w:rsidRDefault="00C2426F" w:rsidP="00AA62E2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23" w:type="dxa"/>
          </w:tcPr>
          <w:p w14:paraId="6EE4A386" w14:textId="77777777" w:rsidR="00CE7325" w:rsidRPr="005229F5" w:rsidRDefault="00CE7325" w:rsidP="00AA62E2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ω</m:t>
                </m:r>
              </m:oMath>
            </m:oMathPara>
          </w:p>
        </w:tc>
        <w:tc>
          <w:tcPr>
            <w:tcW w:w="1275" w:type="dxa"/>
          </w:tcPr>
          <w:p w14:paraId="54622E96" w14:textId="20E22E39" w:rsidR="00CE7325" w:rsidRPr="005229F5" w:rsidRDefault="00570081" w:rsidP="006C1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E7325" w:rsidRPr="005229F5">
              <w:rPr>
                <w:sz w:val="24"/>
                <w:szCs w:val="24"/>
              </w:rPr>
              <w:t>%</w:t>
            </w:r>
          </w:p>
        </w:tc>
      </w:tr>
      <w:tr w:rsidR="00CE7325" w:rsidRPr="005229F5" w14:paraId="4ECC94EC" w14:textId="77777777" w:rsidTr="00570081">
        <w:trPr>
          <w:jc w:val="center"/>
        </w:trPr>
        <w:tc>
          <w:tcPr>
            <w:tcW w:w="6610" w:type="dxa"/>
          </w:tcPr>
          <w:p w14:paraId="431A4012" w14:textId="0442E380" w:rsidR="00CE7325" w:rsidRPr="00570081" w:rsidRDefault="00570081" w:rsidP="00570081">
            <w:pPr>
              <w:rPr>
                <w:sz w:val="26"/>
                <w:szCs w:val="26"/>
              </w:rPr>
            </w:pPr>
            <w:r w:rsidRPr="00570081">
              <w:rPr>
                <w:sz w:val="26"/>
                <w:szCs w:val="26"/>
              </w:rPr>
              <w:t>Стоимость расходов на закупку услуг для образовательных организаций и избирательных комиссий не завышена (соответствует цене единиц услуг)</w:t>
            </w:r>
          </w:p>
        </w:tc>
        <w:tc>
          <w:tcPr>
            <w:tcW w:w="1134" w:type="dxa"/>
          </w:tcPr>
          <w:p w14:paraId="6118C7BB" w14:textId="77777777" w:rsidR="00CE7325" w:rsidRPr="005229F5" w:rsidRDefault="00C2426F" w:rsidP="00AA62E2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923" w:type="dxa"/>
          </w:tcPr>
          <w:p w14:paraId="0EB33EEF" w14:textId="77777777" w:rsidR="00CE7325" w:rsidRPr="005229F5" w:rsidRDefault="00C2426F" w:rsidP="00AA62E2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275" w:type="dxa"/>
          </w:tcPr>
          <w:p w14:paraId="0D81FCD1" w14:textId="5EC2804D" w:rsidR="00CE7325" w:rsidRPr="005229F5" w:rsidRDefault="00CE7325" w:rsidP="006C1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0081">
              <w:rPr>
                <w:sz w:val="24"/>
                <w:szCs w:val="24"/>
              </w:rPr>
              <w:t>5</w:t>
            </w:r>
            <w:r w:rsidRPr="005229F5">
              <w:rPr>
                <w:sz w:val="24"/>
                <w:szCs w:val="24"/>
              </w:rPr>
              <w:t>%</w:t>
            </w:r>
          </w:p>
        </w:tc>
      </w:tr>
      <w:tr w:rsidR="00122CF7" w:rsidRPr="005229F5" w14:paraId="1A1D16AB" w14:textId="77777777" w:rsidTr="00570081">
        <w:trPr>
          <w:jc w:val="center"/>
        </w:trPr>
        <w:tc>
          <w:tcPr>
            <w:tcW w:w="6610" w:type="dxa"/>
          </w:tcPr>
          <w:p w14:paraId="35751CCC" w14:textId="53A038BB" w:rsidR="00122CF7" w:rsidRPr="00570081" w:rsidRDefault="00570081" w:rsidP="00570081">
            <w:pPr>
              <w:rPr>
                <w:sz w:val="26"/>
                <w:szCs w:val="26"/>
              </w:rPr>
            </w:pPr>
            <w:r w:rsidRPr="00570081">
              <w:rPr>
                <w:sz w:val="26"/>
                <w:szCs w:val="26"/>
              </w:rPr>
              <w:t>Оплата стоимости услуг с 1 января 2024 года обоснована требованиями законодательства Российской Федерации</w:t>
            </w:r>
          </w:p>
        </w:tc>
        <w:tc>
          <w:tcPr>
            <w:tcW w:w="1134" w:type="dxa"/>
          </w:tcPr>
          <w:p w14:paraId="68DE904E" w14:textId="1EB22A1C" w:rsidR="00122CF7" w:rsidRDefault="00C2426F" w:rsidP="00122CF7">
            <w:pPr>
              <w:rPr>
                <w:rFonts w:eastAsia="Calibr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923" w:type="dxa"/>
          </w:tcPr>
          <w:p w14:paraId="3D52E424" w14:textId="24F50338" w:rsidR="00122CF7" w:rsidRDefault="00122CF7" w:rsidP="00122CF7">
            <w:pPr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ω</m:t>
                </m:r>
              </m:oMath>
            </m:oMathPara>
          </w:p>
        </w:tc>
        <w:tc>
          <w:tcPr>
            <w:tcW w:w="1275" w:type="dxa"/>
          </w:tcPr>
          <w:p w14:paraId="300710D2" w14:textId="382A5B51" w:rsidR="00122CF7" w:rsidRDefault="00122CF7" w:rsidP="005700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0081">
              <w:rPr>
                <w:sz w:val="24"/>
                <w:szCs w:val="24"/>
              </w:rPr>
              <w:t>0</w:t>
            </w:r>
            <w:r w:rsidRPr="005229F5">
              <w:rPr>
                <w:sz w:val="24"/>
                <w:szCs w:val="24"/>
              </w:rPr>
              <w:t>%</w:t>
            </w:r>
          </w:p>
        </w:tc>
      </w:tr>
      <w:tr w:rsidR="00D43F51" w:rsidRPr="005229F5" w14:paraId="51515DE8" w14:textId="77777777" w:rsidTr="00570081">
        <w:trPr>
          <w:jc w:val="center"/>
        </w:trPr>
        <w:tc>
          <w:tcPr>
            <w:tcW w:w="6610" w:type="dxa"/>
          </w:tcPr>
          <w:p w14:paraId="197A0804" w14:textId="77777777" w:rsidR="00D43F51" w:rsidRPr="005229F5" w:rsidRDefault="00D43F51" w:rsidP="00AA62E2">
            <w:pPr>
              <w:rPr>
                <w:b/>
                <w:sz w:val="24"/>
                <w:szCs w:val="24"/>
              </w:rPr>
            </w:pPr>
            <w:r w:rsidRPr="005229F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7992329A" w14:textId="77777777" w:rsidR="00D43F51" w:rsidRPr="005229F5" w:rsidRDefault="00D43F51" w:rsidP="00AA62E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14:paraId="78AC4424" w14:textId="77777777" w:rsidR="00D43F51" w:rsidRPr="005229F5" w:rsidRDefault="00D43F51" w:rsidP="00AA62E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BEFF36" w14:textId="1B772786" w:rsidR="00D43F51" w:rsidRPr="005229F5" w:rsidRDefault="00D43F51" w:rsidP="00AA6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=SUM(ABOVE)*100 \# "0,0%"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70081">
              <w:rPr>
                <w:b/>
                <w:noProof/>
                <w:sz w:val="24"/>
                <w:szCs w:val="24"/>
              </w:rPr>
              <w:t>100,0%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5B29A041" w14:textId="77777777" w:rsidR="004C2C82" w:rsidRDefault="004C2C82" w:rsidP="006C1ADC">
      <w:pPr>
        <w:autoSpaceDE w:val="0"/>
        <w:autoSpaceDN w:val="0"/>
        <w:adjustRightInd w:val="0"/>
        <w:ind w:firstLine="539"/>
      </w:pPr>
      <w:r>
        <w:t>Каждый критерий эффективности принимается равным:</w:t>
      </w:r>
    </w:p>
    <w:p w14:paraId="66F5CF47" w14:textId="77777777" w:rsidR="004C2C82" w:rsidRDefault="004C2C82" w:rsidP="006C1ADC">
      <w:pPr>
        <w:autoSpaceDE w:val="0"/>
        <w:autoSpaceDN w:val="0"/>
        <w:adjustRightInd w:val="0"/>
        <w:ind w:firstLine="539"/>
      </w:pPr>
      <w:r>
        <w:t>Единице – если достигнут;</w:t>
      </w:r>
    </w:p>
    <w:p w14:paraId="7F1DC5AF" w14:textId="18F9BC43" w:rsidR="004C2C82" w:rsidRDefault="004C2C82" w:rsidP="006C1ADC">
      <w:pPr>
        <w:autoSpaceDE w:val="0"/>
        <w:autoSpaceDN w:val="0"/>
        <w:adjustRightInd w:val="0"/>
        <w:ind w:firstLine="539"/>
      </w:pPr>
      <w:r>
        <w:t xml:space="preserve">0,5 – если достигнут </w:t>
      </w:r>
      <w:r w:rsidR="00852121">
        <w:t>не в полной мере</w:t>
      </w:r>
      <w:r>
        <w:t>;</w:t>
      </w:r>
    </w:p>
    <w:p w14:paraId="3435C42F" w14:textId="76A9DA16" w:rsidR="00570081" w:rsidRDefault="004C2C82" w:rsidP="006C1ADC">
      <w:pPr>
        <w:autoSpaceDE w:val="0"/>
        <w:autoSpaceDN w:val="0"/>
        <w:adjustRightInd w:val="0"/>
        <w:ind w:firstLine="539"/>
      </w:pPr>
      <w:r>
        <w:t>Нулевое значение – если не достигнут.</w:t>
      </w:r>
    </w:p>
    <w:p w14:paraId="6D206517" w14:textId="77777777" w:rsidR="00570081" w:rsidRDefault="00570081">
      <w:r>
        <w:br w:type="page"/>
      </w:r>
    </w:p>
    <w:p w14:paraId="0DB4116C" w14:textId="5127F57C" w:rsidR="004C2C82" w:rsidRPr="00D43F51" w:rsidRDefault="00612422" w:rsidP="00B93851">
      <w:pPr>
        <w:autoSpaceDE w:val="0"/>
        <w:autoSpaceDN w:val="0"/>
        <w:adjustRightInd w:val="0"/>
        <w:spacing w:before="120"/>
        <w:jc w:val="center"/>
      </w:pPr>
      <w:r>
        <w:lastRenderedPageBreak/>
        <w:t>Рас</w:t>
      </w:r>
      <w:r w:rsidR="00AB22B8">
        <w:t>чет эффективности закупок услуг.</w:t>
      </w:r>
    </w:p>
    <w:p w14:paraId="09503015" w14:textId="050179EE" w:rsidR="00C9035A" w:rsidRDefault="00C2426F" w:rsidP="00C9035A">
      <w:pPr>
        <w:autoSpaceDE w:val="0"/>
        <w:autoSpaceDN w:val="0"/>
        <w:adjustRightInd w:val="0"/>
        <w:spacing w:before="120"/>
        <w:ind w:left="1276"/>
      </w:pPr>
      <w:r>
        <w:rPr>
          <w:noProof/>
        </w:rPr>
        <w:object w:dxaOrig="1440" w:dyaOrig="1440" w14:anchorId="41E48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.6pt;margin-top:14.1pt;width:429.15pt;height:169.45pt;z-index:251659264;mso-position-horizontal-relative:text;mso-position-vertical-relative:text">
            <v:imagedata r:id="rId9" o:title=""/>
            <w10:wrap type="square" side="right"/>
          </v:shape>
          <o:OLEObject Type="Embed" ProgID="Excel.Sheet.12" ShapeID="_x0000_s1026" DrawAspect="Content" ObjectID="_1812278242" r:id="rId10"/>
        </w:object>
      </w:r>
    </w:p>
    <w:p w14:paraId="3DBE22A5" w14:textId="4481CA3D" w:rsidR="004C2C82" w:rsidRPr="0054664E" w:rsidRDefault="00C9035A" w:rsidP="00C9035A">
      <w:pPr>
        <w:autoSpaceDE w:val="0"/>
        <w:autoSpaceDN w:val="0"/>
        <w:adjustRightInd w:val="0"/>
        <w:spacing w:before="120"/>
        <w:ind w:firstLine="540"/>
        <w:jc w:val="both"/>
      </w:pPr>
      <w:r>
        <w:t>З</w:t>
      </w:r>
      <w:r w:rsidR="004C2C82" w:rsidRPr="0054664E">
        <w:t>начение эффективности закупок услуг оценивается по</w:t>
      </w:r>
      <w:r w:rsidR="00037C2A">
        <w:t xml:space="preserve"> </w:t>
      </w:r>
      <w:r w:rsidR="004C2C82" w:rsidRPr="0054664E">
        <w:t>рассчитанному итоговому значению как:</w:t>
      </w:r>
    </w:p>
    <w:p w14:paraId="4243F559" w14:textId="305AAC94" w:rsidR="004C2C82" w:rsidRDefault="004C2C82" w:rsidP="004C2C82">
      <w:pPr>
        <w:autoSpaceDE w:val="0"/>
        <w:autoSpaceDN w:val="0"/>
        <w:adjustRightInd w:val="0"/>
        <w:spacing w:before="120"/>
        <w:ind w:firstLine="540"/>
      </w:pPr>
      <w:r>
        <w:t xml:space="preserve">низкое при значении от 0% до </w:t>
      </w:r>
      <w:r w:rsidR="00037C2A">
        <w:t>4</w:t>
      </w:r>
      <w:r w:rsidR="00B27829">
        <w:t>0</w:t>
      </w:r>
      <w:r>
        <w:t>%;</w:t>
      </w:r>
    </w:p>
    <w:p w14:paraId="44283644" w14:textId="4E2A143C" w:rsidR="004C2C82" w:rsidRDefault="00B27829" w:rsidP="004C2C82">
      <w:pPr>
        <w:autoSpaceDE w:val="0"/>
        <w:autoSpaceDN w:val="0"/>
        <w:adjustRightInd w:val="0"/>
        <w:spacing w:before="120"/>
        <w:ind w:firstLine="540"/>
      </w:pPr>
      <w:r>
        <w:t>недостаточное</w:t>
      </w:r>
      <w:r w:rsidR="004C2C82">
        <w:t xml:space="preserve"> при значении от </w:t>
      </w:r>
      <w:r w:rsidR="00037C2A">
        <w:t>4</w:t>
      </w:r>
      <w:r>
        <w:t>1</w:t>
      </w:r>
      <w:r w:rsidR="004C2C82">
        <w:t>% до 80%;</w:t>
      </w:r>
    </w:p>
    <w:p w14:paraId="053733E6" w14:textId="053ADF69" w:rsidR="004C2C82" w:rsidRDefault="004C2C82" w:rsidP="00D43F51">
      <w:pPr>
        <w:autoSpaceDE w:val="0"/>
        <w:autoSpaceDN w:val="0"/>
        <w:adjustRightInd w:val="0"/>
        <w:spacing w:before="120"/>
        <w:ind w:firstLine="540"/>
      </w:pPr>
      <w:r>
        <w:t>высокое при значении от 81% до 100%.</w:t>
      </w:r>
    </w:p>
    <w:sectPr w:rsidR="004C2C82" w:rsidSect="00D43F51">
      <w:pgSz w:w="11906" w:h="16838"/>
      <w:pgMar w:top="1134" w:right="849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F18E7" w14:textId="77777777" w:rsidR="001A6308" w:rsidRDefault="001A6308" w:rsidP="00154D35">
      <w:r>
        <w:separator/>
      </w:r>
    </w:p>
  </w:endnote>
  <w:endnote w:type="continuationSeparator" w:id="0">
    <w:p w14:paraId="759D2FFE" w14:textId="77777777" w:rsidR="001A6308" w:rsidRDefault="001A6308" w:rsidP="0015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8E758" w14:textId="77777777" w:rsidR="001A6308" w:rsidRDefault="001A6308" w:rsidP="00154D35">
      <w:r>
        <w:separator/>
      </w:r>
    </w:p>
  </w:footnote>
  <w:footnote w:type="continuationSeparator" w:id="0">
    <w:p w14:paraId="0846A99A" w14:textId="77777777" w:rsidR="001A6308" w:rsidRDefault="001A6308" w:rsidP="00154D35">
      <w:r>
        <w:continuationSeparator/>
      </w:r>
    </w:p>
  </w:footnote>
  <w:footnote w:id="1">
    <w:p w14:paraId="6BB3545E" w14:textId="77777777" w:rsidR="00154D35" w:rsidRDefault="00154D35">
      <w:pPr>
        <w:pStyle w:val="a6"/>
      </w:pPr>
      <w:r>
        <w:rPr>
          <w:rStyle w:val="a8"/>
        </w:rPr>
        <w:footnoteRef/>
      </w:r>
      <w:r>
        <w:t xml:space="preserve"> Справочник </w:t>
      </w:r>
      <w:r w:rsidRPr="00154D35">
        <w:t>методов сбора и анализа данных для целей внешнего государственного аудита (контроля)</w:t>
      </w:r>
      <w:r>
        <w:t>. Подготовлен Департаментом исследований и методологий Счетной палаты Российской Федерации</w:t>
      </w:r>
    </w:p>
  </w:footnote>
  <w:footnote w:id="2">
    <w:p w14:paraId="6025B8D1" w14:textId="77777777" w:rsidR="00570081" w:rsidRPr="007123AA" w:rsidRDefault="00570081" w:rsidP="00570081">
      <w:pPr>
        <w:pStyle w:val="a6"/>
        <w:ind w:firstLine="142"/>
        <w:contextualSpacing/>
      </w:pPr>
      <w:r>
        <w:rPr>
          <w:rStyle w:val="a8"/>
        </w:rPr>
        <w:footnoteRef/>
      </w:r>
      <w:r>
        <w:t> Автоматизированное рабочее место, компьютер, планшет, панель, иное устройство, позволяющее в режиме «</w:t>
      </w:r>
      <w:r>
        <w:rPr>
          <w:lang w:val="en-US"/>
        </w:rPr>
        <w:t>online</w:t>
      </w:r>
      <w:r>
        <w:t xml:space="preserve">» воспроизводить видео/аудио и т.п. материал при проведении </w:t>
      </w:r>
      <w:r w:rsidRPr="00396DAA">
        <w:t>занятий (далее – АРМ).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867817"/>
      <w:docPartObj>
        <w:docPartGallery w:val="Page Numbers (Top of Page)"/>
        <w:docPartUnique/>
      </w:docPartObj>
    </w:sdtPr>
    <w:sdtEndPr/>
    <w:sdtContent>
      <w:p w14:paraId="45D63621" w14:textId="10A07042" w:rsidR="00B4336C" w:rsidRDefault="00B4336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26F">
          <w:rPr>
            <w:noProof/>
          </w:rPr>
          <w:t>2</w:t>
        </w:r>
        <w:r>
          <w:fldChar w:fldCharType="end"/>
        </w:r>
      </w:p>
    </w:sdtContent>
  </w:sdt>
  <w:p w14:paraId="08C8A2D1" w14:textId="77777777" w:rsidR="00B4336C" w:rsidRDefault="00B4336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4794A"/>
    <w:multiLevelType w:val="multilevel"/>
    <w:tmpl w:val="95625F76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1" w15:restartNumberingAfterBreak="0">
    <w:nsid w:val="61B35FAA"/>
    <w:multiLevelType w:val="multilevel"/>
    <w:tmpl w:val="99281F9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67D77FB4"/>
    <w:multiLevelType w:val="hybridMultilevel"/>
    <w:tmpl w:val="F0A6A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92"/>
    <w:rsid w:val="00022A43"/>
    <w:rsid w:val="000239D8"/>
    <w:rsid w:val="00037C2A"/>
    <w:rsid w:val="00082B25"/>
    <w:rsid w:val="00085DEC"/>
    <w:rsid w:val="000B2AD8"/>
    <w:rsid w:val="000B38AB"/>
    <w:rsid w:val="00122CF7"/>
    <w:rsid w:val="001336E5"/>
    <w:rsid w:val="00134365"/>
    <w:rsid w:val="00154D35"/>
    <w:rsid w:val="00181073"/>
    <w:rsid w:val="001A285C"/>
    <w:rsid w:val="001A6308"/>
    <w:rsid w:val="002207C7"/>
    <w:rsid w:val="00233093"/>
    <w:rsid w:val="0023560A"/>
    <w:rsid w:val="002857C6"/>
    <w:rsid w:val="00346E84"/>
    <w:rsid w:val="00351CDC"/>
    <w:rsid w:val="003F1EA9"/>
    <w:rsid w:val="0043038D"/>
    <w:rsid w:val="00455F17"/>
    <w:rsid w:val="00457E79"/>
    <w:rsid w:val="0048304C"/>
    <w:rsid w:val="004B601D"/>
    <w:rsid w:val="004C2C82"/>
    <w:rsid w:val="004C51AB"/>
    <w:rsid w:val="00515150"/>
    <w:rsid w:val="005160B7"/>
    <w:rsid w:val="00516A95"/>
    <w:rsid w:val="00570081"/>
    <w:rsid w:val="0058395A"/>
    <w:rsid w:val="005859F1"/>
    <w:rsid w:val="005C62C0"/>
    <w:rsid w:val="005D30DD"/>
    <w:rsid w:val="005D3378"/>
    <w:rsid w:val="005D74DF"/>
    <w:rsid w:val="005F409A"/>
    <w:rsid w:val="00602E87"/>
    <w:rsid w:val="00612422"/>
    <w:rsid w:val="006A7F2F"/>
    <w:rsid w:val="006C1ADC"/>
    <w:rsid w:val="006E194F"/>
    <w:rsid w:val="006E7944"/>
    <w:rsid w:val="007B18BD"/>
    <w:rsid w:val="007E3D0F"/>
    <w:rsid w:val="007F7105"/>
    <w:rsid w:val="008136EC"/>
    <w:rsid w:val="00834E3F"/>
    <w:rsid w:val="00852121"/>
    <w:rsid w:val="00856419"/>
    <w:rsid w:val="00885535"/>
    <w:rsid w:val="00887B8C"/>
    <w:rsid w:val="00900ACD"/>
    <w:rsid w:val="00930AC9"/>
    <w:rsid w:val="00934559"/>
    <w:rsid w:val="009A363D"/>
    <w:rsid w:val="009C6A0D"/>
    <w:rsid w:val="009E00EF"/>
    <w:rsid w:val="00A32278"/>
    <w:rsid w:val="00A41FC5"/>
    <w:rsid w:val="00A4665F"/>
    <w:rsid w:val="00A516AE"/>
    <w:rsid w:val="00A561B8"/>
    <w:rsid w:val="00A64EDD"/>
    <w:rsid w:val="00A86D03"/>
    <w:rsid w:val="00A91C13"/>
    <w:rsid w:val="00AB00E9"/>
    <w:rsid w:val="00AB22B8"/>
    <w:rsid w:val="00AE7263"/>
    <w:rsid w:val="00AF2FD7"/>
    <w:rsid w:val="00B00798"/>
    <w:rsid w:val="00B27829"/>
    <w:rsid w:val="00B317A3"/>
    <w:rsid w:val="00B34979"/>
    <w:rsid w:val="00B4336C"/>
    <w:rsid w:val="00B53E2B"/>
    <w:rsid w:val="00B57E06"/>
    <w:rsid w:val="00B7046D"/>
    <w:rsid w:val="00B810B8"/>
    <w:rsid w:val="00B93851"/>
    <w:rsid w:val="00B948B3"/>
    <w:rsid w:val="00BE2DD0"/>
    <w:rsid w:val="00C00E88"/>
    <w:rsid w:val="00C203AF"/>
    <w:rsid w:val="00C2426F"/>
    <w:rsid w:val="00C2625F"/>
    <w:rsid w:val="00C30875"/>
    <w:rsid w:val="00C5418C"/>
    <w:rsid w:val="00C9035A"/>
    <w:rsid w:val="00CD47A0"/>
    <w:rsid w:val="00CE7325"/>
    <w:rsid w:val="00CF1790"/>
    <w:rsid w:val="00D060A6"/>
    <w:rsid w:val="00D322E1"/>
    <w:rsid w:val="00D43F51"/>
    <w:rsid w:val="00D53188"/>
    <w:rsid w:val="00D607DB"/>
    <w:rsid w:val="00DA2A63"/>
    <w:rsid w:val="00DA6322"/>
    <w:rsid w:val="00DD2D1A"/>
    <w:rsid w:val="00DE46F4"/>
    <w:rsid w:val="00E01F34"/>
    <w:rsid w:val="00E51BB3"/>
    <w:rsid w:val="00E9383F"/>
    <w:rsid w:val="00EA3792"/>
    <w:rsid w:val="00EB54BD"/>
    <w:rsid w:val="00EC3C08"/>
    <w:rsid w:val="00ED337F"/>
    <w:rsid w:val="00ED3637"/>
    <w:rsid w:val="00ED7F73"/>
    <w:rsid w:val="00F1047F"/>
    <w:rsid w:val="00F44AF0"/>
    <w:rsid w:val="00F65227"/>
    <w:rsid w:val="00F73B9F"/>
    <w:rsid w:val="00FC39AC"/>
    <w:rsid w:val="00FD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D4BA1A"/>
  <w15:docId w15:val="{CCA820E6-0BD2-46F0-9B35-F5500C60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,CV table"/>
    <w:basedOn w:val="a1"/>
    <w:uiPriority w:val="39"/>
    <w:rsid w:val="00B31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4D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D35"/>
    <w:rPr>
      <w:rFonts w:ascii="Tahoma" w:hAnsi="Tahoma" w:cs="Tahoma"/>
      <w:sz w:val="16"/>
      <w:szCs w:val="16"/>
    </w:rPr>
  </w:style>
  <w:style w:type="paragraph" w:styleId="a6">
    <w:name w:val="footnote text"/>
    <w:aliases w:val="Текст сноски-FN,Footnote Text Char Знак Знак,Footnote Text Char Знак,Table_Footnote_last,Oaeno niinee-FN,Oaeno niinee Ciae,Текст сноски Знак Знак,Текст сноски1,Текст сноски-FN1,Текст сноски Знак2,Oaeno niinee-FN1,single space,footnote tex,F"/>
    <w:basedOn w:val="a"/>
    <w:link w:val="a7"/>
    <w:unhideWhenUsed/>
    <w:qFormat/>
    <w:rsid w:val="00154D35"/>
    <w:rPr>
      <w:sz w:val="20"/>
      <w:szCs w:val="20"/>
    </w:rPr>
  </w:style>
  <w:style w:type="character" w:customStyle="1" w:styleId="a7">
    <w:name w:val="Текст сноски Знак"/>
    <w:aliases w:val="Текст сноски-FN Знак,Footnote Text Char Знак Знак Знак,Footnote Text Char Знак Знак1,Table_Footnote_last Знак,Oaeno niinee-FN Знак,Oaeno niinee Ciae Знак,Текст сноски Знак Знак Знак,Текст сноски1 Знак,Текст сноски-FN1 Знак,F Знак"/>
    <w:basedOn w:val="a0"/>
    <w:link w:val="a6"/>
    <w:qFormat/>
    <w:rsid w:val="00154D35"/>
    <w:rPr>
      <w:sz w:val="20"/>
      <w:szCs w:val="20"/>
    </w:rPr>
  </w:style>
  <w:style w:type="character" w:styleId="a8">
    <w:name w:val="footnote reference"/>
    <w:aliases w:val="Знак сноски-FN,Ciae niinee-FN,Знак сноски 1,Referencia nota al pie,fr,Used by Word for Help footnote symbols,Ciae niinee 1,Ссылка на сноску 45,Footnote Reference Number,анкета сноска,16 Point,Superscript 6 Point,Footnote Reference_LVL6"/>
    <w:basedOn w:val="a0"/>
    <w:link w:val="1"/>
    <w:unhideWhenUsed/>
    <w:qFormat/>
    <w:rsid w:val="00154D35"/>
    <w:rPr>
      <w:vertAlign w:val="superscript"/>
    </w:rPr>
  </w:style>
  <w:style w:type="paragraph" w:styleId="a9">
    <w:name w:val="List Paragraph"/>
    <w:aliases w:val="Bullet List,FooterText,numbered,ПС - Нумерованный,A_маркированный_список,Цветной список - Акцент 11,ТЗ список,Абзац списка литеральный,Table-Normal,RSHB_Table-Normal"/>
    <w:basedOn w:val="a"/>
    <w:link w:val="aa"/>
    <w:uiPriority w:val="34"/>
    <w:qFormat/>
    <w:rsid w:val="00154D3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433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4336C"/>
  </w:style>
  <w:style w:type="paragraph" w:styleId="ad">
    <w:name w:val="footer"/>
    <w:basedOn w:val="a"/>
    <w:link w:val="ae"/>
    <w:uiPriority w:val="99"/>
    <w:unhideWhenUsed/>
    <w:rsid w:val="00B433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4336C"/>
  </w:style>
  <w:style w:type="character" w:customStyle="1" w:styleId="aa">
    <w:name w:val="Абзац списка Знак"/>
    <w:aliases w:val="Bullet List Знак,FooterText Знак,numbered Знак,ПС - Нумерованный Знак,A_маркированный_список Знак,Цветной список - Акцент 11 Знак,ТЗ список Знак,Абзац списка литеральный Знак,Table-Normal Знак,RSHB_Table-Normal Знак"/>
    <w:basedOn w:val="a0"/>
    <w:link w:val="a9"/>
    <w:uiPriority w:val="34"/>
    <w:qFormat/>
    <w:rsid w:val="00D43F51"/>
  </w:style>
  <w:style w:type="paragraph" w:customStyle="1" w:styleId="1">
    <w:name w:val="Знак сноски1"/>
    <w:basedOn w:val="a"/>
    <w:link w:val="a8"/>
    <w:qFormat/>
    <w:rsid w:val="00570081"/>
    <w:pPr>
      <w:spacing w:after="160" w:line="264" w:lineRule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_____Microsoft_Excel.xls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E0E8F-50FB-4C70-806B-20296014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</dc:creator>
  <cp:lastModifiedBy>Суворова Юлиана Олеговна</cp:lastModifiedBy>
  <cp:revision>45</cp:revision>
  <dcterms:created xsi:type="dcterms:W3CDTF">2022-09-23T13:42:00Z</dcterms:created>
  <dcterms:modified xsi:type="dcterms:W3CDTF">2025-06-24T10:51:00Z</dcterms:modified>
</cp:coreProperties>
</file>