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5E73" w:rsidRDefault="006F25D4">
      <w:pPr>
        <w:spacing w:before="330"/>
        <w:ind w:left="163" w:right="161"/>
        <w:jc w:val="center"/>
        <w:rPr>
          <w:rFonts w:cstheme="minorBidi"/>
          <w:sz w:val="24"/>
          <w:szCs w:val="24"/>
        </w:rPr>
      </w:pPr>
      <w:r>
        <w:rPr>
          <w:b/>
          <w:bCs/>
          <w:color w:val="000000"/>
          <w:sz w:val="31"/>
          <w:szCs w:val="31"/>
        </w:rPr>
        <w:t>КАРТА ИТОГОВ КОНТРОЛЬНОГО МЕРОПРИЯТИЯ</w:t>
      </w:r>
    </w:p>
    <w:p w:rsidR="00095E73" w:rsidRDefault="00095E73">
      <w:pPr>
        <w:ind w:left="163" w:right="161"/>
        <w:jc w:val="center"/>
        <w:rPr>
          <w:rFonts w:cstheme="minorBidi"/>
          <w:sz w:val="24"/>
          <w:szCs w:val="24"/>
        </w:rPr>
      </w:pPr>
    </w:p>
    <w:p w:rsidR="00095E73" w:rsidRDefault="006F25D4">
      <w:pPr>
        <w:ind w:left="163" w:right="161"/>
        <w:jc w:val="center"/>
        <w:rPr>
          <w:rFonts w:cstheme="minorBidi"/>
          <w:sz w:val="24"/>
          <w:szCs w:val="24"/>
        </w:rPr>
      </w:pPr>
      <w:r>
        <w:rPr>
          <w:color w:val="000000"/>
          <w:sz w:val="28"/>
          <w:szCs w:val="28"/>
        </w:rPr>
        <w:t>План работы на 2024 год пункт 3.12.0.3, сроки проведения 12 января – 29 августа 2024</w:t>
      </w:r>
      <w:r w:rsidR="003C1423">
        <w:rPr>
          <w:color w:val="000000"/>
          <w:sz w:val="28"/>
          <w:szCs w:val="28"/>
        </w:rPr>
        <w:t xml:space="preserve"> года</w:t>
      </w:r>
      <w:r>
        <w:rPr>
          <w:color w:val="000000"/>
          <w:sz w:val="28"/>
          <w:szCs w:val="28"/>
        </w:rPr>
        <w:t>, проверяемый период 1 </w:t>
      </w:r>
      <w:r w:rsidR="003C1423">
        <w:rPr>
          <w:color w:val="000000"/>
          <w:sz w:val="28"/>
          <w:szCs w:val="28"/>
        </w:rPr>
        <w:t>я</w:t>
      </w:r>
      <w:r>
        <w:rPr>
          <w:color w:val="000000"/>
          <w:sz w:val="28"/>
          <w:szCs w:val="28"/>
        </w:rPr>
        <w:t xml:space="preserve">нваря </w:t>
      </w:r>
      <w:r w:rsidR="003C1423">
        <w:rPr>
          <w:color w:val="000000"/>
          <w:sz w:val="28"/>
          <w:szCs w:val="28"/>
        </w:rPr>
        <w:br/>
      </w:r>
      <w:r>
        <w:rPr>
          <w:color w:val="000000"/>
          <w:sz w:val="28"/>
          <w:szCs w:val="28"/>
        </w:rPr>
        <w:t xml:space="preserve">2022 </w:t>
      </w:r>
      <w:r w:rsidR="003C1423">
        <w:rPr>
          <w:color w:val="000000"/>
          <w:sz w:val="28"/>
          <w:szCs w:val="28"/>
        </w:rPr>
        <w:t xml:space="preserve">года </w:t>
      </w:r>
      <w:r>
        <w:rPr>
          <w:color w:val="000000"/>
          <w:sz w:val="28"/>
          <w:szCs w:val="28"/>
        </w:rPr>
        <w:t>– 31 </w:t>
      </w:r>
      <w:r w:rsidR="003C1423">
        <w:rPr>
          <w:color w:val="000000"/>
          <w:sz w:val="28"/>
          <w:szCs w:val="28"/>
        </w:rPr>
        <w:t>д</w:t>
      </w:r>
      <w:r>
        <w:rPr>
          <w:color w:val="000000"/>
          <w:sz w:val="28"/>
          <w:szCs w:val="28"/>
        </w:rPr>
        <w:t>екабря 2023</w:t>
      </w:r>
      <w:r w:rsidR="003C1423">
        <w:rPr>
          <w:color w:val="000000"/>
          <w:sz w:val="28"/>
          <w:szCs w:val="28"/>
        </w:rPr>
        <w:t xml:space="preserve"> года</w:t>
      </w:r>
      <w:r>
        <w:rPr>
          <w:color w:val="000000"/>
          <w:sz w:val="28"/>
          <w:szCs w:val="28"/>
        </w:rPr>
        <w:t>, контрольное мероприятие «Проверка расходования средств бюджета Социального фонда России на обеспечение предупредительных мер по сокращению производственного травматизма и профессиональных заболеваний в 2022–2023 годах»</w:t>
      </w:r>
      <w:r w:rsidR="003C1423">
        <w:rPr>
          <w:color w:val="000000"/>
          <w:sz w:val="28"/>
          <w:szCs w:val="28"/>
        </w:rPr>
        <w:t>,</w:t>
      </w:r>
      <w:r>
        <w:rPr>
          <w:color w:val="000000"/>
          <w:sz w:val="28"/>
          <w:szCs w:val="28"/>
        </w:rPr>
        <w:t xml:space="preserve"> Отделение Фонда пенсионного и социального страхования Российской Федерации по г. Москве и Московской области, Отделение Фонда пенсионного и социального страхования Российской Федерации по Нижегородской области (Нижегородская область, г. Нижний Новгород), Отделение Фонда пенсионного и социального страхования Российской Федерации по Архангельской области и Ненецкому автономному округу (Архангельская область, г. Архангельск)</w:t>
      </w:r>
    </w:p>
    <w:tbl>
      <w:tblPr>
        <w:tblW w:w="0" w:type="auto"/>
        <w:tblCellMar>
          <w:left w:w="0" w:type="dxa"/>
          <w:right w:w="0" w:type="dxa"/>
        </w:tblCellMar>
        <w:tblLook w:val="04A0" w:firstRow="1" w:lastRow="0" w:firstColumn="1" w:lastColumn="0" w:noHBand="0" w:noVBand="1"/>
      </w:tblPr>
      <w:tblGrid>
        <w:gridCol w:w="30"/>
        <w:gridCol w:w="150"/>
        <w:gridCol w:w="1304"/>
        <w:gridCol w:w="555"/>
        <w:gridCol w:w="450"/>
        <w:gridCol w:w="1590"/>
        <w:gridCol w:w="1815"/>
        <w:gridCol w:w="450"/>
        <w:gridCol w:w="1995"/>
        <w:gridCol w:w="270"/>
        <w:gridCol w:w="30"/>
        <w:gridCol w:w="2490"/>
        <w:gridCol w:w="1065"/>
        <w:gridCol w:w="1245"/>
        <w:gridCol w:w="1515"/>
        <w:gridCol w:w="150"/>
        <w:gridCol w:w="15"/>
        <w:gridCol w:w="15"/>
      </w:tblGrid>
      <w:tr w:rsidR="00095E73">
        <w:trPr>
          <w:trHeight w:hRule="exact" w:val="135"/>
        </w:trPr>
        <w:tc>
          <w:tcPr>
            <w:tcW w:w="2040" w:type="dxa"/>
            <w:gridSpan w:val="4"/>
            <w:tcBorders>
              <w:top w:val="nil"/>
              <w:left w:val="nil"/>
              <w:bottom w:val="nil"/>
              <w:right w:val="nil"/>
            </w:tcBorders>
          </w:tcPr>
          <w:p w:rsidR="00095E73" w:rsidRDefault="00095E73">
            <w:pPr>
              <w:rPr>
                <w:rFonts w:cstheme="minorBidi"/>
                <w:sz w:val="1"/>
                <w:szCs w:val="1"/>
              </w:rPr>
            </w:pPr>
          </w:p>
        </w:tc>
        <w:tc>
          <w:tcPr>
            <w:tcW w:w="2040" w:type="dxa"/>
            <w:gridSpan w:val="2"/>
            <w:tcBorders>
              <w:top w:val="nil"/>
              <w:left w:val="nil"/>
              <w:bottom w:val="nil"/>
              <w:right w:val="nil"/>
            </w:tcBorders>
          </w:tcPr>
          <w:p w:rsidR="00095E73" w:rsidRDefault="00095E73">
            <w:pPr>
              <w:rPr>
                <w:rFonts w:cstheme="minorBidi"/>
                <w:sz w:val="1"/>
                <w:szCs w:val="1"/>
              </w:rPr>
            </w:pPr>
          </w:p>
        </w:tc>
        <w:tc>
          <w:tcPr>
            <w:tcW w:w="2265" w:type="dxa"/>
            <w:gridSpan w:val="2"/>
            <w:tcBorders>
              <w:top w:val="nil"/>
              <w:left w:val="nil"/>
              <w:bottom w:val="nil"/>
              <w:right w:val="nil"/>
            </w:tcBorders>
          </w:tcPr>
          <w:p w:rsidR="00095E73" w:rsidRDefault="00095E73">
            <w:pPr>
              <w:rPr>
                <w:rFonts w:cstheme="minorBidi"/>
                <w:sz w:val="1"/>
                <w:szCs w:val="1"/>
              </w:rPr>
            </w:pPr>
          </w:p>
        </w:tc>
        <w:tc>
          <w:tcPr>
            <w:tcW w:w="2265" w:type="dxa"/>
            <w:gridSpan w:val="2"/>
            <w:tcBorders>
              <w:top w:val="nil"/>
              <w:left w:val="nil"/>
              <w:bottom w:val="nil"/>
              <w:right w:val="nil"/>
            </w:tcBorders>
          </w:tcPr>
          <w:p w:rsidR="00095E73" w:rsidRDefault="00095E73">
            <w:pPr>
              <w:rPr>
                <w:rFonts w:cstheme="minorBidi"/>
                <w:sz w:val="1"/>
                <w:szCs w:val="1"/>
              </w:rPr>
            </w:pPr>
          </w:p>
        </w:tc>
        <w:tc>
          <w:tcPr>
            <w:tcW w:w="3585" w:type="dxa"/>
            <w:gridSpan w:val="3"/>
            <w:tcBorders>
              <w:top w:val="nil"/>
              <w:left w:val="nil"/>
              <w:bottom w:val="nil"/>
              <w:right w:val="nil"/>
            </w:tcBorders>
          </w:tcPr>
          <w:p w:rsidR="00095E73" w:rsidRDefault="00095E73">
            <w:pPr>
              <w:rPr>
                <w:rFonts w:cstheme="minorBidi"/>
                <w:sz w:val="1"/>
                <w:szCs w:val="1"/>
              </w:rPr>
            </w:pPr>
          </w:p>
        </w:tc>
        <w:tc>
          <w:tcPr>
            <w:tcW w:w="1245" w:type="dxa"/>
            <w:tcBorders>
              <w:top w:val="nil"/>
              <w:left w:val="nil"/>
              <w:bottom w:val="nil"/>
              <w:right w:val="nil"/>
            </w:tcBorders>
          </w:tcPr>
          <w:p w:rsidR="00095E73" w:rsidRDefault="00095E73">
            <w:pPr>
              <w:rPr>
                <w:rFonts w:cstheme="minorBidi"/>
                <w:sz w:val="1"/>
                <w:szCs w:val="1"/>
              </w:rPr>
            </w:pPr>
          </w:p>
        </w:tc>
        <w:tc>
          <w:tcPr>
            <w:tcW w:w="1695" w:type="dxa"/>
            <w:gridSpan w:val="4"/>
            <w:tcBorders>
              <w:top w:val="nil"/>
              <w:left w:val="nil"/>
              <w:bottom w:val="nil"/>
              <w:right w:val="nil"/>
            </w:tcBorders>
          </w:tcPr>
          <w:p w:rsidR="00095E73" w:rsidRDefault="00095E73">
            <w:pPr>
              <w:rPr>
                <w:rFonts w:cstheme="minorBidi"/>
                <w:sz w:val="1"/>
                <w:szCs w:val="1"/>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spacing w:after="160" w:line="258" w:lineRule="auto"/>
              <w:jc w:val="center"/>
              <w:rPr>
                <w:rFonts w:cstheme="minorBidi"/>
                <w:color w:val="000000"/>
              </w:rPr>
            </w:pPr>
            <w:r>
              <w:rPr>
                <w:rFonts w:cstheme="minorBidi"/>
                <w:color w:val="000000"/>
              </w:rPr>
              <w:t>Главный распорядитель бюджетных средств</w:t>
            </w:r>
            <w:r w:rsidRPr="003C1423">
              <w:rPr>
                <w:rFonts w:cstheme="minorBidi"/>
                <w:b/>
                <w:bCs/>
                <w:color w:val="000000"/>
                <w:vertAlign w:val="superscript"/>
                <w:lang w:eastAsia="en-US"/>
              </w:rPr>
              <w:t>1</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Сумма</w:t>
            </w:r>
            <w:r>
              <w:rPr>
                <w:color w:val="000000"/>
                <w:sz w:val="19"/>
                <w:szCs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Реквизиты протокола об административной ответственности</w:t>
            </w:r>
          </w:p>
        </w:tc>
      </w:tr>
      <w:tr w:rsidR="00095E73">
        <w:trPr>
          <w:trHeight w:val="315"/>
        </w:trPr>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4</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color w:val="000000"/>
                <w:sz w:val="19"/>
                <w:szCs w:val="19"/>
              </w:rPr>
            </w:pPr>
            <w:r>
              <w:rPr>
                <w:color w:val="000000"/>
                <w:sz w:val="19"/>
                <w:szCs w:val="19"/>
              </w:rPr>
              <w:t>7</w:t>
            </w:r>
          </w:p>
        </w:tc>
      </w:tr>
      <w:tr w:rsidR="00095E73">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095E73" w:rsidRDefault="006F25D4">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ОТДЕЛЕНИЕ ФОНДА ПЕНСИОННОГО И 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w:t>
            </w:r>
            <w:r>
              <w:rPr>
                <w:color w:val="000000"/>
                <w:sz w:val="19"/>
                <w:szCs w:val="19"/>
              </w:rPr>
              <w:lastRenderedPageBreak/>
              <w:t>пункт 3 Инструкции; Инструкция по применению плана счетов бюджетного учета, утвержденная приказом Минфина России от 06.12.2010 № 162н, пункт  2 Инструкции; Приказ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пункт 19 федерального стандарта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2.1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2431787969. В нарушение пункта 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w:t>
            </w:r>
            <w:r w:rsidR="00E075CE">
              <w:rPr>
                <w:color w:val="000000"/>
                <w:sz w:val="19"/>
                <w:szCs w:val="19"/>
              </w:rPr>
              <w:br/>
            </w:r>
            <w:r>
              <w:rPr>
                <w:color w:val="000000"/>
                <w:sz w:val="19"/>
                <w:szCs w:val="19"/>
              </w:rPr>
              <w:t xml:space="preserve">№ 157н, пункта 2 Инструкции по применению плана счетов бюджетного учета, утвержденной приказом Минфина России от 6 декабря 2010 г. № 162н, пункта 19 федерального стандарта бухгалтерского учета для организаций государственного </w:t>
            </w:r>
            <w:r>
              <w:rPr>
                <w:color w:val="000000"/>
                <w:sz w:val="19"/>
                <w:szCs w:val="19"/>
              </w:rPr>
              <w:lastRenderedPageBreak/>
              <w:t xml:space="preserve">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 256н, в соответствии с которыми бухгалтерский учет осуществляется в соответствии с Рабочим планом счетов на счетах бухгалтерского учета, включенных в Рабочий план счетов, Рабочий план счетов получателя бюджетных средств, администратора доходов бюджета Фонда пенсионного и социального страхования Российской Федерации, являющийся приложением № 3 к приказу Фонда пенсионного и социального страхования Российской Федерации от 9 января 2023 г. № 16 (в редакции приказа Фонда пенсионного и социального страхования Российской Федерации от 31 мая 2023 г. </w:t>
            </w:r>
            <w:r w:rsidR="00E075CE">
              <w:rPr>
                <w:color w:val="000000"/>
                <w:sz w:val="19"/>
                <w:szCs w:val="19"/>
              </w:rPr>
              <w:br/>
            </w:r>
            <w:r>
              <w:rPr>
                <w:color w:val="000000"/>
                <w:sz w:val="19"/>
                <w:szCs w:val="19"/>
              </w:rPr>
              <w:t>№ 948), не содержит применяемый Отделением Фонда пенсионного и социального страхования Российской Федерации по г. Москве и Московской области (далее - Отделение Фонда по г. Москве и МО) в 2023 году счет бухгалтерского учета 120939000 «Расчеты по доходам бюджета от возмещений Фонда пенсионного и социального страхования Российской Федерации».</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w:t>
            </w:r>
            <w:r>
              <w:rPr>
                <w:color w:val="000000"/>
                <w:sz w:val="19"/>
                <w:szCs w:val="19"/>
              </w:rPr>
              <w:lastRenderedPageBreak/>
              <w:t xml:space="preserve">факторами, утвержденные приказом Минтруда России от 14.07.2021 </w:t>
            </w:r>
            <w:r w:rsidR="003C1423">
              <w:rPr>
                <w:color w:val="000000"/>
                <w:sz w:val="19"/>
                <w:szCs w:val="19"/>
              </w:rPr>
              <w:br/>
            </w:r>
            <w:r>
              <w:rPr>
                <w:color w:val="000000"/>
                <w:sz w:val="19"/>
                <w:szCs w:val="19"/>
              </w:rPr>
              <w:t>№ 467н, пункт 10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w:t>
            </w:r>
            <w:r>
              <w:rPr>
                <w:color w:val="000000"/>
                <w:sz w:val="19"/>
                <w:szCs w:val="19"/>
              </w:rPr>
              <w:lastRenderedPageBreak/>
              <w:t>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2433107959. В нарушение подпункта «а» пункта 10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14 июля 2021 г. № 467н (далее – Правила № 467н), в соответствии с которым решение о финансовом обеспечении предупредительных мер </w:t>
            </w:r>
            <w:r>
              <w:rPr>
                <w:color w:val="000000"/>
                <w:sz w:val="19"/>
                <w:szCs w:val="19"/>
              </w:rPr>
              <w:lastRenderedPageBreak/>
              <w:t xml:space="preserve">(далее – ФОПМ) или об отказе в ФОПМ в отношении страхователей, у которых сумма страховых взносов, начисленных за предшествующий год, составляет </w:t>
            </w:r>
            <w:r w:rsidR="00E075CE">
              <w:rPr>
                <w:color w:val="000000"/>
                <w:sz w:val="19"/>
                <w:szCs w:val="19"/>
              </w:rPr>
              <w:br/>
            </w:r>
            <w:r>
              <w:rPr>
                <w:color w:val="000000"/>
                <w:sz w:val="19"/>
                <w:szCs w:val="19"/>
              </w:rPr>
              <w:t xml:space="preserve">до 25 000,00 тыс. рублей включительно, принимается территориальным органом Фонда пенсионного и социального страхования Российской Федерации в течение 10 рабочих дней со дня получения заявления о ФОПМ и полного комплекта документов, указанных в пунктах 4–6 Правил № 467н, Отделением Фонда </w:t>
            </w:r>
            <w:r w:rsidR="00E075CE">
              <w:rPr>
                <w:color w:val="000000"/>
                <w:sz w:val="19"/>
                <w:szCs w:val="19"/>
              </w:rPr>
              <w:br/>
            </w:r>
            <w:r>
              <w:rPr>
                <w:color w:val="000000"/>
                <w:sz w:val="19"/>
                <w:szCs w:val="19"/>
              </w:rPr>
              <w:t xml:space="preserve">по г. Москве и МО решения о ФОПМ </w:t>
            </w:r>
            <w:r w:rsidR="00E075CE">
              <w:rPr>
                <w:color w:val="000000"/>
                <w:sz w:val="19"/>
                <w:szCs w:val="19"/>
              </w:rPr>
              <w:br/>
            </w:r>
            <w:r>
              <w:rPr>
                <w:color w:val="000000"/>
                <w:sz w:val="19"/>
                <w:szCs w:val="19"/>
              </w:rPr>
              <w:t xml:space="preserve">в 202 случаях (4,3 % принятых решений) в 2022 году и в 450 случаях (9,4 %) </w:t>
            </w:r>
            <w:r w:rsidR="00E075CE">
              <w:rPr>
                <w:color w:val="000000"/>
                <w:sz w:val="19"/>
                <w:szCs w:val="19"/>
              </w:rPr>
              <w:br/>
            </w:r>
            <w:r>
              <w:rPr>
                <w:color w:val="000000"/>
                <w:sz w:val="19"/>
                <w:szCs w:val="19"/>
              </w:rPr>
              <w:t>в 2023 году принимались с нарушением установленного срока от 1 до 168 рабочих дней.</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утвержденный приказом Фонда социального страхования Российской Федерации от 07.05.2019 № 237, пункты 11, 24 Административного </w:t>
            </w:r>
            <w:r>
              <w:rPr>
                <w:color w:val="000000"/>
                <w:sz w:val="19"/>
                <w:szCs w:val="19"/>
              </w:rPr>
              <w:lastRenderedPageBreak/>
              <w:t>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w:t>
            </w:r>
            <w:r>
              <w:rPr>
                <w:color w:val="000000"/>
                <w:sz w:val="19"/>
                <w:szCs w:val="19"/>
              </w:rPr>
              <w:lastRenderedPageBreak/>
              <w:t>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2453211945. В нарушение пунктов 11, 24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утвержденного приказом Фонда социального страхования Российской Федерации от 7 мая 2019 г. № 237, в соответствии с которыми основанием для отказа в приеме заявления и документов (копий документов), необходимых для предоставления государственной услуги, является подача заявителем (представителем) заявления и документов позднее 1 августа текущего календарного года, Отделением Фонда по г. Москве и МО принимались решения о ФОМП по заявлениям и документам, поступившим </w:t>
            </w:r>
            <w:r>
              <w:rPr>
                <w:color w:val="000000"/>
                <w:sz w:val="19"/>
                <w:szCs w:val="19"/>
              </w:rPr>
              <w:lastRenderedPageBreak/>
              <w:t>позже 1 авгу</w:t>
            </w:r>
            <w:r w:rsidR="00E075CE">
              <w:rPr>
                <w:color w:val="000000"/>
                <w:sz w:val="19"/>
                <w:szCs w:val="19"/>
              </w:rPr>
              <w:t xml:space="preserve">ста текущего календарного года. </w:t>
            </w:r>
            <w:r>
              <w:rPr>
                <w:color w:val="000000"/>
                <w:sz w:val="19"/>
                <w:szCs w:val="19"/>
              </w:rPr>
              <w:t>Так, например, Отделением Фонда по г. Москве и МО заявление от научно-исследовательского института детского питания – филиала ФГБУН «ФИЦ питания и биотехнологии» было принято 2 августа 2022 года, а решение о ФОМП – 5 августа 2022 года (приказ Отделения Фонда по г. Москве и МО от 5 августа 2022 г. № 90-Ф), заявление от акционерного общества «ДОКОН» принято 27 октября 2022 года, а решение о ФОПМ – 23 декабря 2022 года (приказ Отделения Фонда по г. Москве и МО от 23 декабря 2022 г. № 130-Ф).</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НИЖЕГОРОДСКОЙ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8956FC" w:rsidRDefault="006F25D4" w:rsidP="008956FC">
            <w:pPr>
              <w:jc w:val="center"/>
              <w:rPr>
                <w:color w:val="000000"/>
                <w:sz w:val="19"/>
                <w:szCs w:val="19"/>
              </w:rPr>
            </w:pPr>
            <w:r>
              <w:rPr>
                <w:color w:val="000000"/>
                <w:sz w:val="19"/>
                <w:szCs w:val="19"/>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пункт 3 Инструкции; Инструкция по применению плана счетов бюджетного учета, утвержденная приказом Минфина России от 06.12.2010 № 162н, пункт 2 Инструкции; </w:t>
            </w:r>
          </w:p>
          <w:p w:rsidR="008956FC" w:rsidRDefault="008956FC" w:rsidP="008956FC">
            <w:pPr>
              <w:jc w:val="center"/>
              <w:rPr>
                <w:color w:val="000000"/>
                <w:sz w:val="19"/>
                <w:szCs w:val="19"/>
              </w:rPr>
            </w:pPr>
            <w:r>
              <w:rPr>
                <w:color w:val="000000"/>
                <w:sz w:val="19"/>
                <w:szCs w:val="19"/>
              </w:rPr>
              <w:t>п</w:t>
            </w:r>
            <w:r w:rsidR="006F25D4">
              <w:rPr>
                <w:color w:val="000000"/>
                <w:sz w:val="19"/>
                <w:szCs w:val="19"/>
              </w:rPr>
              <w:t xml:space="preserve">риказ Минфина России </w:t>
            </w:r>
          </w:p>
          <w:p w:rsidR="00095E73" w:rsidRDefault="006F25D4" w:rsidP="008956FC">
            <w:pPr>
              <w:jc w:val="center"/>
              <w:rPr>
                <w:color w:val="000000"/>
                <w:sz w:val="19"/>
                <w:szCs w:val="19"/>
              </w:rPr>
            </w:pPr>
            <w:r>
              <w:rPr>
                <w:color w:val="000000"/>
                <w:sz w:val="19"/>
                <w:szCs w:val="19"/>
              </w:rPr>
              <w:t xml:space="preserve">от 31.12.2016 № 256н "Об утверждении федерального стандарта бухгалтерского учета для организаций </w:t>
            </w:r>
            <w:r>
              <w:rPr>
                <w:color w:val="000000"/>
                <w:sz w:val="19"/>
                <w:szCs w:val="19"/>
              </w:rPr>
              <w:lastRenderedPageBreak/>
              <w:t>государственного сектора "Концептуальные основы бухгалтерского учета и отчетности организаций государственного сектора", пункт 19 федерального стандарта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2.1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2405788624. В нарушение пункта 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w:t>
            </w:r>
            <w:r w:rsidR="00E075CE">
              <w:rPr>
                <w:color w:val="000000"/>
                <w:sz w:val="19"/>
                <w:szCs w:val="19"/>
              </w:rPr>
              <w:br/>
            </w:r>
            <w:r>
              <w:rPr>
                <w:color w:val="000000"/>
                <w:sz w:val="19"/>
                <w:szCs w:val="19"/>
              </w:rPr>
              <w:t xml:space="preserve">№ 157н, пункта 2 Инструкции по применению плана счетов бюджетного учета, утвержденной приказом Минфина России от 6 декабря 2010 г. № 162н, пункта 19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 256н, в соответствии с которыми бухгалтерский учет осуществляется в соответствии с Рабочим планом счетов на счетах бухгалтерского учета, включенных в Рабочий план счетов, Рабочий план счетов получателя бюджетных средств, администратора доходов бюджета Фонда пенсионного и социального страхования </w:t>
            </w:r>
            <w:r>
              <w:rPr>
                <w:color w:val="000000"/>
                <w:sz w:val="19"/>
                <w:szCs w:val="19"/>
              </w:rPr>
              <w:lastRenderedPageBreak/>
              <w:t xml:space="preserve">Российской Федерации (приложение № 3 к приказу Фонда пенсионного и социального страхования Российской Федерации от 9 января 2023 г. № 16) (в редакции приказа Фонда пенсионного и социального страхования Российской Федерации </w:t>
            </w:r>
            <w:r w:rsidR="00E075CE">
              <w:rPr>
                <w:color w:val="000000"/>
                <w:sz w:val="19"/>
                <w:szCs w:val="19"/>
              </w:rPr>
              <w:br/>
            </w:r>
            <w:r>
              <w:rPr>
                <w:color w:val="000000"/>
                <w:sz w:val="19"/>
                <w:szCs w:val="19"/>
              </w:rPr>
              <w:t>от 31 мая 2023 г. № 948) не содержит применяемый Отделением Фонда пенсионного и социального страхования Российской Федерации по Нижегородской области (далее - Отделение Фонда по Нижегородской области) в 2023 году счет бухгалтерского учета 120939000 «Расчеты по доходам бюджета от возмещений Фонда пенсионного и социального страхования Российской Федерации».</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НИЖЕГОРОДСКОЙ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sidR="003C1423">
              <w:rPr>
                <w:color w:val="000000"/>
                <w:sz w:val="19"/>
                <w:szCs w:val="19"/>
              </w:rPr>
              <w:br/>
            </w:r>
            <w:r>
              <w:rPr>
                <w:color w:val="000000"/>
                <w:sz w:val="19"/>
                <w:szCs w:val="19"/>
              </w:rPr>
              <w:t>№ 467н, пункт 12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2423790955. В нарушение подпункта «г» пункта 12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14 июля 2021 г. № 467н (далее – Правила № 467н) (в редакции, действующей до 15 июня 2024 года), согласно которому территориальный орган Фонда принимает решение об отказе в финансовом обеспечении предупредительных мер, в том числе в случае представления страхователем неполного комплекта документов, Отделением Фонда по Нижегородской области принимались решения о ФОПМ при предоставлении страхователем неполного пакета документов, предусмотренных Правилами № 467н.</w:t>
            </w:r>
            <w:r>
              <w:rPr>
                <w:color w:val="000000"/>
                <w:sz w:val="19"/>
                <w:szCs w:val="19"/>
              </w:rPr>
              <w:br/>
              <w:t xml:space="preserve">Так, приказом Отделения Фонда по Нижегородской области от 9 августа </w:t>
            </w:r>
            <w:r w:rsidR="00E075CE">
              <w:rPr>
                <w:color w:val="000000"/>
                <w:sz w:val="19"/>
                <w:szCs w:val="19"/>
              </w:rPr>
              <w:br/>
            </w:r>
            <w:r>
              <w:rPr>
                <w:color w:val="000000"/>
                <w:sz w:val="19"/>
                <w:szCs w:val="19"/>
              </w:rPr>
              <w:t xml:space="preserve">2023 г. № 1804-Ф принято решение о ФОПМ в отношении ООО «Нижегородская </w:t>
            </w:r>
            <w:r>
              <w:rPr>
                <w:color w:val="000000"/>
                <w:sz w:val="19"/>
                <w:szCs w:val="19"/>
              </w:rPr>
              <w:lastRenderedPageBreak/>
              <w:t>Фитнес группа» на сумму 42,3 тыс. рублей на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в отсутствие на дату принятия решения копий приказов о назначении работников организаций на должность (приеме на работу), предоставление которых предусмотрено подпунктом «в» пункта 6 Правил № 467н. Страхователем предоставлен документ, содержащий ФИО работника, должность работника, дату и номер приказа о назначении работников организаций на должность (приеме на работу).</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Приказ Минтруда России от 14 июля 2021 г. №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r w:rsidR="003C1423">
              <w:rPr>
                <w:color w:val="000000"/>
                <w:sz w:val="19"/>
                <w:szCs w:val="19"/>
              </w:rPr>
              <w:br/>
            </w:r>
            <w:r>
              <w:rPr>
                <w:color w:val="000000"/>
                <w:sz w:val="19"/>
                <w:szCs w:val="19"/>
              </w:rPr>
              <w:t>пункт 19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w:t>
            </w:r>
            <w:r>
              <w:rPr>
                <w:color w:val="000000"/>
                <w:sz w:val="19"/>
                <w:szCs w:val="19"/>
              </w:rPr>
              <w:lastRenderedPageBreak/>
              <w:t>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2440002021. В нарушение пункта 19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14 июля 2021 г. № 467н, в соответствии с которым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 Отделением Фонда по г. Москве и МО в соответствии с приказом от 15 декабря 2022 г. № 107-Ф возмещены расходы на проведение плановых медицинских осмотров </w:t>
            </w:r>
            <w:r w:rsidR="00E075CE">
              <w:rPr>
                <w:color w:val="000000"/>
                <w:sz w:val="19"/>
                <w:szCs w:val="19"/>
              </w:rPr>
              <w:br/>
            </w:r>
            <w:r>
              <w:rPr>
                <w:color w:val="000000"/>
                <w:sz w:val="19"/>
                <w:szCs w:val="19"/>
              </w:rPr>
              <w:t>1 582 работников ООО «</w:t>
            </w:r>
            <w:proofErr w:type="spellStart"/>
            <w:r>
              <w:rPr>
                <w:color w:val="000000"/>
                <w:sz w:val="19"/>
                <w:szCs w:val="19"/>
              </w:rPr>
              <w:t>Вайлдберриз</w:t>
            </w:r>
            <w:proofErr w:type="spellEnd"/>
            <w:r>
              <w:rPr>
                <w:color w:val="000000"/>
                <w:sz w:val="19"/>
                <w:szCs w:val="19"/>
              </w:rPr>
              <w:t xml:space="preserve">» в объеме 2 969,37 тыс. рублей при предоставлении страхователем </w:t>
            </w:r>
            <w:r>
              <w:rPr>
                <w:color w:val="000000"/>
                <w:sz w:val="19"/>
                <w:szCs w:val="19"/>
              </w:rPr>
              <w:lastRenderedPageBreak/>
              <w:t>заключительного акта медицинской организации ООО «</w:t>
            </w:r>
            <w:proofErr w:type="spellStart"/>
            <w:r>
              <w:rPr>
                <w:color w:val="000000"/>
                <w:sz w:val="19"/>
                <w:szCs w:val="19"/>
              </w:rPr>
              <w:t>Профмедсервис</w:t>
            </w:r>
            <w:proofErr w:type="spellEnd"/>
            <w:r>
              <w:rPr>
                <w:color w:val="000000"/>
                <w:sz w:val="19"/>
                <w:szCs w:val="19"/>
              </w:rPr>
              <w:t xml:space="preserve">» </w:t>
            </w:r>
            <w:r w:rsidR="00E075CE">
              <w:rPr>
                <w:color w:val="000000"/>
                <w:sz w:val="19"/>
                <w:szCs w:val="19"/>
              </w:rPr>
              <w:br/>
            </w:r>
            <w:r>
              <w:rPr>
                <w:color w:val="000000"/>
                <w:sz w:val="19"/>
                <w:szCs w:val="19"/>
              </w:rPr>
              <w:t>от 7 декабря 2022 г. б/н к договору от 15 июня 2022 г. № 000115, заключенному между заказчиком ООО «</w:t>
            </w:r>
            <w:proofErr w:type="spellStart"/>
            <w:r>
              <w:rPr>
                <w:color w:val="000000"/>
                <w:sz w:val="19"/>
                <w:szCs w:val="19"/>
              </w:rPr>
              <w:t>Вайлдберриз</w:t>
            </w:r>
            <w:proofErr w:type="spellEnd"/>
            <w:r>
              <w:rPr>
                <w:color w:val="000000"/>
                <w:sz w:val="19"/>
                <w:szCs w:val="19"/>
              </w:rPr>
              <w:t>» и исполнителем ООО «</w:t>
            </w:r>
            <w:proofErr w:type="spellStart"/>
            <w:r>
              <w:rPr>
                <w:color w:val="000000"/>
                <w:sz w:val="19"/>
                <w:szCs w:val="19"/>
              </w:rPr>
              <w:t>Профмедсервис</w:t>
            </w:r>
            <w:proofErr w:type="spellEnd"/>
            <w:r>
              <w:rPr>
                <w:color w:val="000000"/>
                <w:sz w:val="19"/>
                <w:szCs w:val="19"/>
              </w:rPr>
              <w:t>», в котором зафиксировано, что из заявленных 1 582 работников ООО «</w:t>
            </w:r>
            <w:proofErr w:type="spellStart"/>
            <w:r>
              <w:rPr>
                <w:color w:val="000000"/>
                <w:sz w:val="19"/>
                <w:szCs w:val="19"/>
              </w:rPr>
              <w:t>Вайлдберриз</w:t>
            </w:r>
            <w:proofErr w:type="spellEnd"/>
            <w:r>
              <w:rPr>
                <w:color w:val="000000"/>
                <w:sz w:val="19"/>
                <w:szCs w:val="19"/>
              </w:rPr>
              <w:t xml:space="preserve">» </w:t>
            </w:r>
            <w:r w:rsidR="00E075CE">
              <w:rPr>
                <w:color w:val="000000"/>
                <w:sz w:val="19"/>
                <w:szCs w:val="19"/>
              </w:rPr>
              <w:br/>
            </w:r>
            <w:r>
              <w:rPr>
                <w:color w:val="000000"/>
                <w:sz w:val="19"/>
                <w:szCs w:val="19"/>
              </w:rPr>
              <w:t xml:space="preserve">42 работника периодический медицинский осмотр не прошли в связи с их увольнением. </w:t>
            </w:r>
            <w:r>
              <w:rPr>
                <w:color w:val="000000"/>
                <w:sz w:val="19"/>
                <w:szCs w:val="19"/>
              </w:rPr>
              <w:br/>
              <w:t>Одновременно Отделением Фонда по г. Москве и МО ООО «СК ТОРН» возмещены расходы на сумму 464,49 тыс. рублей (приказ Отделения от 12 сентября 2023 г. № 5644-Ф), из которых 269,04 тыс. рублей составили расходы на медицинские услуги, не подлежащие финансовому обеспечению на санаторно-курортное лечение работников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установленное подпунктом «н» пункта 3 Правил № 467н.</w:t>
            </w:r>
            <w:r>
              <w:rPr>
                <w:color w:val="000000"/>
                <w:sz w:val="19"/>
                <w:szCs w:val="19"/>
              </w:rPr>
              <w:br/>
              <w:t>В ходе контрольного мероприятия на счет Отделения Фонда по г. Москве и МО возвращены средства в объеме 372,86 тыс. рублей, из которых 103,82 тыс. рублей - расходы на проведение плановых медицинских осмотров 42 работников, не прошедших периодический медицинский осмотр в связи с увольнением из ООО "</w:t>
            </w:r>
            <w:proofErr w:type="spellStart"/>
            <w:r>
              <w:rPr>
                <w:color w:val="000000"/>
                <w:sz w:val="19"/>
                <w:szCs w:val="19"/>
              </w:rPr>
              <w:t>Вайлдберриз</w:t>
            </w:r>
            <w:proofErr w:type="spellEnd"/>
            <w:r>
              <w:rPr>
                <w:color w:val="000000"/>
                <w:sz w:val="19"/>
                <w:szCs w:val="19"/>
              </w:rPr>
              <w:t xml:space="preserve">", и 269,04 тыс. рублей - расходы на предоставление двум работникам ООО «СК ТОРН» медицинских услуг, оплата стоимости которых Правилами № 467н не предусмотрена (платежное поручение от 16 февраля 2024 г. № 798621 на сумму </w:t>
            </w:r>
            <w:r w:rsidR="00E075CE">
              <w:rPr>
                <w:color w:val="000000"/>
                <w:sz w:val="19"/>
                <w:szCs w:val="19"/>
              </w:rPr>
              <w:br/>
            </w:r>
            <w:r>
              <w:rPr>
                <w:color w:val="000000"/>
                <w:sz w:val="19"/>
                <w:szCs w:val="19"/>
              </w:rPr>
              <w:t xml:space="preserve">103,82 тыс. рублей, платежное поручение от 14 февраля 2024 г. № 94617 на сумму 135,52 тыс. рублей, чек от 15 февраля </w:t>
            </w:r>
            <w:r w:rsidR="00E075CE">
              <w:rPr>
                <w:color w:val="000000"/>
                <w:sz w:val="19"/>
                <w:szCs w:val="19"/>
              </w:rPr>
              <w:br/>
            </w:r>
            <w:r>
              <w:rPr>
                <w:color w:val="000000"/>
                <w:sz w:val="19"/>
                <w:szCs w:val="19"/>
              </w:rPr>
              <w:lastRenderedPageBreak/>
              <w:t>2024 года на сумму 133,52 тыс. рублей).</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372,86</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пункт 3 Инструкции; Инструкция по применению плана счетов бюджетного учета, утвержденная приказом Минфина России от 06.12.2010 № 162н, пункт 2 Инструкции; Приказ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пункт 19 федерального стандарта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2.1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2425875081. В нарушение пункта 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w:t>
            </w:r>
            <w:r w:rsidR="00E075CE">
              <w:rPr>
                <w:color w:val="000000"/>
                <w:sz w:val="19"/>
                <w:szCs w:val="19"/>
              </w:rPr>
              <w:br/>
            </w:r>
            <w:r>
              <w:rPr>
                <w:color w:val="000000"/>
                <w:sz w:val="19"/>
                <w:szCs w:val="19"/>
              </w:rPr>
              <w:t xml:space="preserve">№ 157н (далее – Инструкция № 157н), пункта 2 Инструкции по применению плана счетов бюджетного учета, утвержденной приказом Минфина России от 6 декабря 2010 г. № 162н (далее – Инструкция № 162н), пункта 19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 256н (далее – Федеральный стандарт № 256н), в соответствии с которыми бухгалтерский учет осуществляется в соответствии с Рабочим планом счетов на счетах бухгалтерского учета, Рабочий план счетов бюджетного учета, являющийся приложением № 3 к Учетной политике Отделения Фонда пенсионного и социального страхования Российской Федерации по Архангельской области и Ненецкому автономному округу по исполнению бюджета Фонда пенсионного и социального страхования Российской Федерации на 2023 год, утвержденной приказом Отделения от 9 марта 2023 г. </w:t>
            </w:r>
            <w:r w:rsidR="00E075CE">
              <w:rPr>
                <w:color w:val="000000"/>
                <w:sz w:val="19"/>
                <w:szCs w:val="19"/>
              </w:rPr>
              <w:br/>
            </w:r>
            <w:r>
              <w:rPr>
                <w:color w:val="000000"/>
                <w:sz w:val="19"/>
                <w:szCs w:val="19"/>
              </w:rPr>
              <w:t xml:space="preserve">№ 214 (далее – Рабочий план счетов </w:t>
            </w:r>
            <w:r w:rsidR="00E075CE">
              <w:rPr>
                <w:color w:val="000000"/>
                <w:sz w:val="19"/>
                <w:szCs w:val="19"/>
              </w:rPr>
              <w:br/>
            </w:r>
            <w:r>
              <w:rPr>
                <w:color w:val="000000"/>
                <w:sz w:val="19"/>
                <w:szCs w:val="19"/>
              </w:rPr>
              <w:t xml:space="preserve">№ 214), не содержит применяемые Отделением Фонда пенсионного и социального страхования Российской </w:t>
            </w:r>
            <w:r>
              <w:rPr>
                <w:color w:val="000000"/>
                <w:sz w:val="19"/>
                <w:szCs w:val="19"/>
              </w:rPr>
              <w:lastRenderedPageBreak/>
              <w:t xml:space="preserve">Федерации по Архангельской области и Ненецкому автономному округу (далее - Отделение Фонда по Архангельской области и НАО) в 2023 году следующие счета бухгалтерского учета: </w:t>
            </w:r>
            <w:r>
              <w:rPr>
                <w:color w:val="000000"/>
                <w:sz w:val="19"/>
                <w:szCs w:val="19"/>
              </w:rPr>
              <w:br/>
              <w:t>121002139 «Расчеты с финансовым органом по поступившим в бюджет доходам от возмещений Фондом пенсионного и социального страхования Российской Федерации», 040110139 «Доходы от возмещений Фондом пенсионного и социального страхования Российской Федерации».</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Инструкция по применению плана счетов бюджетного учета, утвержденная приказом Минфина России от 06.12.2010 № 162н, пункт 86 Инструкции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2.11 Нарушение требований, предъявляемых к правилам ведения бюджетного (бухгалтерского) учета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2496229309. В нарушение пункта 86 Инструкции № 162н (в редакции, действующей с 12 июня 2023 года), в соответствии с которым при формировании показателей бухгалтерского учета </w:t>
            </w:r>
            <w:r w:rsidR="00E075CE">
              <w:rPr>
                <w:color w:val="000000"/>
                <w:sz w:val="19"/>
                <w:szCs w:val="19"/>
              </w:rPr>
              <w:br/>
            </w:r>
            <w:r>
              <w:rPr>
                <w:color w:val="000000"/>
                <w:sz w:val="19"/>
                <w:szCs w:val="19"/>
              </w:rPr>
              <w:t xml:space="preserve">2023 года суммы задолженности Фонда пенсионного и социального страхования Российской Федерации по возмещению расходов, понесенных учреждением (страхователем) на предупредительные меры, отражаются по дебету счета 020939561 «Увеличение дебиторской задолженности по доходам бюджета от возмещений государственным внебюджетным фондом расходов страхователей» и кредиту счетов 040110139 «Доходы от возмещений государственным внебюджетным фондом расходов страхователей», 040140139 «Доходы будущих периодов от возмещений государственным внебюджетным фондом расходов страхователей», Отделением Фонда по Архангельской области и НАО в 2023 году сумма задолженности Фонда по возмещению расходов, понесенных Отделением Фонда по Архангельской области и НАО как страхователем на предупредительные меры по сокращению производственного травматизма и профессиональных заболеваний </w:t>
            </w:r>
            <w:r>
              <w:rPr>
                <w:color w:val="000000"/>
                <w:sz w:val="19"/>
                <w:szCs w:val="19"/>
              </w:rPr>
              <w:lastRenderedPageBreak/>
              <w:t>работников и санаторно-курортное лечение работников, занятых на работах с вредными и (или) опасными производственными факторами (далее – предупредительные меры), на общую сумму 269,0 тыс. рублей отражена по дебету счета 020934561 «Увеличение дебиторской задолженности по доходам от компенсации затрат» и кредиту счета 040110139 «Доходы от возмещений Фондом пенсионного и социального страхования Российской Федерации» (журнал операций № 5 расчетов с дебиторами по доходам за ноябрь 2023 года (ф. по ОКУД № 0504071).</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пункт 11 Инструкции; Приказ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пункт 29 федерального </w:t>
            </w:r>
            <w:r>
              <w:rPr>
                <w:color w:val="000000"/>
                <w:sz w:val="19"/>
                <w:szCs w:val="19"/>
              </w:rPr>
              <w:lastRenderedPageBreak/>
              <w:t>стандарта; Федеральный закон от 06.12.2011 № 402-ФЗ  "О бухгалтерском учете", статья 10</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2.3 Нарушение требований, предъявляемых к оформлению и ведению регистров бухгалтерского учета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2481130733. В нарушение части 1 статьи 10 Федерального закона от 6 декабря 2011 г. № 402-ФЗ «О бухгалтерском учете», в соответствии с которой данные, содержащиеся в первичных учетных документах, подлежат своевременной регистрации и накоплению в регистрах бухгалтерского учета, пункта 11 Инструкции № 157н, пункта 29 Федерального стандарта № 256н, в соответствии с которыми записи в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Отделением Фонда по Архангельской области и НАО записи в регистры бухгалтерского учета производились с нарушением срока.</w:t>
            </w:r>
            <w:r>
              <w:rPr>
                <w:color w:val="000000"/>
                <w:sz w:val="19"/>
                <w:szCs w:val="19"/>
              </w:rPr>
              <w:br/>
              <w:t xml:space="preserve">Так, запись о сумме задолженности Фонда по возмещению расходов, понесенных Отделением Фонда по Архангельской области и НАО как страхователем на предупредительные меры в размере </w:t>
            </w:r>
            <w:r w:rsidR="00E075CE">
              <w:rPr>
                <w:color w:val="000000"/>
                <w:sz w:val="19"/>
                <w:szCs w:val="19"/>
              </w:rPr>
              <w:br/>
            </w:r>
            <w:r>
              <w:rPr>
                <w:color w:val="000000"/>
                <w:sz w:val="19"/>
                <w:szCs w:val="19"/>
              </w:rPr>
              <w:t xml:space="preserve">269,0 тыс. рублей, произведена в журнале операций № 5 расчетов с дебиторами по доходам (ф. по ОКУД № 0504071) </w:t>
            </w:r>
            <w:r w:rsidR="00E075CE">
              <w:rPr>
                <w:color w:val="000000"/>
                <w:sz w:val="19"/>
                <w:szCs w:val="19"/>
              </w:rPr>
              <w:br/>
            </w:r>
            <w:r>
              <w:rPr>
                <w:color w:val="000000"/>
                <w:sz w:val="19"/>
                <w:szCs w:val="19"/>
              </w:rPr>
              <w:lastRenderedPageBreak/>
              <w:t xml:space="preserve">28 ноября 2023 года, при этом соответствующее решение о финансовом обеспечении предупредительных мер принято 27 июля 2023 года (приказ Отделения Фонда по Архангельской области и НАО от 27 июля 2023 г. </w:t>
            </w:r>
            <w:r w:rsidR="00E075CE">
              <w:rPr>
                <w:color w:val="000000"/>
                <w:sz w:val="19"/>
                <w:szCs w:val="19"/>
              </w:rPr>
              <w:br/>
            </w:r>
            <w:r>
              <w:rPr>
                <w:color w:val="000000"/>
                <w:sz w:val="19"/>
                <w:szCs w:val="19"/>
              </w:rPr>
              <w:t>№ 621-Ф), то есть с нарушением срока на 82 рабочих дня.</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sidR="003C1423">
              <w:rPr>
                <w:color w:val="000000"/>
                <w:sz w:val="19"/>
                <w:szCs w:val="19"/>
              </w:rPr>
              <w:br/>
            </w:r>
            <w:r>
              <w:rPr>
                <w:color w:val="000000"/>
                <w:sz w:val="19"/>
                <w:szCs w:val="19"/>
              </w:rPr>
              <w:t>№ 467н, пункт 10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2414855203. В нарушение подпункта «а» пункта 10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утвержденных приказом Минтруда России от 14 июля 2021 г. № 467н (далее – Правила № 467н), в соответствии с которым решение о финансовом обеспечении предупредительных мер (далее – ФОПМ) или об отказе в ФОПМ в отношении страхователей, у которых сумма страховых взносов, начисленных за предшествующий год, составляет </w:t>
            </w:r>
            <w:r w:rsidR="00E075CE">
              <w:rPr>
                <w:color w:val="000000"/>
                <w:sz w:val="19"/>
                <w:szCs w:val="19"/>
              </w:rPr>
              <w:br/>
            </w:r>
            <w:r>
              <w:rPr>
                <w:color w:val="000000"/>
                <w:sz w:val="19"/>
                <w:szCs w:val="19"/>
              </w:rPr>
              <w:t xml:space="preserve">до 25 000,00 тыс. рублей включительно, принимается территориальным органом Фонда пенсионного и социального страхования Российской Федерации в течение 10 рабочих дней со дня получения заявления о финансовом обеспечении предупредительных мер  и полного комплекта документов, указанных в пунктах 4–6 Правил № 467н, Отделением Фонда по Архангельской области и НАО решения о ФОПМ в 51 случае (5,5 % принятых решений) в 2022 году и в </w:t>
            </w:r>
            <w:r w:rsidR="00E075CE">
              <w:rPr>
                <w:color w:val="000000"/>
                <w:sz w:val="19"/>
                <w:szCs w:val="19"/>
              </w:rPr>
              <w:br/>
            </w:r>
            <w:r>
              <w:rPr>
                <w:color w:val="000000"/>
                <w:sz w:val="19"/>
                <w:szCs w:val="19"/>
              </w:rPr>
              <w:t>150 случаях (18,1 %) в 2023 году принимались с нарушением установленного срока от 1 до 103 рабочих дней.</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ОТДЕЛЕНИЕ ФОНДА ПЕНСИОННОГО И </w:t>
            </w:r>
            <w:r>
              <w:rPr>
                <w:color w:val="000000"/>
                <w:sz w:val="19"/>
                <w:szCs w:val="19"/>
              </w:rPr>
              <w:lastRenderedPageBreak/>
              <w:t>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ФОНД ПЕНСИОННОГО И </w:t>
            </w:r>
            <w:r>
              <w:rPr>
                <w:color w:val="000000"/>
                <w:sz w:val="19"/>
                <w:szCs w:val="19"/>
              </w:rPr>
              <w:lastRenderedPageBreak/>
              <w:t>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Правила финансового обеспечения </w:t>
            </w:r>
            <w:r>
              <w:rPr>
                <w:color w:val="000000"/>
                <w:sz w:val="19"/>
                <w:szCs w:val="19"/>
              </w:rPr>
              <w:lastRenderedPageBreak/>
              <w:t xml:space="preserve">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sidR="003C1423">
              <w:rPr>
                <w:color w:val="000000"/>
                <w:sz w:val="19"/>
                <w:szCs w:val="19"/>
              </w:rPr>
              <w:br/>
            </w:r>
            <w:r>
              <w:rPr>
                <w:color w:val="000000"/>
                <w:sz w:val="19"/>
                <w:szCs w:val="19"/>
              </w:rPr>
              <w:t>№ 467н, пункт 17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1.2.101 Нарушения при выполнении или </w:t>
            </w:r>
            <w:r>
              <w:rPr>
                <w:color w:val="000000"/>
                <w:sz w:val="19"/>
                <w:szCs w:val="19"/>
              </w:rPr>
              <w:lastRenderedPageBreak/>
              <w:t>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2414393634. В нарушение пункта 17 Правил № 467н, в соответствии с которым </w:t>
            </w:r>
            <w:r>
              <w:rPr>
                <w:color w:val="000000"/>
                <w:sz w:val="19"/>
                <w:szCs w:val="19"/>
              </w:rPr>
              <w:lastRenderedPageBreak/>
              <w:t xml:space="preserve">территориальный орган Фонда в течение </w:t>
            </w:r>
            <w:r w:rsidR="00E075CE">
              <w:rPr>
                <w:color w:val="000000"/>
                <w:sz w:val="19"/>
                <w:szCs w:val="19"/>
              </w:rPr>
              <w:br/>
            </w:r>
            <w:r>
              <w:rPr>
                <w:color w:val="000000"/>
                <w:sz w:val="19"/>
                <w:szCs w:val="19"/>
              </w:rPr>
              <w:t xml:space="preserve">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 Отделением Фонда по Архангельской области и НАО принято решение о возмещении произведенных расходов с нарушением установленного срока. </w:t>
            </w:r>
            <w:r>
              <w:rPr>
                <w:color w:val="000000"/>
                <w:sz w:val="19"/>
                <w:szCs w:val="19"/>
              </w:rPr>
              <w:br/>
              <w:t xml:space="preserve">Так, по заявлению о возмещении производственных расходов на предупредительные меры от 6 декабря </w:t>
            </w:r>
            <w:r w:rsidR="00E075CE">
              <w:rPr>
                <w:color w:val="000000"/>
                <w:sz w:val="19"/>
                <w:szCs w:val="19"/>
              </w:rPr>
              <w:br/>
            </w:r>
            <w:r>
              <w:rPr>
                <w:color w:val="000000"/>
                <w:sz w:val="19"/>
                <w:szCs w:val="19"/>
              </w:rPr>
              <w:t>2022 года решение о возмещении расходов ООО «</w:t>
            </w:r>
            <w:proofErr w:type="spellStart"/>
            <w:r>
              <w:rPr>
                <w:color w:val="000000"/>
                <w:sz w:val="19"/>
                <w:szCs w:val="19"/>
              </w:rPr>
              <w:t>Варандейский</w:t>
            </w:r>
            <w:proofErr w:type="spellEnd"/>
            <w:r>
              <w:rPr>
                <w:color w:val="000000"/>
                <w:sz w:val="19"/>
                <w:szCs w:val="19"/>
              </w:rPr>
              <w:t xml:space="preserve"> терминал» на сумму 502,9 тыс. рублей принято 14 декабря </w:t>
            </w:r>
            <w:r w:rsidR="00E075CE">
              <w:rPr>
                <w:color w:val="000000"/>
                <w:sz w:val="19"/>
                <w:szCs w:val="19"/>
              </w:rPr>
              <w:br/>
            </w:r>
            <w:r>
              <w:rPr>
                <w:color w:val="000000"/>
                <w:sz w:val="19"/>
                <w:szCs w:val="19"/>
              </w:rPr>
              <w:t xml:space="preserve">2022 года (приказ от 14 декабря 2022 г. </w:t>
            </w:r>
            <w:r w:rsidR="00E075CE">
              <w:rPr>
                <w:color w:val="000000"/>
                <w:sz w:val="19"/>
                <w:szCs w:val="19"/>
              </w:rPr>
              <w:br/>
            </w:r>
            <w:r>
              <w:rPr>
                <w:color w:val="000000"/>
                <w:sz w:val="19"/>
                <w:szCs w:val="19"/>
              </w:rPr>
              <w:t>№ 38-Ф), то есть с нарушением установленного срока на 1 рабочий день.</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 2021 </w:t>
            </w:r>
            <w:r w:rsidR="003C1423">
              <w:rPr>
                <w:color w:val="000000"/>
                <w:sz w:val="19"/>
                <w:szCs w:val="19"/>
              </w:rPr>
              <w:br/>
            </w:r>
            <w:r>
              <w:rPr>
                <w:color w:val="000000"/>
                <w:sz w:val="19"/>
                <w:szCs w:val="19"/>
              </w:rPr>
              <w:t>№ 467н, пункт 17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w:t>
            </w:r>
            <w:r>
              <w:rPr>
                <w:color w:val="000000"/>
                <w:sz w:val="19"/>
                <w:szCs w:val="19"/>
              </w:rPr>
              <w:lastRenderedPageBreak/>
              <w:t>(муниципальными)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2403516744. В нарушение пункта 17 Правил № 467н, в соответствии с которым территориальный орган Фонда в течение </w:t>
            </w:r>
            <w:r w:rsidR="00E075CE">
              <w:rPr>
                <w:color w:val="000000"/>
                <w:sz w:val="19"/>
                <w:szCs w:val="19"/>
              </w:rPr>
              <w:br/>
            </w:r>
            <w:r>
              <w:rPr>
                <w:color w:val="000000"/>
                <w:sz w:val="19"/>
                <w:szCs w:val="19"/>
              </w:rPr>
              <w:t>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 Отделением Фонда по Архангельской области и НАО перечисление средств на расчетный счет страхователя осуществлялось с нарушением установленного срока.</w:t>
            </w:r>
            <w:r>
              <w:rPr>
                <w:color w:val="000000"/>
                <w:sz w:val="19"/>
                <w:szCs w:val="19"/>
              </w:rPr>
              <w:br/>
              <w:t xml:space="preserve">Так, по заявлению о возмещении </w:t>
            </w:r>
            <w:r>
              <w:rPr>
                <w:color w:val="000000"/>
                <w:sz w:val="19"/>
                <w:szCs w:val="19"/>
              </w:rPr>
              <w:lastRenderedPageBreak/>
              <w:t xml:space="preserve">произведенных расходов на предупредительные меры от 6 декабря </w:t>
            </w:r>
            <w:r w:rsidR="00E075CE">
              <w:rPr>
                <w:color w:val="000000"/>
                <w:sz w:val="19"/>
                <w:szCs w:val="19"/>
              </w:rPr>
              <w:br/>
            </w:r>
            <w:r>
              <w:rPr>
                <w:color w:val="000000"/>
                <w:sz w:val="19"/>
                <w:szCs w:val="19"/>
              </w:rPr>
              <w:t>2022 года Отделением Фонда по Архангельской области и НАО решение о возмещении ООО «</w:t>
            </w:r>
            <w:proofErr w:type="spellStart"/>
            <w:r>
              <w:rPr>
                <w:color w:val="000000"/>
                <w:sz w:val="19"/>
                <w:szCs w:val="19"/>
              </w:rPr>
              <w:t>Варандейский</w:t>
            </w:r>
            <w:proofErr w:type="spellEnd"/>
            <w:r>
              <w:rPr>
                <w:color w:val="000000"/>
                <w:sz w:val="19"/>
                <w:szCs w:val="19"/>
              </w:rPr>
              <w:t xml:space="preserve"> терминал» расходов в сумме 502,9 тыс. рублей принято 14 декабря 2022 года (приказ от 14 декабря 2022 г. № 38-Ф), при этом средства на счет страхователя были перечислены 22 декабря 2022 года (платежное поручение от 22 декабря </w:t>
            </w:r>
            <w:r w:rsidR="00E075CE">
              <w:rPr>
                <w:color w:val="000000"/>
                <w:sz w:val="19"/>
                <w:szCs w:val="19"/>
              </w:rPr>
              <w:br/>
            </w:r>
            <w:r>
              <w:rPr>
                <w:color w:val="000000"/>
                <w:sz w:val="19"/>
                <w:szCs w:val="19"/>
              </w:rPr>
              <w:t>2022 г. № 537114), то есть с нарушением установленного срока на 7 рабочих дней.</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утвержденный приказом Фонда социального страхования Российской Федерации от 07.05.2019 № 237, пункты 11, 24 Административного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2402291805. В нарушение пунктов 11, 24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утвержденного приказом Фонда социального страхования Российской Федерации от 7 мая 2019 г. № 237, в соответствии с которыми основанием для отказа в приеме заявления и документов (копий документов), необходимых для предоставления государственной услуги, является подача заявителем (представителем) заявления и документов позднее 1 августа текущего календарного года, Отделением Фонда по Архангельской области и НАО принимались решения о ФОМП по заявлениям и документам, поступившим позже 1 августа текущего календарного года.</w:t>
            </w:r>
            <w:r>
              <w:rPr>
                <w:color w:val="000000"/>
                <w:sz w:val="19"/>
                <w:szCs w:val="19"/>
              </w:rPr>
              <w:br/>
              <w:t>Так, например, Отделением Фонда по Архангельской области и НАО заявление от ООО «</w:t>
            </w:r>
            <w:proofErr w:type="spellStart"/>
            <w:r>
              <w:rPr>
                <w:color w:val="000000"/>
                <w:sz w:val="19"/>
                <w:szCs w:val="19"/>
              </w:rPr>
              <w:t>Оптимром</w:t>
            </w:r>
            <w:proofErr w:type="spellEnd"/>
            <w:r>
              <w:rPr>
                <w:color w:val="000000"/>
                <w:sz w:val="19"/>
                <w:szCs w:val="19"/>
              </w:rPr>
              <w:t xml:space="preserve">-А» было принято </w:t>
            </w:r>
            <w:r w:rsidR="00E075CE">
              <w:rPr>
                <w:color w:val="000000"/>
                <w:sz w:val="19"/>
                <w:szCs w:val="19"/>
              </w:rPr>
              <w:br/>
            </w:r>
            <w:r>
              <w:rPr>
                <w:color w:val="000000"/>
                <w:sz w:val="19"/>
                <w:szCs w:val="19"/>
              </w:rPr>
              <w:lastRenderedPageBreak/>
              <w:t xml:space="preserve">20 ноября 2023 года, а решение о ФОМП – 14 декабря 2023 года (приказ от 14 декабря 2023 г. № 1201-Ф), заявление от акционерного общества «Производственное объединение «Северное машиностроительное предприятие» принято 17 октября </w:t>
            </w:r>
            <w:r w:rsidR="00E075CE">
              <w:rPr>
                <w:color w:val="000000"/>
                <w:sz w:val="19"/>
                <w:szCs w:val="19"/>
              </w:rPr>
              <w:br/>
            </w:r>
            <w:r>
              <w:rPr>
                <w:color w:val="000000"/>
                <w:sz w:val="19"/>
                <w:szCs w:val="19"/>
              </w:rPr>
              <w:t xml:space="preserve">2023 года, а решение о ФОПМ – 19 декабря 2023 года (приказ от 19 декабря 2023 г. </w:t>
            </w:r>
            <w:r w:rsidR="00E075CE">
              <w:rPr>
                <w:color w:val="000000"/>
                <w:sz w:val="19"/>
                <w:szCs w:val="19"/>
              </w:rPr>
              <w:br/>
            </w:r>
            <w:r>
              <w:rPr>
                <w:color w:val="000000"/>
                <w:sz w:val="19"/>
                <w:szCs w:val="19"/>
              </w:rPr>
              <w:t>№ 1251-Ф).</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НИЖЕГОРОДСКОЙ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sidR="003C1423">
              <w:rPr>
                <w:color w:val="000000"/>
                <w:sz w:val="19"/>
                <w:szCs w:val="19"/>
              </w:rPr>
              <w:br/>
            </w:r>
            <w:r>
              <w:rPr>
                <w:color w:val="000000"/>
                <w:sz w:val="19"/>
                <w:szCs w:val="19"/>
              </w:rPr>
              <w:t>№ 467н, пункт 6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2454019264. В нарушение подпункта «д» пункта 6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Минтруда России от 14 июля 2021 г. № 467н (далее – Правила № 467н), в соответствии с которым в случае включения в план финансового обеспечения предупредительных мер, предусмотренных подпунктом «д» пункта 3 Правил № 467н (санаторно-курортное лечение работников, занятых на работах с вредными и (или) опасными производственными факторами), страхователь представляет заключительный акт врачебной комиссии по итогам проведения обязательных периодических медицинских осмотров (обследований) работников, список работников, направляемых на санаторно-курортное лечение, с указанием рекомендаций, содержащихся в заключительном акте, копии договоров с организацией, осуществляющей санаторно-курортное лечение работников, и калькуляцию стоимости путевки (в редакции, действующей до 11 июля </w:t>
            </w:r>
            <w:r w:rsidR="00E075CE">
              <w:rPr>
                <w:color w:val="000000"/>
                <w:sz w:val="19"/>
                <w:szCs w:val="19"/>
              </w:rPr>
              <w:br/>
            </w:r>
            <w:r>
              <w:rPr>
                <w:color w:val="000000"/>
                <w:sz w:val="19"/>
                <w:szCs w:val="19"/>
              </w:rPr>
              <w:t>2023 года), страхователем ООО «</w:t>
            </w:r>
            <w:proofErr w:type="spellStart"/>
            <w:r>
              <w:rPr>
                <w:color w:val="000000"/>
                <w:sz w:val="19"/>
                <w:szCs w:val="19"/>
              </w:rPr>
              <w:t>Племзавод</w:t>
            </w:r>
            <w:proofErr w:type="spellEnd"/>
            <w:r>
              <w:rPr>
                <w:color w:val="000000"/>
                <w:sz w:val="19"/>
                <w:szCs w:val="19"/>
              </w:rPr>
              <w:t xml:space="preserve"> им. Ленина» в Отделение </w:t>
            </w:r>
            <w:r>
              <w:rPr>
                <w:color w:val="000000"/>
                <w:sz w:val="19"/>
                <w:szCs w:val="19"/>
              </w:rPr>
              <w:lastRenderedPageBreak/>
              <w:t>Фонда по Нижегородской области для принятия решение о финансовом обеспечении предупредительных мер представлены списки работников, направляемых на санаторно-курортное лечение, без рекомендаций, предусмотренных подпунктом «д» пункта 6 Правил № 467н. Так, в разделе 12 «Заключение по результатам периодического медицинского осмотра (обследования)» заключительных актов, представленных ООО «</w:t>
            </w:r>
            <w:proofErr w:type="spellStart"/>
            <w:r>
              <w:rPr>
                <w:color w:val="000000"/>
                <w:sz w:val="19"/>
                <w:szCs w:val="19"/>
              </w:rPr>
              <w:t>Племзавод</w:t>
            </w:r>
            <w:proofErr w:type="spellEnd"/>
            <w:r>
              <w:rPr>
                <w:color w:val="000000"/>
                <w:sz w:val="19"/>
                <w:szCs w:val="19"/>
              </w:rPr>
              <w:t xml:space="preserve"> им. Ленина» не содержатся рекомендации о направлении указанной категории работников страхователя на санаторно-курортное лечение.</w:t>
            </w:r>
            <w:r>
              <w:rPr>
                <w:color w:val="000000"/>
                <w:sz w:val="19"/>
                <w:szCs w:val="19"/>
              </w:rPr>
              <w:br/>
              <w:t>Таким образом, необоснованное возмещение Отделением Фонда по Нижегородской области расходов ООО «</w:t>
            </w:r>
            <w:proofErr w:type="spellStart"/>
            <w:r>
              <w:rPr>
                <w:color w:val="000000"/>
                <w:sz w:val="19"/>
                <w:szCs w:val="19"/>
              </w:rPr>
              <w:t>Племзавод</w:t>
            </w:r>
            <w:proofErr w:type="spellEnd"/>
            <w:r>
              <w:rPr>
                <w:color w:val="000000"/>
                <w:sz w:val="19"/>
                <w:szCs w:val="19"/>
              </w:rPr>
              <w:t xml:space="preserve"> им. Ленина» на финансовое обеспечение предупредительных мер по сокращению производственного травматизма и профессиональных 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 в размере 367,9 тыс. рублей может свидетельствовать о причинении материального ущерба.</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367,9</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w:t>
            </w:r>
            <w:r>
              <w:rPr>
                <w:color w:val="000000"/>
                <w:sz w:val="19"/>
                <w:szCs w:val="19"/>
              </w:rPr>
              <w:lastRenderedPageBreak/>
              <w:t xml:space="preserve">факторами, утвержденные приказом Минтруда России от 14.07.2021 </w:t>
            </w:r>
            <w:r w:rsidR="003C1423">
              <w:rPr>
                <w:color w:val="000000"/>
                <w:sz w:val="19"/>
                <w:szCs w:val="19"/>
              </w:rPr>
              <w:br/>
              <w:t>№ 467н</w:t>
            </w:r>
            <w:r>
              <w:rPr>
                <w:color w:val="000000"/>
                <w:sz w:val="19"/>
                <w:szCs w:val="19"/>
              </w:rPr>
              <w:t>, пункты 6, 19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w:t>
            </w:r>
            <w:r>
              <w:rPr>
                <w:color w:val="000000"/>
                <w:sz w:val="19"/>
                <w:szCs w:val="19"/>
              </w:rPr>
              <w:lastRenderedPageBreak/>
              <w:t>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2446022787. В нарушение подпункта «е» пункта 6 Правил № 467н, в соответствии с которым в случае включения в план финансового обеспечения предупредительных мер, предусмотренных подпунктом «е» пункта 3 Правил № 467н (проведение периодических медицинских осмотров (обследований) работников (далее – ПМО), страхователь представляет копию списка работников, подлежащих прохождению ПМО в текущем календарном году, утвержденного в установленном порядке, копию договора с медицинской организацией и расчет </w:t>
            </w:r>
            <w:r>
              <w:rPr>
                <w:color w:val="000000"/>
                <w:sz w:val="19"/>
                <w:szCs w:val="19"/>
              </w:rPr>
              <w:lastRenderedPageBreak/>
              <w:t xml:space="preserve">стоимости услуг по проведению ПМО, страхователем АО «Авиакомпания </w:t>
            </w:r>
            <w:proofErr w:type="spellStart"/>
            <w:r>
              <w:rPr>
                <w:color w:val="000000"/>
                <w:sz w:val="19"/>
                <w:szCs w:val="19"/>
              </w:rPr>
              <w:t>Смартавия</w:t>
            </w:r>
            <w:proofErr w:type="spellEnd"/>
            <w:r>
              <w:rPr>
                <w:color w:val="000000"/>
                <w:sz w:val="19"/>
                <w:szCs w:val="19"/>
              </w:rPr>
              <w:t xml:space="preserve">» в целях принятия решения о финансовом обеспечении предупредительных мер, в соответствии с подпунктом «е» пункта 6 Правил № 467н в Отделение Фонда по Архангельской области и НАО представлен список из 46 работников, подлежащих прохождению ПМО в 2022 году, утвержденный страхователем 17 января 2022 года, и договор от 17 января 2022 г. № 157-21, заключенный страхователем с ООО «Гиппократ» на проведение ПМО, на сумму 175,0 тыс. рублей (с расчетом стоимости медицинской комиссии). При этом в соответствии с заключительным актом по результатам проведенного ПМО работников АО «Авиакомпания </w:t>
            </w:r>
            <w:proofErr w:type="spellStart"/>
            <w:r>
              <w:rPr>
                <w:color w:val="000000"/>
                <w:sz w:val="19"/>
                <w:szCs w:val="19"/>
              </w:rPr>
              <w:t>Смартавия</w:t>
            </w:r>
            <w:proofErr w:type="spellEnd"/>
            <w:r>
              <w:rPr>
                <w:color w:val="000000"/>
                <w:sz w:val="19"/>
                <w:szCs w:val="19"/>
              </w:rPr>
              <w:t>» от 17 октября 2022 года только 23 работника страхователя прошли ПМО.</w:t>
            </w:r>
            <w:r>
              <w:rPr>
                <w:color w:val="000000"/>
                <w:sz w:val="19"/>
                <w:szCs w:val="19"/>
              </w:rPr>
              <w:br/>
              <w:t xml:space="preserve">Кроме того, в нарушение пункта 19 Правил № 467н, которым предусмотрено, что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  Отделением Фонда по Архангельской области и НАО возмещение произведенных страхователем расходов на проведение ПМО на общую сумму </w:t>
            </w:r>
            <w:r w:rsidR="00E075CE">
              <w:rPr>
                <w:color w:val="000000"/>
                <w:sz w:val="19"/>
                <w:szCs w:val="19"/>
              </w:rPr>
              <w:br/>
            </w:r>
            <w:r>
              <w:rPr>
                <w:color w:val="000000"/>
                <w:sz w:val="19"/>
                <w:szCs w:val="19"/>
              </w:rPr>
              <w:t xml:space="preserve">169,7 тыс. рублей произведено при отсутствии документов, подтверждающих расходы АО «Авиакомпания </w:t>
            </w:r>
            <w:proofErr w:type="spellStart"/>
            <w:r>
              <w:rPr>
                <w:color w:val="000000"/>
                <w:sz w:val="19"/>
                <w:szCs w:val="19"/>
              </w:rPr>
              <w:t>Смартавия</w:t>
            </w:r>
            <w:proofErr w:type="spellEnd"/>
            <w:r>
              <w:rPr>
                <w:color w:val="000000"/>
                <w:sz w:val="19"/>
                <w:szCs w:val="19"/>
              </w:rPr>
              <w:t>» на сумму 40,6 тыс. рублей.</w:t>
            </w:r>
            <w:r>
              <w:rPr>
                <w:color w:val="000000"/>
                <w:sz w:val="19"/>
                <w:szCs w:val="19"/>
              </w:rPr>
              <w:br/>
              <w:t xml:space="preserve">Таким образом, необоснованное возмещение Отделением Фонда по Архангельской области и НАО расходов АО «Авиакомпания </w:t>
            </w:r>
            <w:proofErr w:type="spellStart"/>
            <w:r>
              <w:rPr>
                <w:color w:val="000000"/>
                <w:sz w:val="19"/>
                <w:szCs w:val="19"/>
              </w:rPr>
              <w:t>Смартавия</w:t>
            </w:r>
            <w:proofErr w:type="spellEnd"/>
            <w:r>
              <w:rPr>
                <w:color w:val="000000"/>
                <w:sz w:val="19"/>
                <w:szCs w:val="19"/>
              </w:rPr>
              <w:t xml:space="preserve">» на финансовое обеспечение предупредительных мер по сокращению </w:t>
            </w:r>
            <w:r>
              <w:rPr>
                <w:color w:val="000000"/>
                <w:sz w:val="19"/>
                <w:szCs w:val="19"/>
              </w:rPr>
              <w:lastRenderedPageBreak/>
              <w:t>производственного травматизма и профессиональных 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 в размере 40,6 тыс. рублей может свидетельствовать о причинении материального ущерба.</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40,6</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Минтруда России от 14.07.2021 </w:t>
            </w:r>
            <w:r w:rsidR="003C1423">
              <w:rPr>
                <w:color w:val="000000"/>
                <w:sz w:val="19"/>
                <w:szCs w:val="19"/>
              </w:rPr>
              <w:br/>
            </w:r>
            <w:r>
              <w:rPr>
                <w:color w:val="000000"/>
                <w:sz w:val="19"/>
                <w:szCs w:val="19"/>
              </w:rPr>
              <w:t>№ 467н, пункт 6 Правил</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2478522877. В нарушение подпункта «г» пункта 6 Правил № 467н, в соответствии с которым в случае включения в план финансового обеспечения предупредительных мер, предусмотренных подпунктом «г» пункта 3 Правил № 467н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 на основании результатов проведения специальной оценки условий труда, а также СИЗ), страхователь представляет перечень приобретаемых СИЗ с указанием профессий (должностей) работников, норм выдачи СИЗ со ссылкой на соответствующий пункт типовых норм, количества, стоимости, даты изготовления, срока годности приобретаемых СИЗ, артикула или модели приобретаемых СИЗ (при наличии), номеров и срока действия сертификатов (деклараций) соответствия СИЗ техническому регламенту Таможенного союза и сведения о дате изготовления и сроке годности приобретаемых СИЗ (в редакции, </w:t>
            </w:r>
            <w:r>
              <w:rPr>
                <w:color w:val="000000"/>
                <w:sz w:val="19"/>
                <w:szCs w:val="19"/>
              </w:rPr>
              <w:lastRenderedPageBreak/>
              <w:t>действующей до 11 июля 2023 года), страхователем ООО «</w:t>
            </w:r>
            <w:proofErr w:type="spellStart"/>
            <w:r>
              <w:rPr>
                <w:color w:val="000000"/>
                <w:sz w:val="19"/>
                <w:szCs w:val="19"/>
              </w:rPr>
              <w:t>Варандейский</w:t>
            </w:r>
            <w:proofErr w:type="spellEnd"/>
            <w:r>
              <w:rPr>
                <w:color w:val="000000"/>
                <w:sz w:val="19"/>
                <w:szCs w:val="19"/>
              </w:rPr>
              <w:t xml:space="preserve"> терминал» в целях принятия решения о финансовом обеспечении предупредительных мер в Отделение Фонда по Архангельской области и НАО представлен перечень приобретаемых СИЗ без указания профессии (должности) работников, а также не представлены копии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w:t>
            </w:r>
            <w:proofErr w:type="spellStart"/>
            <w:r>
              <w:rPr>
                <w:color w:val="000000"/>
                <w:sz w:val="19"/>
                <w:szCs w:val="19"/>
              </w:rPr>
              <w:t>Минпромторгом</w:t>
            </w:r>
            <w:proofErr w:type="spellEnd"/>
            <w:r>
              <w:rPr>
                <w:color w:val="000000"/>
                <w:sz w:val="19"/>
                <w:szCs w:val="19"/>
              </w:rPr>
              <w:t xml:space="preserve"> России для СИЗ, изготовленных на территории Российской Федерации, и копии действующей на момент приобретения СИЗ декларации о происхождении товара или сертификата о происхождении товара для СИЗ, изготовленных на территории других государств – членов Евразийского экономического союза.</w:t>
            </w:r>
            <w:r>
              <w:rPr>
                <w:color w:val="000000"/>
                <w:sz w:val="19"/>
                <w:szCs w:val="19"/>
              </w:rPr>
              <w:br/>
              <w:t>Таким образом, необоснованное возмещение Отделением Фонда по Архангельской области и НАО расходов ООО «</w:t>
            </w:r>
            <w:proofErr w:type="spellStart"/>
            <w:r>
              <w:rPr>
                <w:color w:val="000000"/>
                <w:sz w:val="19"/>
                <w:szCs w:val="19"/>
              </w:rPr>
              <w:t>Варандейский</w:t>
            </w:r>
            <w:proofErr w:type="spellEnd"/>
            <w:r>
              <w:rPr>
                <w:color w:val="000000"/>
                <w:sz w:val="19"/>
                <w:szCs w:val="19"/>
              </w:rPr>
              <w:t xml:space="preserve"> терминал» на финансовое обеспечение предупредительных мер по сокращению производственного травматизма и профессиональных 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 в размере 502,9 тыс. рублей может свидетельствовать о причинении материального ущерба.</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502,9</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095E73" w:rsidRDefault="006F25D4">
            <w:pPr>
              <w:ind w:right="113"/>
              <w:jc w:val="right"/>
              <w:rPr>
                <w:b/>
                <w:bCs/>
                <w:color w:val="000000"/>
                <w:sz w:val="19"/>
                <w:szCs w:val="19"/>
              </w:rPr>
            </w:pPr>
            <w:r>
              <w:rPr>
                <w:b/>
                <w:bCs/>
                <w:color w:val="000000"/>
                <w:sz w:val="19"/>
                <w:szCs w:val="19"/>
              </w:rPr>
              <w:lastRenderedPageBreak/>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b/>
                <w:bCs/>
                <w:color w:val="000000"/>
                <w:sz w:val="19"/>
                <w:szCs w:val="19"/>
              </w:rPr>
            </w:pPr>
            <w:r>
              <w:rPr>
                <w:b/>
                <w:bCs/>
                <w:color w:val="000000"/>
                <w:sz w:val="19"/>
                <w:szCs w:val="19"/>
              </w:rPr>
              <w:t>1 284,26</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095E73" w:rsidRDefault="00095E73">
            <w:pPr>
              <w:jc w:val="center"/>
              <w:rPr>
                <w:b/>
                <w:bCs/>
                <w:color w:val="000000"/>
                <w:sz w:val="19"/>
                <w:szCs w:val="19"/>
              </w:rPr>
            </w:pPr>
          </w:p>
        </w:tc>
      </w:tr>
      <w:tr w:rsidR="00095E7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095E73" w:rsidRDefault="006F25D4">
            <w:pPr>
              <w:rPr>
                <w:b/>
                <w:bCs/>
                <w:color w:val="000000"/>
                <w:sz w:val="19"/>
                <w:szCs w:val="19"/>
              </w:rPr>
            </w:pPr>
            <w:r>
              <w:rPr>
                <w:b/>
                <w:bCs/>
                <w:color w:val="000000"/>
                <w:sz w:val="19"/>
                <w:szCs w:val="19"/>
              </w:rPr>
              <w:t>2. Прочие нарушения и недостатки</w:t>
            </w: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ОТДЕЛЕНИЕ ФОНДА ПЕНСИОННОГО И </w:t>
            </w:r>
            <w:r>
              <w:rPr>
                <w:color w:val="000000"/>
                <w:sz w:val="19"/>
                <w:szCs w:val="19"/>
              </w:rPr>
              <w:lastRenderedPageBreak/>
              <w:t>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ФОНД ПЕНСИОННОГО И </w:t>
            </w:r>
            <w:r>
              <w:rPr>
                <w:color w:val="000000"/>
                <w:sz w:val="19"/>
                <w:szCs w:val="19"/>
              </w:rPr>
              <w:lastRenderedPageBreak/>
              <w:t>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Методика расчета распределения </w:t>
            </w:r>
            <w:r>
              <w:rPr>
                <w:color w:val="000000"/>
                <w:sz w:val="19"/>
                <w:szCs w:val="19"/>
              </w:rPr>
              <w:lastRenderedPageBreak/>
              <w:t>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утвержденная председателем Фонда социального страхования Российской Федерации от 12 октября 2010 года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2433221453. Отделением Фонда по г. Москве и МО расчет объема средств на </w:t>
            </w:r>
            <w:r>
              <w:rPr>
                <w:color w:val="000000"/>
                <w:sz w:val="19"/>
                <w:szCs w:val="19"/>
              </w:rPr>
              <w:lastRenderedPageBreak/>
              <w:t xml:space="preserve">ФОПМ на очередной финансовый год и плановый период осуществлялся с учетом региональных особенностей (исходя из ожидаемых расходов на ФОПМ за текущий год с учетом индекса потребительских цен), что не соответствует формуле определения территориальными органами Фонда объема запрашиваемых средств, предусмотренной Методикой расчета распределения 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утвержденной председателем Фонда социального страхования Российской Федерации от 12 октября </w:t>
            </w:r>
            <w:r w:rsidR="00E075CE">
              <w:rPr>
                <w:color w:val="000000"/>
                <w:sz w:val="19"/>
                <w:szCs w:val="19"/>
              </w:rPr>
              <w:br/>
            </w:r>
            <w:r>
              <w:rPr>
                <w:color w:val="000000"/>
                <w:sz w:val="19"/>
                <w:szCs w:val="19"/>
              </w:rPr>
              <w:t xml:space="preserve">2010 года (далее – Методика). Указанное привело к занижению прогнозируемых объемов бюджетных ассигнований и необходимости выделения Отделению Фонда по г. Москве и МО в течение финансового года дополнительных бюджетных ассигнований. </w:t>
            </w:r>
            <w:r>
              <w:rPr>
                <w:color w:val="000000"/>
                <w:sz w:val="19"/>
                <w:szCs w:val="19"/>
              </w:rPr>
              <w:br/>
              <w:t xml:space="preserve">Так, согласно Методике объем прогнозируемых средств на ФОПМ на </w:t>
            </w:r>
            <w:r w:rsidR="00E075CE">
              <w:rPr>
                <w:color w:val="000000"/>
                <w:sz w:val="19"/>
                <w:szCs w:val="19"/>
              </w:rPr>
              <w:br/>
            </w:r>
            <w:r>
              <w:rPr>
                <w:color w:val="000000"/>
                <w:sz w:val="19"/>
                <w:szCs w:val="19"/>
              </w:rPr>
              <w:t xml:space="preserve">2022 год составил 3 593 330,60 тыс. рублей, фактически Отделением Фонда </w:t>
            </w:r>
            <w:r w:rsidR="00865777">
              <w:rPr>
                <w:color w:val="000000"/>
                <w:sz w:val="19"/>
                <w:szCs w:val="19"/>
              </w:rPr>
              <w:br/>
            </w:r>
            <w:r>
              <w:rPr>
                <w:color w:val="000000"/>
                <w:sz w:val="19"/>
                <w:szCs w:val="19"/>
              </w:rPr>
              <w:t xml:space="preserve">по г. Москве и МО с учетом региональных особенностей в Фонд социального страхования Российской Федерации направлена заявка на сумму 2 543 109,80 тыс. рублей, что в 1,4 раза меньше объема средств, рассчитанного в соответствии с Методикой. В целях реализации Федерального закона от 6 декабря 2021 г. № 393-ФЗ «О бюджете Фонда социального страхования Российской Федерации на 2022 год и на плановый период 2023 и </w:t>
            </w:r>
            <w:r w:rsidR="00E075CE">
              <w:rPr>
                <w:color w:val="000000"/>
                <w:sz w:val="19"/>
                <w:szCs w:val="19"/>
              </w:rPr>
              <w:br/>
            </w:r>
            <w:r>
              <w:rPr>
                <w:color w:val="000000"/>
                <w:sz w:val="19"/>
                <w:szCs w:val="19"/>
              </w:rPr>
              <w:t xml:space="preserve">2024 годов» постановлением Фонда социального страхования Российской Федерации от 22 декабря 2021 г. № 42 утверждена внутриведомственная </w:t>
            </w:r>
            <w:r>
              <w:rPr>
                <w:color w:val="000000"/>
                <w:sz w:val="19"/>
                <w:szCs w:val="19"/>
              </w:rPr>
              <w:lastRenderedPageBreak/>
              <w:t>бюджетная роспись расходов бюджета Отделения Фонда по г. Москве и МО на 2022 год в объеме 2 543 109,80 тыс. рублей.</w:t>
            </w:r>
            <w:r>
              <w:rPr>
                <w:color w:val="000000"/>
                <w:sz w:val="19"/>
                <w:szCs w:val="19"/>
              </w:rPr>
              <w:br/>
              <w:t xml:space="preserve">Объем прогнозируемых средств на ФОПМ на 2023 год соответственно составил </w:t>
            </w:r>
            <w:r w:rsidR="00E075CE">
              <w:rPr>
                <w:color w:val="000000"/>
                <w:sz w:val="19"/>
                <w:szCs w:val="19"/>
              </w:rPr>
              <w:br/>
            </w:r>
            <w:r>
              <w:rPr>
                <w:color w:val="000000"/>
                <w:sz w:val="19"/>
                <w:szCs w:val="19"/>
              </w:rPr>
              <w:t xml:space="preserve">4 805 436,80 тыс. рублей и </w:t>
            </w:r>
            <w:r w:rsidR="00E075CE">
              <w:rPr>
                <w:color w:val="000000"/>
                <w:sz w:val="19"/>
                <w:szCs w:val="19"/>
              </w:rPr>
              <w:br/>
            </w:r>
            <w:r>
              <w:rPr>
                <w:color w:val="000000"/>
                <w:sz w:val="19"/>
                <w:szCs w:val="19"/>
              </w:rPr>
              <w:t xml:space="preserve">2 677 184,40 тыс. рублей, что в 1,8 раза меньше объема средств, рассчитанного в соответствии с Методикой. В целях реализации Федерального закона от 5 декабря 2022 г. № 467-ФЗ «О бюджете Фонда пенсионного и социального страхования Российской Федерации на 2023 год и на плановый период 2024 и </w:t>
            </w:r>
            <w:r w:rsidR="00E075CE">
              <w:rPr>
                <w:color w:val="000000"/>
                <w:sz w:val="19"/>
                <w:szCs w:val="19"/>
              </w:rPr>
              <w:br/>
            </w:r>
            <w:r>
              <w:rPr>
                <w:color w:val="000000"/>
                <w:sz w:val="19"/>
                <w:szCs w:val="19"/>
              </w:rPr>
              <w:t xml:space="preserve">2025 годов» приказом Фонда от 29 декабря 2022 г. № 22 утверждена внутриведомственная бюджетная роспись расходов бюджета Отделения Фонда </w:t>
            </w:r>
            <w:r w:rsidR="00865777">
              <w:rPr>
                <w:color w:val="000000"/>
                <w:sz w:val="19"/>
                <w:szCs w:val="19"/>
              </w:rPr>
              <w:br/>
            </w:r>
            <w:r>
              <w:rPr>
                <w:color w:val="000000"/>
                <w:sz w:val="19"/>
                <w:szCs w:val="19"/>
              </w:rPr>
              <w:t xml:space="preserve">по г. Москве и МО на 2023 год в объеме </w:t>
            </w:r>
            <w:r w:rsidR="00865777">
              <w:rPr>
                <w:color w:val="000000"/>
                <w:sz w:val="19"/>
                <w:szCs w:val="19"/>
              </w:rPr>
              <w:br/>
            </w:r>
            <w:r>
              <w:rPr>
                <w:color w:val="000000"/>
                <w:sz w:val="19"/>
                <w:szCs w:val="19"/>
              </w:rPr>
              <w:t>2 677 184,40 тыс. рублей.</w:t>
            </w:r>
            <w:r>
              <w:rPr>
                <w:color w:val="000000"/>
                <w:sz w:val="19"/>
                <w:szCs w:val="19"/>
              </w:rPr>
              <w:br/>
              <w:t>Кассовые расходы за 2022 и 2023 годы превысили прогнозируемый объем бюджетных ассигнований, доведенный до Отделения Фонда по г. Москве и МО внутриведомственной бюджетной росписью на 2022 и 2023 годы, на 6,9 % и 5,2 % соответственно.</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Г. МОСКВЕ И МОСКОВСКОЙ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26.12</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2406703734. Выявлен факт принятия Отделением Фонда по г. Москве и МО решения об отказе в ФОПМ в отношении Богородского филиала АО «Научно-производственное объединение «Прибор» имени С.С. </w:t>
            </w:r>
            <w:proofErr w:type="spellStart"/>
            <w:r>
              <w:rPr>
                <w:color w:val="000000"/>
                <w:sz w:val="19"/>
                <w:szCs w:val="19"/>
              </w:rPr>
              <w:t>Голембиовского</w:t>
            </w:r>
            <w:proofErr w:type="spellEnd"/>
            <w:r>
              <w:rPr>
                <w:color w:val="000000"/>
                <w:sz w:val="19"/>
                <w:szCs w:val="19"/>
              </w:rPr>
              <w:t xml:space="preserve">» в связи с наличием у страхователя недоимки по уплате страховых взносов, не погашенных на день подачи заявления о финансовом обеспечении (приказ Отделения Фонда по г. Москве и МО от 27 июля 2023 г. </w:t>
            </w:r>
            <w:r w:rsidR="00865777">
              <w:rPr>
                <w:color w:val="000000"/>
                <w:sz w:val="19"/>
                <w:szCs w:val="19"/>
              </w:rPr>
              <w:br/>
            </w:r>
            <w:r>
              <w:rPr>
                <w:color w:val="000000"/>
                <w:sz w:val="19"/>
                <w:szCs w:val="19"/>
              </w:rPr>
              <w:t>№ 3486-Ф), при этом на дату подачи заявлений о ФОПМ у страхователей имелась переплата по страховым взносам.</w:t>
            </w:r>
            <w:r>
              <w:rPr>
                <w:color w:val="000000"/>
                <w:sz w:val="19"/>
                <w:szCs w:val="19"/>
              </w:rPr>
              <w:br/>
              <w:t xml:space="preserve">Так, на дату подачи заявления о ФОПМ </w:t>
            </w:r>
            <w:r w:rsidR="00865777">
              <w:rPr>
                <w:color w:val="000000"/>
                <w:sz w:val="19"/>
                <w:szCs w:val="19"/>
              </w:rPr>
              <w:br/>
            </w:r>
            <w:r>
              <w:rPr>
                <w:color w:val="000000"/>
                <w:sz w:val="19"/>
                <w:szCs w:val="19"/>
              </w:rPr>
              <w:t xml:space="preserve">(25 июля 2023 года) за акционерным обществом «Научно-производственное </w:t>
            </w:r>
            <w:r>
              <w:rPr>
                <w:color w:val="000000"/>
                <w:sz w:val="19"/>
                <w:szCs w:val="19"/>
              </w:rPr>
              <w:lastRenderedPageBreak/>
              <w:t xml:space="preserve">объединение «Прибор» имени С.С. </w:t>
            </w:r>
            <w:proofErr w:type="spellStart"/>
            <w:r>
              <w:rPr>
                <w:color w:val="000000"/>
                <w:sz w:val="19"/>
                <w:szCs w:val="19"/>
              </w:rPr>
              <w:t>Голембиовского</w:t>
            </w:r>
            <w:proofErr w:type="spellEnd"/>
            <w:r>
              <w:rPr>
                <w:color w:val="000000"/>
                <w:sz w:val="19"/>
                <w:szCs w:val="19"/>
              </w:rPr>
              <w:t xml:space="preserve">» числилась недоимка по уплаченным страховым взносам в сумме 5,0 тыс. рублей, что подтверждается справкой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 от 25 июля 2023 г. </w:t>
            </w:r>
            <w:r w:rsidR="00865777">
              <w:rPr>
                <w:color w:val="000000"/>
                <w:sz w:val="19"/>
                <w:szCs w:val="19"/>
              </w:rPr>
              <w:br/>
            </w:r>
            <w:r>
              <w:rPr>
                <w:color w:val="000000"/>
                <w:sz w:val="19"/>
                <w:szCs w:val="19"/>
              </w:rPr>
              <w:t xml:space="preserve">№ 500023009169 и служебной запиской Управления проверок организаций Отделения Фонда по г. Москве и МО </w:t>
            </w:r>
            <w:r w:rsidR="00865777">
              <w:rPr>
                <w:color w:val="000000"/>
                <w:sz w:val="19"/>
                <w:szCs w:val="19"/>
              </w:rPr>
              <w:br/>
            </w:r>
            <w:r>
              <w:rPr>
                <w:color w:val="000000"/>
                <w:sz w:val="19"/>
                <w:szCs w:val="19"/>
              </w:rPr>
              <w:t xml:space="preserve">от 26 июля 2023 г. № 11/17999. </w:t>
            </w:r>
            <w:r>
              <w:rPr>
                <w:color w:val="000000"/>
                <w:sz w:val="19"/>
                <w:szCs w:val="19"/>
              </w:rPr>
              <w:br/>
              <w:t>Одновременно в вышеуказанной справке и справке отдела администрирования страховых взносов у страхователя по состоянию на 25 июля 2023 года числилась переплата по уплаченным страховым взносам в размере 4 065,7 тыс. рублей.</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НИЖЕГОРОДСКОЙ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Методика расчета распределения 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утвержденная председателем Фонда социального страхования Российской Федерации от 12 октября 2010 года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2490509588. Отделением Фонда по Нижегородской области расчет объема средств на ФОПМ на очередной финансовый год и плановый период осуществлялся с учетом региональных особенностей (исходя из ожидаемых расходов страхователей, ежегодно направляющих средства на ФОПМ), что не соответствует формуле определения территориальными органами Фонда объема запрашиваемых средств, предусмотренной Методикой расчета распределения 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утвержденной председателем Фонда социального страхования Российской Федерации от 12 октября </w:t>
            </w:r>
            <w:r w:rsidR="00E075CE">
              <w:rPr>
                <w:color w:val="000000"/>
                <w:sz w:val="19"/>
                <w:szCs w:val="19"/>
              </w:rPr>
              <w:br/>
            </w:r>
            <w:r>
              <w:rPr>
                <w:color w:val="000000"/>
                <w:sz w:val="19"/>
                <w:szCs w:val="19"/>
              </w:rPr>
              <w:t xml:space="preserve">2010 года. Указанное привело к занижению прогнозируемых объемов бюджетных ассигнований и необходимости выделения Отделению Фонда по Нижегородской </w:t>
            </w:r>
            <w:r>
              <w:rPr>
                <w:color w:val="000000"/>
                <w:sz w:val="19"/>
                <w:szCs w:val="19"/>
              </w:rPr>
              <w:lastRenderedPageBreak/>
              <w:t xml:space="preserve">области в течение финансового года дополнительных бюджетных ассигнований. </w:t>
            </w:r>
            <w:r>
              <w:rPr>
                <w:color w:val="000000"/>
                <w:sz w:val="19"/>
                <w:szCs w:val="19"/>
              </w:rPr>
              <w:br/>
              <w:t xml:space="preserve">Так, согласно Методике объем прогнозируемых средств на ФОПМ на </w:t>
            </w:r>
            <w:r w:rsidR="00E075CE">
              <w:rPr>
                <w:color w:val="000000"/>
                <w:sz w:val="19"/>
                <w:szCs w:val="19"/>
              </w:rPr>
              <w:br/>
            </w:r>
            <w:r>
              <w:rPr>
                <w:color w:val="000000"/>
                <w:sz w:val="19"/>
                <w:szCs w:val="19"/>
              </w:rPr>
              <w:t xml:space="preserve">2022 год составил 633 079,70 тыс. рублей, фактически Отделением Фонда по Нижегородской области с учетом региональных особенностей в Фонд направлена заявка на сумму 585 000,0 тыс. рублей, что на 7,6 % меньше объема, рассчитанного в соответствии с Методикой. В целях реализации Федерального закона от 6 декабря 2021 г. № 393-ФЗ «О бюджете Фонда социального страхования Российской Федерации на 2022 год и на плановый период 2023 и </w:t>
            </w:r>
            <w:r w:rsidR="00E075CE">
              <w:rPr>
                <w:color w:val="000000"/>
                <w:sz w:val="19"/>
                <w:szCs w:val="19"/>
              </w:rPr>
              <w:br/>
            </w:r>
            <w:r>
              <w:rPr>
                <w:color w:val="000000"/>
                <w:sz w:val="19"/>
                <w:szCs w:val="19"/>
              </w:rPr>
              <w:t xml:space="preserve">2024 годов» постановлением Фонда социального страхования Российской Федерации от 22 декабря 2021 г. № 42 утверждена внутриведомственная бюджетная роспись расходов бюджета Отделения Фонда по Нижегородской области на 2022 год </w:t>
            </w:r>
            <w:r w:rsidR="00E075CE">
              <w:rPr>
                <w:color w:val="000000"/>
                <w:sz w:val="19"/>
                <w:szCs w:val="19"/>
              </w:rPr>
              <w:br/>
            </w:r>
            <w:r>
              <w:rPr>
                <w:color w:val="000000"/>
                <w:sz w:val="19"/>
                <w:szCs w:val="19"/>
              </w:rPr>
              <w:t>в объеме 590 000,0 тыс. рублей.</w:t>
            </w:r>
            <w:r>
              <w:rPr>
                <w:color w:val="000000"/>
                <w:sz w:val="19"/>
                <w:szCs w:val="19"/>
              </w:rPr>
              <w:br/>
              <w:t xml:space="preserve">Объем прогнозируемых средств на ФОПМ на 2023 год соответственно составил </w:t>
            </w:r>
            <w:r w:rsidR="00E075CE">
              <w:rPr>
                <w:color w:val="000000"/>
                <w:sz w:val="19"/>
                <w:szCs w:val="19"/>
              </w:rPr>
              <w:br/>
            </w:r>
            <w:r>
              <w:rPr>
                <w:color w:val="000000"/>
                <w:sz w:val="19"/>
                <w:szCs w:val="19"/>
              </w:rPr>
              <w:t>764 870,50 тыс. рублей и 613 600,0 тыс. рублей, что на 19,8 % меньше объема, рассчитанного в соответствии с Методикой. В целях реализации Федерального закона от 5 декабря 2022 г. № 467-ФЗ «О бюджете Фонда пенсионного и социального страхования Российской Федерации на 2023 год и на плановый период 2024 и 2025 годов» приказом СФР от 29 декабря 2022 г. № 22 утверждена внутриведомственная бюджетная роспись расходов бюджета Отделения Фонда по Нижегородской области на 2023 год в объеме 650 000,0 тыс. рублей.</w:t>
            </w:r>
            <w:r>
              <w:rPr>
                <w:color w:val="000000"/>
                <w:sz w:val="19"/>
                <w:szCs w:val="19"/>
              </w:rPr>
              <w:br/>
              <w:t xml:space="preserve">Кассовые расходы за 2022 и 2023 годы превысили прогнозируемый объем бюджетных ассигнований, доведенный до Отделения Фонда по Нижегородской </w:t>
            </w:r>
            <w:r>
              <w:rPr>
                <w:color w:val="000000"/>
                <w:sz w:val="19"/>
                <w:szCs w:val="19"/>
              </w:rPr>
              <w:lastRenderedPageBreak/>
              <w:t>области внутриведомственной бюджетной росписью на 2022 и 2023 годы, на 0,4 % и 1,6 % соответственно.</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НИЖЕГОРОДСКОЙ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26.12</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2482064578. Выявлены факты принятия Отделением Фонда по Нижегородской области решений об отказе в ФОПМ (приказы Отделения Фонда по Нижегородской области от 4 августа </w:t>
            </w:r>
            <w:r w:rsidR="00E075CE">
              <w:rPr>
                <w:color w:val="000000"/>
                <w:sz w:val="19"/>
                <w:szCs w:val="19"/>
              </w:rPr>
              <w:br/>
            </w:r>
            <w:r>
              <w:rPr>
                <w:color w:val="000000"/>
                <w:sz w:val="19"/>
                <w:szCs w:val="19"/>
              </w:rPr>
              <w:t xml:space="preserve">2023 г. № 1465-Ф и № 1462-Ф) в отношении ГБУЗ Нижегородская областная «Городская клиническая больница № 30 Московского района </w:t>
            </w:r>
            <w:r w:rsidR="00E075CE">
              <w:rPr>
                <w:color w:val="000000"/>
                <w:sz w:val="19"/>
                <w:szCs w:val="19"/>
              </w:rPr>
              <w:br/>
            </w:r>
            <w:r>
              <w:rPr>
                <w:color w:val="000000"/>
                <w:sz w:val="19"/>
                <w:szCs w:val="19"/>
              </w:rPr>
              <w:t xml:space="preserve">г. Нижнего Новгорода» и общества с ограниченной ответственностью «Торговый центр «Арсенал ЛТД» в связи с наличием у страхователей недоимки по уплате страховых взносов, не погашенных на день подачи заявлений о ФОПМ, при этом на дату подачи заявлений о ФОПМ у страхователей имелась переплата по страховым взносам. Так, на дату подачи заявления о ФОПМ (31 июля 2023 года) за ГБУЗ Нижегородская областная «Городская клиническая больница № 30 Московского района г. Нижнего Новгорода» числились пени по страховым взносам в сумме 607,62 рубля, что подтверждается справкой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 от 31 июля 2023 г. </w:t>
            </w:r>
            <w:r w:rsidR="00E075CE">
              <w:rPr>
                <w:color w:val="000000"/>
                <w:sz w:val="19"/>
                <w:szCs w:val="19"/>
              </w:rPr>
              <w:br/>
            </w:r>
            <w:r>
              <w:rPr>
                <w:color w:val="000000"/>
                <w:sz w:val="19"/>
                <w:szCs w:val="19"/>
              </w:rPr>
              <w:t xml:space="preserve">№ 522623000267. Одновременно согласно указанной справке у страхователя по состоянию на 31 июля 2023 года выявлена переплата по уплаченным страховым взносам в размере 100 815,95 рубля. </w:t>
            </w:r>
            <w:r>
              <w:rPr>
                <w:color w:val="000000"/>
                <w:sz w:val="19"/>
                <w:szCs w:val="19"/>
              </w:rPr>
              <w:br/>
              <w:t xml:space="preserve">По состоянию на дату подачи заявления о ФОПМ (31 июля 2023 года) за ООО «Торговый центр «Арсенал ЛТД» числились пени по уплаченным страховым взносам в сумме 73,84 рубля, что подтверждается справкой о состоянии </w:t>
            </w:r>
            <w:r>
              <w:rPr>
                <w:color w:val="000000"/>
                <w:sz w:val="19"/>
                <w:szCs w:val="19"/>
              </w:rPr>
              <w:lastRenderedPageBreak/>
              <w:t xml:space="preserve">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 от 31 июля 2023 г. </w:t>
            </w:r>
            <w:r w:rsidR="00E075CE">
              <w:rPr>
                <w:color w:val="000000"/>
                <w:sz w:val="19"/>
                <w:szCs w:val="19"/>
              </w:rPr>
              <w:br/>
            </w:r>
            <w:r>
              <w:rPr>
                <w:color w:val="000000"/>
                <w:sz w:val="19"/>
                <w:szCs w:val="19"/>
              </w:rPr>
              <w:t>№ 522623000253. Одновременно согласно указанной справке у страхователя по состоянию на 31 июля 2023 года выявлена переплата по уплаченным страховым взносам в размере 7 540,34 рубля.</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ОТДЕЛЕНИЕ ФОНДА ПЕНСИОННОГО И СОЦИАЛЬНОГО СТРАХОВАНИЯ РОССИЙСКОЙ ФЕДЕРАЦИИ ПО АРХАНГЕЛЬСКОЙ 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Методика расчета распределения 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утвержденная председателем Фонда социального страхования Российской Федерации от 12 октября 2010 года</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2456582563. Отделением Фонда по Архангельской области и НАО расчет объема средств на ФОПМ на очередной финансовый год и плановый период определялся с учетом региональных особенностей (с учетом ожидаемых расходов страхователей, ежегодно направляющих средства на ФОПМ), что не соответствует формуле определения территориальными органами Фонда объема запрашиваемых средств, предусмотренной Методикой расчета распределения ассигнований территориальными органами Фонда на финансовое обеспечение предупредительных мер по сокращению производственного травматизма и профессиональных заболеваний работников, утвержденной председателем Фонда социального страхования Российской Федерации от 12 октября </w:t>
            </w:r>
            <w:r w:rsidR="00E075CE">
              <w:rPr>
                <w:color w:val="000000"/>
                <w:sz w:val="19"/>
                <w:szCs w:val="19"/>
              </w:rPr>
              <w:br/>
            </w:r>
            <w:r>
              <w:rPr>
                <w:color w:val="000000"/>
                <w:sz w:val="19"/>
                <w:szCs w:val="19"/>
              </w:rPr>
              <w:t xml:space="preserve">2010 года. Указанное привело к занижению прогнозируемых объемов бюджетных ассигнований и необходимости выделения Отделению Фонда по Архангельской области и НАО в течение финансового года дополнительных бюджетных ассигнований. </w:t>
            </w:r>
            <w:r>
              <w:rPr>
                <w:color w:val="000000"/>
                <w:sz w:val="19"/>
                <w:szCs w:val="19"/>
              </w:rPr>
              <w:br/>
              <w:t xml:space="preserve">Так, согласно Методике объем прогнозируемых средств на ФОПМ на </w:t>
            </w:r>
            <w:r w:rsidR="00E075CE">
              <w:rPr>
                <w:color w:val="000000"/>
                <w:sz w:val="19"/>
                <w:szCs w:val="19"/>
              </w:rPr>
              <w:br/>
            </w:r>
            <w:r>
              <w:rPr>
                <w:color w:val="000000"/>
                <w:sz w:val="19"/>
                <w:szCs w:val="19"/>
              </w:rPr>
              <w:t xml:space="preserve">2022 год составил 542 003,3 тыс. рублей, фактически Отделением Фонда по Архангельской области и НАО с учетом региональных особенностей в Фонд направлена заявка на сумму </w:t>
            </w:r>
            <w:r w:rsidR="00E075CE">
              <w:rPr>
                <w:color w:val="000000"/>
                <w:sz w:val="19"/>
                <w:szCs w:val="19"/>
              </w:rPr>
              <w:br/>
            </w:r>
            <w:r>
              <w:rPr>
                <w:color w:val="000000"/>
                <w:sz w:val="19"/>
                <w:szCs w:val="19"/>
              </w:rPr>
              <w:t xml:space="preserve">434 212,70 тыс. рублей, что на 19,1 % </w:t>
            </w:r>
            <w:r>
              <w:rPr>
                <w:color w:val="000000"/>
                <w:sz w:val="19"/>
                <w:szCs w:val="19"/>
              </w:rPr>
              <w:lastRenderedPageBreak/>
              <w:t xml:space="preserve">меньше объема, рассчитанного в соответствии с Методикой. В целях реализации Федерального закона от 6 декабря 2021 г. № 393-ФЗ «О бюджете Фонда социального страхования Российской Федерации на 2022 год и на плановый период 2023 и 2024 годов» постановлением Фонда социального страхования Российской Федерации </w:t>
            </w:r>
            <w:r w:rsidR="00E075CE">
              <w:rPr>
                <w:color w:val="000000"/>
                <w:sz w:val="19"/>
                <w:szCs w:val="19"/>
              </w:rPr>
              <w:br/>
            </w:r>
            <w:r>
              <w:rPr>
                <w:color w:val="000000"/>
                <w:sz w:val="19"/>
                <w:szCs w:val="19"/>
              </w:rPr>
              <w:t>от 22 декабря 2021 г. № 42 утверждена внутриведомственная бюджетная роспись расходов бюджета Отделения Фонда по Архангельской области и НАО на 2022 год в объеме 434 212,70 тыс. рублей.</w:t>
            </w:r>
            <w:r>
              <w:rPr>
                <w:color w:val="000000"/>
                <w:sz w:val="19"/>
                <w:szCs w:val="19"/>
              </w:rPr>
              <w:br/>
              <w:t xml:space="preserve">Объем прогнозируемых средств на ФОПМ на 2023 год соответственно составил </w:t>
            </w:r>
            <w:r w:rsidR="00E075CE">
              <w:rPr>
                <w:color w:val="000000"/>
                <w:sz w:val="19"/>
                <w:szCs w:val="19"/>
              </w:rPr>
              <w:br/>
            </w:r>
            <w:r>
              <w:rPr>
                <w:color w:val="000000"/>
                <w:sz w:val="19"/>
                <w:szCs w:val="19"/>
              </w:rPr>
              <w:t>667 600,5 тыс. рублей и 501 212,7 тыс. рублей, что на 24,9 % меньше объема, рассчитанного в соответствии с Методикой. В целях реализации Федерального закона от 5 декабря 2022 г. № 467-ФЗ «О бюджете Фонда пенсионного и социального страхования Российской Федерации на 2023 год и на плановый период 2024 и 2025 годов» приказом Фонда от 29 декабря 2022 г. № 22 утверждена внутриведомственная бюджетная роспись расходов бюджета Отделения Фонда по Архангельской области и НАО на 2023 год в объеме 465 699,0 тыс. рублей.</w:t>
            </w:r>
            <w:r>
              <w:rPr>
                <w:color w:val="000000"/>
                <w:sz w:val="19"/>
                <w:szCs w:val="19"/>
              </w:rPr>
              <w:br/>
              <w:t>Кассовые расходы за 2022–2023 годы превысили прогнозируемый объем бюджетных ассигнований, доведенный до Отделения Фонда по Архангельской области и НАО внутриведомственной бюджетной росписью на 2022 и 2023 годы, на 10,7 % и 6,8 % соответственно.</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c>
          <w:tcPr>
            <w:tcW w:w="2040" w:type="dxa"/>
            <w:gridSpan w:val="4"/>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 xml:space="preserve">ОТДЕЛЕНИЕ ФОНДА ПЕНСИОННОГО И СОЦИАЛЬНОГО СТРАХОВАНИЯ РОССИЙСКОЙ ФЕДЕРАЦИИ ПО АРХАНГЕЛЬСКОЙ </w:t>
            </w:r>
            <w:r>
              <w:rPr>
                <w:color w:val="000000"/>
                <w:sz w:val="19"/>
                <w:szCs w:val="19"/>
              </w:rPr>
              <w:lastRenderedPageBreak/>
              <w:t>ОБЛАСТИ И НЕНЕЦКОМУ АВТОНОМНОМУ ОКРУГУ</w:t>
            </w:r>
          </w:p>
        </w:tc>
        <w:tc>
          <w:tcPr>
            <w:tcW w:w="2040"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ФОНД ПЕНСИОННОГО И СОЦИАЛЬНОГО СТРАХОВАНИЯ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Федеральный закон от 24.07.1998 № 125-ФЗ "Об обязательном социальном страховании от несчастных случаев на производстве и профессиональных заболеваний", статья 26.12</w:t>
            </w:r>
          </w:p>
        </w:tc>
        <w:tc>
          <w:tcPr>
            <w:tcW w:w="2265" w:type="dxa"/>
            <w:gridSpan w:val="2"/>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t xml:space="preserve">2446870997. Выявлены факты принятия Отделением Фонда по Архангельской области и НАО решений об отказе в ФОПМ в отношении 12 страхователей на общую сумму 167 389,56 тыс. рублей в связи с наличием у страхователей недоимки по уплате страховых взносов, </w:t>
            </w:r>
            <w:r>
              <w:rPr>
                <w:color w:val="000000"/>
                <w:sz w:val="19"/>
                <w:szCs w:val="19"/>
              </w:rPr>
              <w:lastRenderedPageBreak/>
              <w:t xml:space="preserve">пени и штрафа, не погашенных на день подачи заявлений о финансовом обеспечении предупредительных мер, при этом на дату подачи заявлений о ФОПМ у страхователей имелась </w:t>
            </w:r>
            <w:r w:rsidR="00865777">
              <w:rPr>
                <w:color w:val="000000"/>
                <w:sz w:val="19"/>
                <w:szCs w:val="19"/>
              </w:rPr>
              <w:t xml:space="preserve">переплата по страховым взносам. </w:t>
            </w:r>
            <w:r>
              <w:rPr>
                <w:color w:val="000000"/>
                <w:sz w:val="19"/>
                <w:szCs w:val="19"/>
              </w:rPr>
              <w:t xml:space="preserve">Так, на дату подачи заявления о ФОПМ (7 июля 2023 года) за муниципальным автономным образовательным учреждением (далее – МАОУ) «Северодвинская гимназия № 14» числилась недоимка по уплате пени по страховым взносам в сумме 0,73 рубля, что подтверждается справкой о состоянии расчетов по страховым взносам, пеням и штрафам, и возмещению страхователем излишне понесенных расходов на выплату страхового обеспечения или обеспечения по страхованию от 7 июля 2023 г. </w:t>
            </w:r>
            <w:r w:rsidR="00E075CE">
              <w:rPr>
                <w:color w:val="000000"/>
                <w:sz w:val="19"/>
                <w:szCs w:val="19"/>
              </w:rPr>
              <w:br/>
            </w:r>
            <w:r>
              <w:rPr>
                <w:color w:val="000000"/>
                <w:sz w:val="19"/>
                <w:szCs w:val="19"/>
              </w:rPr>
              <w:t xml:space="preserve">№ 290023001562. Одновременно согласно указанной справке у страхователя по состоянию на 7 июля 2023 года выявлена переплата по уплаченным страховым взносам в размере 15 855,36 рубля. </w:t>
            </w:r>
            <w:r>
              <w:rPr>
                <w:color w:val="000000"/>
                <w:sz w:val="19"/>
                <w:szCs w:val="19"/>
              </w:rPr>
              <w:br/>
              <w:t>Аналогичная ситуация сложилась в отношении следующих страхователей: МАОУ «Средняя общеобразовательная школа № 23», государственного бюджетного учреждения здравоохранения Архангельской области «</w:t>
            </w:r>
            <w:proofErr w:type="spellStart"/>
            <w:r>
              <w:rPr>
                <w:color w:val="000000"/>
                <w:sz w:val="19"/>
                <w:szCs w:val="19"/>
              </w:rPr>
              <w:t>Лешуковская</w:t>
            </w:r>
            <w:proofErr w:type="spellEnd"/>
            <w:r>
              <w:rPr>
                <w:color w:val="000000"/>
                <w:sz w:val="19"/>
                <w:szCs w:val="19"/>
              </w:rPr>
              <w:t xml:space="preserve"> центральная районная больница», акционерного общества «</w:t>
            </w:r>
            <w:proofErr w:type="spellStart"/>
            <w:r>
              <w:rPr>
                <w:color w:val="000000"/>
                <w:sz w:val="19"/>
                <w:szCs w:val="19"/>
              </w:rPr>
              <w:t>Архрыбсбыт</w:t>
            </w:r>
            <w:proofErr w:type="spellEnd"/>
            <w:r>
              <w:rPr>
                <w:color w:val="000000"/>
                <w:sz w:val="19"/>
                <w:szCs w:val="19"/>
              </w:rPr>
              <w:t xml:space="preserve">», местного автономного общеобразовательного учреждения «Средняя общеобразовательная школа </w:t>
            </w:r>
            <w:r w:rsidR="00865777">
              <w:rPr>
                <w:color w:val="000000"/>
                <w:sz w:val="19"/>
                <w:szCs w:val="19"/>
              </w:rPr>
              <w:br/>
            </w:r>
            <w:r>
              <w:rPr>
                <w:color w:val="000000"/>
                <w:sz w:val="19"/>
                <w:szCs w:val="19"/>
              </w:rPr>
              <w:t>№ 9», общества с ограниченной ответственностью (далее – ООО) «АСТАР», ООО «</w:t>
            </w:r>
            <w:proofErr w:type="spellStart"/>
            <w:r>
              <w:rPr>
                <w:color w:val="000000"/>
                <w:sz w:val="19"/>
                <w:szCs w:val="19"/>
              </w:rPr>
              <w:t>Верхнетоемское</w:t>
            </w:r>
            <w:proofErr w:type="spellEnd"/>
            <w:r>
              <w:rPr>
                <w:color w:val="000000"/>
                <w:sz w:val="19"/>
                <w:szCs w:val="19"/>
              </w:rPr>
              <w:t xml:space="preserve"> дорожное управление», муниципального бюджетного учреждения культуры «</w:t>
            </w:r>
            <w:proofErr w:type="spellStart"/>
            <w:r>
              <w:rPr>
                <w:color w:val="000000"/>
                <w:sz w:val="19"/>
                <w:szCs w:val="19"/>
              </w:rPr>
              <w:t>Вохтомский</w:t>
            </w:r>
            <w:proofErr w:type="spellEnd"/>
            <w:r>
              <w:rPr>
                <w:color w:val="000000"/>
                <w:sz w:val="19"/>
                <w:szCs w:val="19"/>
              </w:rPr>
              <w:t xml:space="preserve"> сельский дом культуры», частного учреждения здравоохранения «Поликлиника», «РЖД-Медицина» г. Котлас, муниципального унитарного предприятия «Городское благоустройство» </w:t>
            </w:r>
            <w:r>
              <w:rPr>
                <w:color w:val="000000"/>
                <w:sz w:val="19"/>
                <w:szCs w:val="19"/>
              </w:rPr>
              <w:lastRenderedPageBreak/>
              <w:t>городского округа «Город Архангельск», федерального казенного учреждения «Архангельская воспитательная колония управления Федеральной службы исполнения наказаний по Архангельской области», муниципального бюджетного дошкольного образовательного учреждения городского округа «Город Архангельск» «Детский сад общеразвивающего вида № 77 «Морошка».</w:t>
            </w:r>
          </w:p>
        </w:tc>
        <w:tc>
          <w:tcPr>
            <w:tcW w:w="1245" w:type="dxa"/>
            <w:tcBorders>
              <w:top w:val="single" w:sz="6" w:space="0" w:color="000000"/>
              <w:left w:val="single" w:sz="6" w:space="0" w:color="000000"/>
              <w:bottom w:val="single" w:sz="6" w:space="0" w:color="000000"/>
              <w:right w:val="single" w:sz="6" w:space="0" w:color="000000"/>
            </w:tcBorders>
          </w:tcPr>
          <w:p w:rsidR="00095E73" w:rsidRDefault="006F25D4">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095E73" w:rsidRDefault="00095E73">
            <w:pPr>
              <w:jc w:val="center"/>
              <w:rPr>
                <w:color w:val="000000"/>
                <w:sz w:val="19"/>
                <w:szCs w:val="19"/>
              </w:rPr>
            </w:pPr>
          </w:p>
        </w:tc>
      </w:tr>
      <w:tr w:rsidR="00095E73">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095E73" w:rsidRDefault="006F25D4">
            <w:pPr>
              <w:ind w:right="113"/>
              <w:jc w:val="right"/>
              <w:rPr>
                <w:b/>
                <w:bCs/>
                <w:color w:val="000000"/>
                <w:sz w:val="19"/>
                <w:szCs w:val="19"/>
              </w:rPr>
            </w:pPr>
            <w:r>
              <w:rPr>
                <w:b/>
                <w:bCs/>
                <w:color w:val="000000"/>
                <w:sz w:val="19"/>
                <w:szCs w:val="19"/>
              </w:rPr>
              <w:lastRenderedPageBreak/>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b/>
                <w:bCs/>
                <w:color w:val="000000"/>
                <w:sz w:val="19"/>
                <w:szCs w:val="19"/>
              </w:rPr>
            </w:pPr>
            <w:r>
              <w:rPr>
                <w:b/>
                <w:bCs/>
                <w:color w:val="000000"/>
                <w:sz w:val="19"/>
                <w:szCs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095E73" w:rsidRDefault="00095E73">
            <w:pPr>
              <w:jc w:val="center"/>
              <w:rPr>
                <w:b/>
                <w:bCs/>
                <w:color w:val="000000"/>
                <w:sz w:val="19"/>
                <w:szCs w:val="19"/>
              </w:rPr>
            </w:pPr>
          </w:p>
        </w:tc>
      </w:tr>
      <w:tr w:rsidR="00095E7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095E73" w:rsidRDefault="006F25D4">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095E73">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095E73" w:rsidRDefault="006F25D4">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095E73">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095E73" w:rsidRDefault="006F25D4">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095E73">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095E73" w:rsidRDefault="006F25D4">
            <w:pPr>
              <w:ind w:right="113"/>
              <w:jc w:val="right"/>
              <w:rPr>
                <w:b/>
                <w:bCs/>
                <w:color w:val="000000"/>
                <w:sz w:val="19"/>
                <w:szCs w:val="19"/>
              </w:rPr>
            </w:pPr>
            <w:r>
              <w:rPr>
                <w:b/>
                <w:bCs/>
                <w:color w:val="000000"/>
                <w:sz w:val="19"/>
                <w:szCs w:val="19"/>
              </w:rPr>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095E73" w:rsidRDefault="006F25D4">
            <w:pPr>
              <w:jc w:val="center"/>
              <w:rPr>
                <w:b/>
                <w:bCs/>
                <w:color w:val="000000"/>
                <w:sz w:val="19"/>
                <w:szCs w:val="19"/>
              </w:rPr>
            </w:pPr>
            <w:r>
              <w:rPr>
                <w:b/>
                <w:bCs/>
                <w:color w:val="000000"/>
                <w:sz w:val="19"/>
                <w:szCs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095E73" w:rsidRDefault="00095E73">
            <w:pPr>
              <w:jc w:val="center"/>
              <w:rPr>
                <w:b/>
                <w:bCs/>
                <w:color w:val="000000"/>
                <w:sz w:val="19"/>
                <w:szCs w:val="19"/>
              </w:rPr>
            </w:pPr>
          </w:p>
        </w:tc>
      </w:tr>
      <w:tr w:rsidR="00095E73">
        <w:trPr>
          <w:trHeight w:hRule="exact" w:val="1080"/>
        </w:trPr>
        <w:tc>
          <w:tcPr>
            <w:tcW w:w="8340" w:type="dxa"/>
            <w:gridSpan w:val="9"/>
            <w:tcBorders>
              <w:top w:val="nil"/>
              <w:left w:val="nil"/>
              <w:bottom w:val="nil"/>
              <w:right w:val="nil"/>
            </w:tcBorders>
          </w:tcPr>
          <w:p w:rsidR="00095E73" w:rsidRDefault="00095E73">
            <w:pPr>
              <w:rPr>
                <w:rFonts w:cstheme="minorBidi"/>
                <w:sz w:val="1"/>
                <w:szCs w:val="1"/>
              </w:rPr>
            </w:pPr>
          </w:p>
        </w:tc>
        <w:tc>
          <w:tcPr>
            <w:tcW w:w="2790" w:type="dxa"/>
            <w:gridSpan w:val="3"/>
            <w:tcBorders>
              <w:top w:val="nil"/>
              <w:left w:val="nil"/>
              <w:bottom w:val="nil"/>
              <w:right w:val="nil"/>
            </w:tcBorders>
          </w:tcPr>
          <w:p w:rsidR="00095E73" w:rsidRDefault="00095E73">
            <w:pPr>
              <w:rPr>
                <w:rFonts w:cstheme="minorBidi"/>
                <w:sz w:val="1"/>
                <w:szCs w:val="1"/>
              </w:rPr>
            </w:pPr>
          </w:p>
        </w:tc>
        <w:tc>
          <w:tcPr>
            <w:tcW w:w="4005" w:type="dxa"/>
            <w:gridSpan w:val="6"/>
            <w:tcBorders>
              <w:top w:val="nil"/>
              <w:left w:val="nil"/>
              <w:bottom w:val="nil"/>
              <w:right w:val="nil"/>
            </w:tcBorders>
          </w:tcPr>
          <w:p w:rsidR="00095E73" w:rsidRDefault="00095E73">
            <w:pPr>
              <w:rPr>
                <w:rFonts w:cstheme="minorBidi"/>
                <w:sz w:val="1"/>
                <w:szCs w:val="1"/>
              </w:rPr>
            </w:pPr>
          </w:p>
        </w:tc>
      </w:tr>
      <w:tr w:rsidR="00095E73">
        <w:trPr>
          <w:trHeight w:val="345"/>
        </w:trPr>
        <w:tc>
          <w:tcPr>
            <w:tcW w:w="8340" w:type="dxa"/>
            <w:gridSpan w:val="9"/>
            <w:tcBorders>
              <w:top w:val="nil"/>
              <w:left w:val="nil"/>
              <w:bottom w:val="nil"/>
              <w:right w:val="nil"/>
            </w:tcBorders>
            <w:vAlign w:val="bottom"/>
          </w:tcPr>
          <w:p w:rsidR="00095E73" w:rsidRDefault="00095E73">
            <w:pPr>
              <w:jc w:val="right"/>
              <w:rPr>
                <w:color w:val="000000"/>
                <w:sz w:val="28"/>
                <w:szCs w:val="28"/>
              </w:rPr>
            </w:pPr>
            <w:bookmarkStart w:id="0" w:name="_GoBack"/>
            <w:bookmarkEnd w:id="0"/>
          </w:p>
        </w:tc>
        <w:tc>
          <w:tcPr>
            <w:tcW w:w="2790" w:type="dxa"/>
            <w:gridSpan w:val="3"/>
            <w:tcBorders>
              <w:top w:val="nil"/>
              <w:left w:val="nil"/>
              <w:bottom w:val="nil"/>
              <w:right w:val="nil"/>
            </w:tcBorders>
            <w:vAlign w:val="bottom"/>
          </w:tcPr>
          <w:p w:rsidR="00095E73" w:rsidRDefault="00095E73">
            <w:pPr>
              <w:ind w:right="45"/>
              <w:jc w:val="right"/>
              <w:rPr>
                <w:color w:val="000000"/>
                <w:sz w:val="28"/>
                <w:szCs w:val="28"/>
              </w:rPr>
            </w:pPr>
          </w:p>
        </w:tc>
        <w:tc>
          <w:tcPr>
            <w:tcW w:w="4005" w:type="dxa"/>
            <w:gridSpan w:val="6"/>
            <w:tcBorders>
              <w:top w:val="nil"/>
              <w:left w:val="nil"/>
              <w:bottom w:val="nil"/>
              <w:right w:val="nil"/>
            </w:tcBorders>
            <w:vAlign w:val="bottom"/>
          </w:tcPr>
          <w:p w:rsidR="00095E73" w:rsidRDefault="00095E73">
            <w:pPr>
              <w:rPr>
                <w:color w:val="000000"/>
                <w:sz w:val="28"/>
                <w:szCs w:val="28"/>
              </w:rPr>
            </w:pPr>
          </w:p>
        </w:tc>
      </w:tr>
      <w:tr w:rsidR="00095E73">
        <w:trPr>
          <w:trHeight w:hRule="exact" w:val="690"/>
        </w:trPr>
        <w:tc>
          <w:tcPr>
            <w:tcW w:w="30" w:type="dxa"/>
            <w:tcBorders>
              <w:top w:val="nil"/>
              <w:left w:val="nil"/>
              <w:bottom w:val="nil"/>
              <w:right w:val="nil"/>
            </w:tcBorders>
          </w:tcPr>
          <w:p w:rsidR="00095E73" w:rsidRDefault="00095E73">
            <w:pPr>
              <w:rPr>
                <w:rFonts w:cstheme="minorBidi"/>
                <w:sz w:val="1"/>
                <w:szCs w:val="1"/>
              </w:rPr>
            </w:pPr>
          </w:p>
        </w:tc>
        <w:tc>
          <w:tcPr>
            <w:tcW w:w="150" w:type="dxa"/>
            <w:tcBorders>
              <w:top w:val="nil"/>
              <w:left w:val="nil"/>
              <w:bottom w:val="nil"/>
              <w:right w:val="nil"/>
            </w:tcBorders>
          </w:tcPr>
          <w:p w:rsidR="00095E73" w:rsidRDefault="00095E73">
            <w:pPr>
              <w:rPr>
                <w:rFonts w:cstheme="minorBidi"/>
                <w:sz w:val="1"/>
                <w:szCs w:val="1"/>
              </w:rPr>
            </w:pPr>
          </w:p>
        </w:tc>
        <w:tc>
          <w:tcPr>
            <w:tcW w:w="1305" w:type="dxa"/>
            <w:tcBorders>
              <w:top w:val="nil"/>
              <w:left w:val="nil"/>
              <w:bottom w:val="nil"/>
              <w:right w:val="nil"/>
            </w:tcBorders>
          </w:tcPr>
          <w:p w:rsidR="00095E73" w:rsidRDefault="00095E73">
            <w:pPr>
              <w:rPr>
                <w:rFonts w:cstheme="minorBidi"/>
                <w:sz w:val="1"/>
                <w:szCs w:val="1"/>
              </w:rPr>
            </w:pPr>
          </w:p>
        </w:tc>
        <w:tc>
          <w:tcPr>
            <w:tcW w:w="1005" w:type="dxa"/>
            <w:gridSpan w:val="2"/>
            <w:tcBorders>
              <w:top w:val="nil"/>
              <w:left w:val="nil"/>
              <w:bottom w:val="nil"/>
              <w:right w:val="nil"/>
            </w:tcBorders>
          </w:tcPr>
          <w:p w:rsidR="00095E73" w:rsidRDefault="00095E73">
            <w:pPr>
              <w:rPr>
                <w:rFonts w:cstheme="minorBidi"/>
                <w:sz w:val="1"/>
                <w:szCs w:val="1"/>
              </w:rPr>
            </w:pPr>
          </w:p>
        </w:tc>
        <w:tc>
          <w:tcPr>
            <w:tcW w:w="3405" w:type="dxa"/>
            <w:gridSpan w:val="2"/>
            <w:tcBorders>
              <w:top w:val="nil"/>
              <w:left w:val="nil"/>
              <w:bottom w:val="nil"/>
              <w:right w:val="nil"/>
            </w:tcBorders>
          </w:tcPr>
          <w:p w:rsidR="00095E73" w:rsidRDefault="00095E73">
            <w:pPr>
              <w:rPr>
                <w:rFonts w:cstheme="minorBidi"/>
                <w:sz w:val="1"/>
                <w:szCs w:val="1"/>
              </w:rPr>
            </w:pPr>
          </w:p>
        </w:tc>
        <w:tc>
          <w:tcPr>
            <w:tcW w:w="2745" w:type="dxa"/>
            <w:gridSpan w:val="4"/>
            <w:tcBorders>
              <w:top w:val="nil"/>
              <w:left w:val="nil"/>
              <w:bottom w:val="nil"/>
              <w:right w:val="nil"/>
            </w:tcBorders>
          </w:tcPr>
          <w:p w:rsidR="00095E73" w:rsidRDefault="00095E73">
            <w:pPr>
              <w:rPr>
                <w:rFonts w:cstheme="minorBidi"/>
                <w:sz w:val="1"/>
                <w:szCs w:val="1"/>
              </w:rPr>
            </w:pPr>
          </w:p>
        </w:tc>
        <w:tc>
          <w:tcPr>
            <w:tcW w:w="6315" w:type="dxa"/>
            <w:gridSpan w:val="4"/>
            <w:tcBorders>
              <w:top w:val="nil"/>
              <w:left w:val="nil"/>
              <w:bottom w:val="nil"/>
              <w:right w:val="nil"/>
            </w:tcBorders>
          </w:tcPr>
          <w:p w:rsidR="00095E73" w:rsidRDefault="00095E73">
            <w:pPr>
              <w:rPr>
                <w:rFonts w:cstheme="minorBidi"/>
                <w:sz w:val="1"/>
                <w:szCs w:val="1"/>
              </w:rPr>
            </w:pPr>
          </w:p>
        </w:tc>
        <w:tc>
          <w:tcPr>
            <w:tcW w:w="150" w:type="dxa"/>
            <w:tcBorders>
              <w:top w:val="nil"/>
              <w:left w:val="nil"/>
              <w:bottom w:val="nil"/>
              <w:right w:val="nil"/>
            </w:tcBorders>
          </w:tcPr>
          <w:p w:rsidR="00095E73" w:rsidRDefault="00095E73">
            <w:pPr>
              <w:rPr>
                <w:rFonts w:cstheme="minorBidi"/>
                <w:sz w:val="1"/>
                <w:szCs w:val="1"/>
              </w:rPr>
            </w:pPr>
          </w:p>
        </w:tc>
        <w:tc>
          <w:tcPr>
            <w:tcW w:w="30" w:type="dxa"/>
            <w:gridSpan w:val="2"/>
            <w:tcBorders>
              <w:top w:val="nil"/>
              <w:left w:val="nil"/>
              <w:bottom w:val="nil"/>
              <w:right w:val="nil"/>
            </w:tcBorders>
          </w:tcPr>
          <w:p w:rsidR="00095E73" w:rsidRDefault="00095E73">
            <w:pPr>
              <w:rPr>
                <w:rFonts w:cstheme="minorBidi"/>
                <w:sz w:val="1"/>
                <w:szCs w:val="1"/>
              </w:rPr>
            </w:pPr>
          </w:p>
        </w:tc>
      </w:tr>
    </w:tbl>
    <w:p w:rsidR="00095E73" w:rsidRDefault="00095E73"/>
    <w:sectPr w:rsidR="00095E73" w:rsidSect="00865777">
      <w:headerReference w:type="default" r:id="rId6"/>
      <w:footerReference w:type="default" r:id="rId7"/>
      <w:footerReference w:type="first" r:id="rId8"/>
      <w:pgSz w:w="16833" w:h="11908" w:orient="landscape"/>
      <w:pgMar w:top="993" w:right="566" w:bottom="1133" w:left="1133" w:header="0" w:footer="751"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445" w:rsidRDefault="00831445">
      <w:r>
        <w:separator/>
      </w:r>
    </w:p>
  </w:endnote>
  <w:endnote w:type="continuationSeparator" w:id="0">
    <w:p w:rsidR="00831445" w:rsidRDefault="0083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E73" w:rsidRDefault="00095E73">
    <w:pPr>
      <w:spacing w:after="160" w:line="258" w:lineRule="auto"/>
      <w:rPr>
        <w:rFonts w:cstheme="minorBidi"/>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E73" w:rsidRDefault="00095E73">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095E73">
      <w:trPr>
        <w:trHeight w:hRule="exact" w:val="405"/>
      </w:trPr>
      <w:tc>
        <w:tcPr>
          <w:tcW w:w="15135" w:type="dxa"/>
          <w:tcBorders>
            <w:top w:val="nil"/>
            <w:left w:val="nil"/>
            <w:bottom w:val="nil"/>
            <w:right w:val="nil"/>
          </w:tcBorders>
        </w:tcPr>
        <w:p w:rsidR="00095E73" w:rsidRDefault="006F25D4">
          <w:pPr>
            <w:spacing w:after="160" w:line="258" w:lineRule="auto"/>
            <w:rPr>
              <w:rFonts w:cstheme="minorBidi"/>
              <w:color w:val="000000"/>
              <w:sz w:val="24"/>
              <w:szCs w:val="24"/>
            </w:rPr>
          </w:pPr>
          <w:r>
            <w:rPr>
              <w:rFonts w:cstheme="minorBidi"/>
              <w:b/>
              <w:bCs/>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095E73" w:rsidRDefault="00095E7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445" w:rsidRDefault="00831445">
      <w:r>
        <w:separator/>
      </w:r>
    </w:p>
  </w:footnote>
  <w:footnote w:type="continuationSeparator" w:id="0">
    <w:p w:rsidR="00831445" w:rsidRDefault="00831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E73" w:rsidRDefault="00095E73">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095E73">
      <w:trPr>
        <w:trHeight w:hRule="exact" w:val="390"/>
      </w:trPr>
      <w:tc>
        <w:tcPr>
          <w:tcW w:w="9465" w:type="dxa"/>
          <w:tcBorders>
            <w:top w:val="nil"/>
            <w:left w:val="nil"/>
            <w:bottom w:val="nil"/>
            <w:right w:val="nil"/>
          </w:tcBorders>
        </w:tcPr>
        <w:p w:rsidR="00095E73" w:rsidRDefault="00095E73">
          <w:pPr>
            <w:rPr>
              <w:rFonts w:cstheme="minorBidi"/>
              <w:sz w:val="1"/>
              <w:szCs w:val="1"/>
            </w:rPr>
          </w:pPr>
        </w:p>
      </w:tc>
      <w:tc>
        <w:tcPr>
          <w:tcW w:w="5670" w:type="dxa"/>
          <w:tcBorders>
            <w:top w:val="nil"/>
            <w:left w:val="nil"/>
            <w:bottom w:val="nil"/>
            <w:right w:val="nil"/>
          </w:tcBorders>
          <w:vAlign w:val="center"/>
        </w:tcPr>
        <w:p w:rsidR="00095E73" w:rsidRDefault="00095E73">
          <w:pPr>
            <w:ind w:left="28" w:right="28"/>
            <w:jc w:val="right"/>
            <w:rPr>
              <w:color w:val="000000"/>
              <w:sz w:val="16"/>
              <w:szCs w:val="16"/>
            </w:rPr>
          </w:pPr>
        </w:p>
      </w:tc>
    </w:tr>
    <w:tr w:rsidR="00095E73">
      <w:trPr>
        <w:trHeight w:hRule="exact" w:val="345"/>
      </w:trPr>
      <w:tc>
        <w:tcPr>
          <w:tcW w:w="15135" w:type="dxa"/>
          <w:gridSpan w:val="2"/>
          <w:tcBorders>
            <w:top w:val="nil"/>
            <w:left w:val="nil"/>
            <w:bottom w:val="nil"/>
            <w:right w:val="nil"/>
          </w:tcBorders>
          <w:vAlign w:val="center"/>
        </w:tcPr>
        <w:p w:rsidR="00095E73" w:rsidRDefault="006F25D4">
          <w:pPr>
            <w:ind w:left="28" w:right="28"/>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E2CBE">
            <w:rPr>
              <w:noProof/>
              <w:color w:val="000000"/>
              <w:sz w:val="24"/>
              <w:szCs w:val="24"/>
            </w:rPr>
            <w:t>14</w:t>
          </w:r>
          <w:r>
            <w:rPr>
              <w:color w:val="000000"/>
              <w:sz w:val="24"/>
              <w:szCs w:val="24"/>
            </w:rPr>
            <w:fldChar w:fldCharType="end"/>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oNotShadeFormData/>
  <w:characterSpacingControl w:val="compressPunctuation"/>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73"/>
    <w:rsid w:val="000704AE"/>
    <w:rsid w:val="00095E73"/>
    <w:rsid w:val="003C1423"/>
    <w:rsid w:val="006F25D4"/>
    <w:rsid w:val="00831445"/>
    <w:rsid w:val="00865777"/>
    <w:rsid w:val="008956FC"/>
    <w:rsid w:val="00AE2CBE"/>
    <w:rsid w:val="00E0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B46C6-5436-4715-91B2-8EBBCF80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865777"/>
    <w:rPr>
      <w:rFonts w:ascii="Tahoma" w:hAnsi="Tahoma" w:cs="Tahoma"/>
      <w:sz w:val="16"/>
      <w:szCs w:val="16"/>
    </w:rPr>
  </w:style>
  <w:style w:type="character" w:customStyle="1" w:styleId="a6">
    <w:name w:val="Текст выноски Знак"/>
    <w:basedOn w:val="a0"/>
    <w:link w:val="a5"/>
    <w:uiPriority w:val="99"/>
    <w:semiHidden/>
    <w:rsid w:val="00865777"/>
    <w:rPr>
      <w:rFonts w:ascii="Tahoma" w:hAnsi="Tahoma" w:cs="Tahoma"/>
      <w:sz w:val="16"/>
      <w:szCs w:val="16"/>
    </w:rPr>
  </w:style>
  <w:style w:type="paragraph" w:styleId="a7">
    <w:name w:val="header"/>
    <w:basedOn w:val="a"/>
    <w:link w:val="a8"/>
    <w:uiPriority w:val="99"/>
    <w:unhideWhenUsed/>
    <w:rsid w:val="00AE2CBE"/>
    <w:pPr>
      <w:tabs>
        <w:tab w:val="center" w:pos="4677"/>
        <w:tab w:val="right" w:pos="9355"/>
      </w:tabs>
    </w:pPr>
  </w:style>
  <w:style w:type="character" w:customStyle="1" w:styleId="a8">
    <w:name w:val="Верхний колонтитул Знак"/>
    <w:basedOn w:val="a0"/>
    <w:link w:val="a7"/>
    <w:uiPriority w:val="99"/>
    <w:rsid w:val="00AE2CBE"/>
  </w:style>
  <w:style w:type="paragraph" w:styleId="a9">
    <w:name w:val="footer"/>
    <w:basedOn w:val="a"/>
    <w:link w:val="aa"/>
    <w:uiPriority w:val="99"/>
    <w:unhideWhenUsed/>
    <w:rsid w:val="00AE2CBE"/>
    <w:pPr>
      <w:tabs>
        <w:tab w:val="center" w:pos="4677"/>
        <w:tab w:val="right" w:pos="9355"/>
      </w:tabs>
    </w:pPr>
  </w:style>
  <w:style w:type="character" w:customStyle="1" w:styleId="aa">
    <w:name w:val="Нижний колонтитул Знак"/>
    <w:basedOn w:val="a0"/>
    <w:link w:val="a9"/>
    <w:uiPriority w:val="99"/>
    <w:rsid w:val="00AE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9009</Words>
  <Characters>51357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Храмова Елена Алексеевна</dc:creator>
  <cp:lastModifiedBy>Суворова Юлиана Олеговна</cp:lastModifiedBy>
  <cp:revision>3</cp:revision>
  <dcterms:created xsi:type="dcterms:W3CDTF">2024-10-10T08:19:00Z</dcterms:created>
  <dcterms:modified xsi:type="dcterms:W3CDTF">2024-11-12T08:20:00Z</dcterms:modified>
</cp:coreProperties>
</file>